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lang w:val="pt-PT"/>
        </w:rPr>
      </w:pPr>
      <w:r>
        <w:rPr>
          <w:b/>
          <w:bCs/>
          <w:sz w:val="28"/>
          <w:szCs w:val="28"/>
          <w:lang w:val="pt-PT"/>
        </w:rPr>
        <w:t>Acta da reunião</w:t>
      </w:r>
    </w:p>
    <w:p>
      <w:pPr>
        <w:pStyle w:val="10"/>
        <w:rPr>
          <w:lang w:val="pt-PT"/>
        </w:rPr>
      </w:pPr>
      <w:r>
        <w:rPr>
          <w:lang w:val="pt-PT"/>
        </w:rPr>
        <w:t>Tema: Primeira reunião do Grupo de Trabalho Técnico sobre ALCP-E</w:t>
      </w:r>
    </w:p>
    <w:p>
      <w:pPr>
        <w:pStyle w:val="10"/>
        <w:rPr>
          <w:lang w:val="pt-PT"/>
        </w:rPr>
      </w:pPr>
      <w:r>
        <w:rPr>
          <w:lang w:val="pt-PT"/>
        </w:rPr>
        <w:t xml:space="preserve">Local: Escritorio Save the Children </w:t>
      </w:r>
    </w:p>
    <w:p>
      <w:pPr>
        <w:pStyle w:val="10"/>
        <w:rPr>
          <w:lang w:val="pt-PT"/>
        </w:rPr>
      </w:pPr>
      <w:r>
        <w:rPr>
          <w:lang w:val="pt-PT"/>
        </w:rPr>
        <w:t>Data: 17 de Maio de 2023 das 11:00 às 13:00 horas</w:t>
      </w:r>
    </w:p>
    <w:p>
      <w:pPr>
        <w:pStyle w:val="10"/>
        <w:rPr>
          <w:rFonts w:ascii="Calibri" w:hAnsi="Calibri" w:eastAsia="Times New Roman" w:cs="Calibri"/>
          <w:lang w:val="pt-PT" w:eastAsia="en-GB"/>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4030"/>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b/>
                <w:bCs/>
                <w:lang w:eastAsia="en-GB"/>
              </w:rPr>
            </w:pPr>
            <w:r>
              <w:rPr>
                <w:rFonts w:ascii="Calibri" w:hAnsi="Calibri" w:eastAsia="Times New Roman" w:cs="Calibri"/>
                <w:b/>
                <w:bCs/>
                <w:lang w:eastAsia="en-GB"/>
              </w:rPr>
              <w:t>Tempo</w:t>
            </w:r>
          </w:p>
        </w:tc>
        <w:tc>
          <w:tcPr>
            <w:tcW w:w="4030" w:type="dxa"/>
            <w:vAlign w:val="center"/>
          </w:tcPr>
          <w:p>
            <w:pPr>
              <w:spacing w:before="100" w:beforeAutospacing="1" w:after="100" w:afterAutospacing="1" w:line="240" w:lineRule="auto"/>
              <w:rPr>
                <w:rFonts w:ascii="Calibri" w:hAnsi="Calibri" w:eastAsia="Times New Roman" w:cs="Calibri"/>
                <w:b/>
                <w:bCs/>
                <w:lang w:eastAsia="en-GB"/>
              </w:rPr>
            </w:pPr>
            <w:r>
              <w:rPr>
                <w:rFonts w:ascii="Calibri" w:hAnsi="Calibri" w:eastAsia="Times New Roman" w:cs="Calibri"/>
                <w:b/>
                <w:bCs/>
                <w:lang w:eastAsia="en-GB"/>
              </w:rPr>
              <w:t>Tópico</w:t>
            </w:r>
          </w:p>
        </w:tc>
        <w:tc>
          <w:tcPr>
            <w:tcW w:w="3006" w:type="dxa"/>
            <w:vAlign w:val="center"/>
          </w:tcPr>
          <w:p>
            <w:pPr>
              <w:spacing w:before="100" w:beforeAutospacing="1" w:after="100" w:afterAutospacing="1" w:line="240" w:lineRule="auto"/>
              <w:rPr>
                <w:rFonts w:ascii="Calibri" w:hAnsi="Calibri" w:eastAsia="Times New Roman" w:cs="Calibri"/>
                <w:b/>
                <w:bCs/>
                <w:lang w:eastAsia="en-GB"/>
              </w:rPr>
            </w:pPr>
            <w:r>
              <w:rPr>
                <w:rFonts w:ascii="Calibri" w:hAnsi="Calibri" w:eastAsia="Times New Roman" w:cs="Calibri"/>
                <w:b/>
                <w:bCs/>
                <w:lang w:eastAsia="en-GB"/>
              </w:rPr>
              <w:t>Responsável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11:00 - 11:05</w:t>
            </w:r>
          </w:p>
        </w:tc>
        <w:tc>
          <w:tcPr>
            <w:tcW w:w="403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Bienvenida</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11:05- 11:20</w:t>
            </w:r>
          </w:p>
        </w:tc>
        <w:tc>
          <w:tcPr>
            <w:tcW w:w="4030" w:type="dxa"/>
            <w:vAlign w:val="center"/>
          </w:tcPr>
          <w:p>
            <w:pPr>
              <w:spacing w:before="100" w:beforeAutospacing="1" w:after="100" w:afterAutospacing="1" w:line="240" w:lineRule="auto"/>
              <w:rPr>
                <w:rFonts w:ascii="Calibri" w:hAnsi="Calibri" w:eastAsia="Times New Roman" w:cs="Calibri"/>
                <w:lang w:val="pt-PT" w:eastAsia="en-GB"/>
              </w:rPr>
            </w:pPr>
            <w:r>
              <w:rPr>
                <w:rFonts w:ascii="Calibri" w:hAnsi="Calibri" w:eastAsia="Times New Roman" w:cs="Calibri"/>
                <w:lang w:val="pt-PT" w:eastAsia="en-GB"/>
              </w:rPr>
              <w:t>Apresentação dos termos de referência (ToR) do grupo de trabalho técnico</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Andrea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11:20 - 11:40</w:t>
            </w:r>
          </w:p>
        </w:tc>
        <w:tc>
          <w:tcPr>
            <w:tcW w:w="403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Feedback da ToR</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Parce</w:t>
            </w:r>
            <w:r>
              <w:rPr>
                <w:rFonts w:hint="default" w:ascii="Calibri" w:hAnsi="Calibri" w:eastAsia="Times New Roman" w:cs="Calibri"/>
                <w:lang w:val="en-US" w:eastAsia="en-GB"/>
              </w:rPr>
              <w:t>i</w:t>
            </w:r>
            <w:r>
              <w:rPr>
                <w:rFonts w:ascii="Calibri" w:hAnsi="Calibri" w:eastAsia="Times New Roman" w:cs="Calibri"/>
                <w:lang w:eastAsia="en-GB"/>
              </w:rPr>
              <w:t>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11:40 - 12:00</w:t>
            </w:r>
          </w:p>
        </w:tc>
        <w:tc>
          <w:tcPr>
            <w:tcW w:w="4030" w:type="dxa"/>
            <w:vAlign w:val="center"/>
          </w:tcPr>
          <w:p>
            <w:pPr>
              <w:spacing w:before="100" w:beforeAutospacing="1" w:after="100" w:afterAutospacing="1" w:line="240" w:lineRule="auto"/>
              <w:rPr>
                <w:rFonts w:ascii="Calibri" w:hAnsi="Calibri" w:eastAsia="Times New Roman" w:cs="Calibri"/>
                <w:lang w:val="pt-PT" w:eastAsia="en-GB"/>
              </w:rPr>
            </w:pPr>
            <w:r>
              <w:rPr>
                <w:rFonts w:ascii="Calibri" w:hAnsi="Calibri" w:eastAsia="Times New Roman" w:cs="Calibri"/>
                <w:lang w:val="pt-PT" w:eastAsia="en-GB"/>
              </w:rPr>
              <w:t>Recomendações para o plano de trabalho do GTT</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Andrea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12:00 - 12:30</w:t>
            </w:r>
          </w:p>
        </w:tc>
        <w:tc>
          <w:tcPr>
            <w:tcW w:w="4030" w:type="dxa"/>
            <w:vAlign w:val="center"/>
          </w:tcPr>
          <w:p>
            <w:pPr>
              <w:spacing w:before="100" w:beforeAutospacing="1" w:after="100" w:afterAutospacing="1" w:line="240" w:lineRule="auto"/>
              <w:rPr>
                <w:rFonts w:ascii="Calibri" w:hAnsi="Calibri" w:eastAsia="Times New Roman" w:cs="Calibri"/>
                <w:lang w:val="pt-PT" w:eastAsia="en-GB"/>
              </w:rPr>
            </w:pPr>
            <w:r>
              <w:rPr>
                <w:rFonts w:ascii="Calibri" w:hAnsi="Calibri" w:eastAsia="Times New Roman" w:cs="Calibri"/>
                <w:lang w:val="pt-PT" w:eastAsia="en-GB"/>
              </w:rPr>
              <w:t>Apresentação do projecto-piloto MAMI</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Save the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12:30 -12:50</w:t>
            </w:r>
          </w:p>
        </w:tc>
        <w:tc>
          <w:tcPr>
            <w:tcW w:w="4030" w:type="dxa"/>
            <w:vAlign w:val="center"/>
          </w:tcPr>
          <w:p>
            <w:pPr>
              <w:spacing w:before="100" w:beforeAutospacing="1" w:after="100" w:afterAutospacing="1" w:line="240" w:lineRule="auto"/>
              <w:rPr>
                <w:rFonts w:ascii="Calibri" w:hAnsi="Calibri" w:eastAsia="Times New Roman" w:cs="Calibri"/>
                <w:lang w:val="zh-CN" w:eastAsia="en-GB"/>
              </w:rPr>
            </w:pPr>
            <w:r>
              <w:rPr>
                <w:rFonts w:ascii="Calibri" w:hAnsi="Calibri" w:eastAsia="Times New Roman" w:cs="Calibri"/>
                <w:lang w:eastAsia="en-GB"/>
              </w:rPr>
              <w:t>Feedback do piloto SC</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Parce</w:t>
            </w:r>
            <w:r>
              <w:rPr>
                <w:rFonts w:hint="default" w:ascii="Calibri" w:hAnsi="Calibri" w:eastAsia="Times New Roman" w:cs="Calibri"/>
                <w:lang w:val="en-US" w:eastAsia="en-GB"/>
              </w:rPr>
              <w:t>i</w:t>
            </w:r>
            <w:r>
              <w:rPr>
                <w:rFonts w:ascii="Calibri" w:hAnsi="Calibri" w:eastAsia="Times New Roman" w:cs="Calibri"/>
                <w:lang w:eastAsia="en-GB"/>
              </w:rPr>
              <w:t>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12:50-01:00</w:t>
            </w:r>
          </w:p>
        </w:tc>
        <w:tc>
          <w:tcPr>
            <w:tcW w:w="4030" w:type="dxa"/>
            <w:vAlign w:val="center"/>
          </w:tcPr>
          <w:p>
            <w:pPr>
              <w:spacing w:before="100" w:beforeAutospacing="1" w:after="100" w:afterAutospacing="1" w:line="240" w:lineRule="auto"/>
              <w:rPr>
                <w:rFonts w:ascii="Calibri" w:hAnsi="Calibri" w:eastAsia="Times New Roman" w:cs="Calibri"/>
                <w:lang w:val="pt-PT" w:eastAsia="en-GB"/>
              </w:rPr>
            </w:pPr>
            <w:r>
              <w:rPr>
                <w:rFonts w:ascii="Calibri" w:hAnsi="Calibri" w:eastAsia="Times New Roman" w:cs="Calibri"/>
                <w:lang w:val="pt-PT" w:eastAsia="en-GB"/>
              </w:rPr>
              <w:t>Encerramento e próximas etapas, próxima reunião</w:t>
            </w:r>
          </w:p>
        </w:tc>
        <w:tc>
          <w:tcPr>
            <w:tcW w:w="3006" w:type="dxa"/>
            <w:vAlign w:val="center"/>
          </w:tcPr>
          <w:p>
            <w:pPr>
              <w:spacing w:before="100" w:beforeAutospacing="1" w:after="100" w:afterAutospacing="1" w:line="240" w:lineRule="auto"/>
              <w:rPr>
                <w:rFonts w:ascii="Calibri" w:hAnsi="Calibri" w:eastAsia="Times New Roman" w:cs="Calibri"/>
                <w:lang w:eastAsia="en-GB"/>
              </w:rPr>
            </w:pPr>
            <w:r>
              <w:rPr>
                <w:rFonts w:ascii="Calibri" w:hAnsi="Calibri" w:eastAsia="Times New Roman" w:cs="Calibri"/>
                <w:lang w:eastAsia="en-GB"/>
              </w:rPr>
              <w:t>Colíderes GTT y parceros</w:t>
            </w:r>
          </w:p>
        </w:tc>
      </w:tr>
    </w:tbl>
    <w:p>
      <w:pPr>
        <w:rPr>
          <w:lang w:val="zh-CN"/>
        </w:rPr>
      </w:pPr>
    </w:p>
    <w:p>
      <w:pPr>
        <w:jc w:val="both"/>
        <w:rPr>
          <w:lang w:val="pt-PT"/>
        </w:rPr>
      </w:pPr>
      <w:r>
        <w:rPr>
          <w:lang w:val="pt-PT"/>
        </w:rPr>
        <w:t>A primeira reunião decorreu de acordo com o horário estabelecido na ordem de trabalhos. Os pontos principais de cada tema são apresentados a seguir.</w:t>
      </w:r>
    </w:p>
    <w:p>
      <w:pPr>
        <w:jc w:val="both"/>
        <w:rPr>
          <w:b/>
          <w:bCs/>
          <w:lang w:val="pt-PT"/>
        </w:rPr>
      </w:pPr>
      <w:r>
        <w:rPr>
          <w:b/>
          <w:bCs/>
          <w:lang w:val="pt-PT"/>
        </w:rPr>
        <w:t>Apresentação dos termos de referência (ToR) do grupo de trabalho técnico:</w:t>
      </w:r>
    </w:p>
    <w:p>
      <w:pPr>
        <w:jc w:val="both"/>
        <w:rPr>
          <w:lang w:val="pt-PT"/>
        </w:rPr>
      </w:pPr>
      <w:r>
        <w:rPr>
          <w:lang w:val="pt-PT"/>
        </w:rPr>
        <w:t>São apresentados os pontos gerais dos ToR, tais como os objectivos gerais e específicos, a frequência das reuniões do Grupo de Trabalho Técnico (GTT), a composição, a co-liderança, as responsabilidades, o método de trabalho, a data das reuniões e o local de armazenamento dos documentos colectivos.</w:t>
      </w:r>
    </w:p>
    <w:p>
      <w:pPr>
        <w:jc w:val="both"/>
        <w:rPr>
          <w:b/>
          <w:bCs/>
          <w:lang w:val="zh-CN"/>
        </w:rPr>
      </w:pPr>
      <w:r>
        <w:rPr>
          <w:b/>
          <w:bCs/>
          <w:lang w:val="zh-CN"/>
        </w:rPr>
        <w:t>Feedback da ToR</w:t>
      </w:r>
    </w:p>
    <w:p>
      <w:pPr>
        <w:jc w:val="both"/>
        <w:rPr>
          <w:lang w:val="pt-PT"/>
        </w:rPr>
      </w:pPr>
      <w:r>
        <w:rPr>
          <w:lang w:val="pt-PT"/>
        </w:rPr>
        <w:t>Os parceiros concordam com a maioria dos pontos, sugerindo que o dia da semana em que se realiza a reunião mensal seja posto à votação e que se mantenha a flexibilidade para que as pessoas que participam no grupo de nutrição e neste grupo técnico possam participar em ambos.</w:t>
      </w:r>
    </w:p>
    <w:p>
      <w:pPr>
        <w:jc w:val="both"/>
        <w:rPr>
          <w:lang w:val="pt-PT"/>
        </w:rPr>
      </w:pPr>
      <w:r>
        <w:rPr>
          <w:lang w:val="pt-PT"/>
        </w:rPr>
        <w:t xml:space="preserve">Solicita-se que se especifique quem é o Ponto Focal Nacional de Nutrição, tendo sido acordado que é o Cluster Nacional de Nutrição. </w:t>
      </w:r>
    </w:p>
    <w:p>
      <w:pPr>
        <w:jc w:val="both"/>
        <w:rPr>
          <w:lang w:val="pt-PT"/>
        </w:rPr>
      </w:pPr>
      <w:r>
        <w:rPr>
          <w:lang w:val="pt-PT"/>
        </w:rPr>
        <w:t>Solicita-se que sejam acrescentados critérios para escolher o substituto da organização que, por algum motivo, abandone o grupo, e concorda-se que isso deve ser feito através de um mapeamento das organizações para, posteriormente, verificar quem tem actividades relacionadas com o ALCP-E, o ponto seguinte é que tenham tempo e recursos humanos para participar nas sessões e, finalmente, se várias organizações cumprirem este requisito, será votado entre os membros recorrentes do grupo.</w:t>
      </w:r>
    </w:p>
    <w:p>
      <w:pPr>
        <w:jc w:val="both"/>
        <w:rPr>
          <w:rFonts w:ascii="Calibri" w:hAnsi="Calibri" w:eastAsia="Times New Roman" w:cs="Calibri"/>
          <w:b/>
          <w:bCs/>
          <w:lang w:val="pt-PT" w:eastAsia="en-GB"/>
        </w:rPr>
      </w:pPr>
      <w:r>
        <w:rPr>
          <w:rFonts w:ascii="Calibri" w:hAnsi="Calibri" w:eastAsia="Times New Roman" w:cs="Calibri"/>
          <w:b/>
          <w:bCs/>
          <w:lang w:val="pt-PT" w:eastAsia="en-GB"/>
        </w:rPr>
        <w:t>Recomendações para o plano de trabalho do GTT</w:t>
      </w:r>
    </w:p>
    <w:p>
      <w:pPr>
        <w:jc w:val="both"/>
        <w:rPr>
          <w:rFonts w:ascii="Calibri" w:hAnsi="Calibri" w:eastAsia="Times New Roman" w:cs="Calibri"/>
          <w:lang w:val="pt-PT" w:eastAsia="en-GB"/>
        </w:rPr>
      </w:pPr>
      <w:r>
        <w:rPr>
          <w:rFonts w:ascii="Calibri" w:hAnsi="Calibri" w:eastAsia="Times New Roman" w:cs="Calibri"/>
          <w:lang w:val="pt-PT" w:eastAsia="en-GB"/>
        </w:rPr>
        <w:t>O Conselheiro do cluster global de nutrição apresenta os primeiros pontos para o plano de trabalho, que incluem a abordagem com o cluster de saúde para rever as acções que são realizadas na saúde mental e para poder ter uma via de encaminhamento adequada quando uma mãe com uma criança pequena requer atenção.</w:t>
      </w:r>
    </w:p>
    <w:p>
      <w:pPr>
        <w:jc w:val="both"/>
        <w:rPr>
          <w:rFonts w:ascii="Calibri" w:hAnsi="Calibri" w:eastAsia="Times New Roman" w:cs="Calibri"/>
          <w:lang w:val="pt-PT" w:eastAsia="en-GB"/>
        </w:rPr>
      </w:pPr>
      <w:r>
        <w:rPr>
          <w:rFonts w:ascii="Calibri" w:hAnsi="Calibri" w:eastAsia="Times New Roman" w:cs="Calibri"/>
          <w:lang w:val="pt-PT" w:eastAsia="en-GB"/>
        </w:rPr>
        <w:t>Propõe-se também avaliar a formação técnica com ênfase na programação com substitutos do leite materno, como base para abordar outras organizações governamentais, cooperativas ou religiosas e poder acordar um percurso de cuidados alimentares para crianças órfãs ou crianças cujas mães estão ausentes por um longo período de tempo para promover os seus melhores interesses, evitando casos de morbilidade e mortalidade. Esta actividade está ligada à linha de cuidados MAMI através dos riscos que as crianças não amamentadas enfrentam actualmente.</w:t>
      </w:r>
    </w:p>
    <w:p>
      <w:pPr>
        <w:jc w:val="both"/>
        <w:rPr>
          <w:rFonts w:ascii="Calibri" w:hAnsi="Calibri" w:eastAsia="Times New Roman" w:cs="Calibri"/>
          <w:lang w:val="pt-PT" w:eastAsia="en-GB"/>
        </w:rPr>
      </w:pPr>
      <w:r>
        <w:rPr>
          <w:rFonts w:ascii="Calibri" w:hAnsi="Calibri" w:eastAsia="Times New Roman" w:cs="Calibri"/>
          <w:lang w:val="pt-PT" w:eastAsia="en-GB"/>
        </w:rPr>
        <w:t>Finalmente, será feito o acompanhamento da actividade MAMI que Save the Children começará a implementar no âmbito das acções previamente aprovadas para o seu projecto financiado pelo BHA.</w:t>
      </w:r>
    </w:p>
    <w:p>
      <w:pPr>
        <w:jc w:val="both"/>
        <w:rPr>
          <w:rFonts w:ascii="Calibri" w:hAnsi="Calibri" w:eastAsia="Times New Roman" w:cs="Calibri"/>
          <w:b/>
          <w:bCs/>
          <w:lang w:val="pt-PT" w:eastAsia="en-GB"/>
        </w:rPr>
      </w:pPr>
      <w:r>
        <w:rPr>
          <w:rFonts w:ascii="Calibri" w:hAnsi="Calibri" w:eastAsia="Times New Roman" w:cs="Calibri"/>
          <w:b/>
          <w:bCs/>
          <w:lang w:val="pt-PT" w:eastAsia="en-GB"/>
        </w:rPr>
        <w:t>Apresentação do projecto-piloto MAMI</w:t>
      </w:r>
    </w:p>
    <w:p>
      <w:pPr>
        <w:jc w:val="both"/>
        <w:rPr>
          <w:rFonts w:ascii="Calibri" w:hAnsi="Calibri" w:eastAsia="Times New Roman" w:cs="Calibri"/>
          <w:lang w:val="pt-PT" w:eastAsia="en-GB"/>
        </w:rPr>
      </w:pPr>
      <w:r>
        <w:rPr>
          <w:rFonts w:ascii="Calibri" w:hAnsi="Calibri" w:eastAsia="Times New Roman" w:cs="Calibri"/>
          <w:lang w:val="pt-PT" w:eastAsia="en-GB"/>
        </w:rPr>
        <w:t>Save the Children lança o seu projecto-piloto da abordagem MAMI aos cuidados</w:t>
      </w:r>
    </w:p>
    <w:p>
      <w:pPr>
        <w:jc w:val="both"/>
        <w:rPr>
          <w:rFonts w:ascii="Calibri" w:hAnsi="Calibri" w:eastAsia="Times New Roman" w:cs="Calibri"/>
          <w:b/>
          <w:bCs/>
          <w:lang w:val="zh-CN" w:eastAsia="en-GB"/>
        </w:rPr>
      </w:pPr>
      <w:r>
        <w:rPr>
          <w:rFonts w:ascii="Calibri" w:hAnsi="Calibri" w:eastAsia="Times New Roman" w:cs="Calibri"/>
          <w:b/>
          <w:bCs/>
          <w:lang w:val="zh-CN" w:eastAsia="en-GB"/>
        </w:rPr>
        <w:t>Feedback do piloto SC</w:t>
      </w:r>
    </w:p>
    <w:p>
      <w:pPr>
        <w:jc w:val="both"/>
        <w:rPr>
          <w:rFonts w:ascii="Calibri" w:hAnsi="Calibri" w:eastAsia="Times New Roman" w:cs="Calibri"/>
          <w:lang w:val="pt-PT" w:eastAsia="en-GB"/>
        </w:rPr>
      </w:pPr>
      <w:r>
        <w:rPr>
          <w:rFonts w:ascii="Calibri" w:hAnsi="Calibri" w:eastAsia="Times New Roman" w:cs="Calibri"/>
          <w:lang w:val="pt-PT" w:eastAsia="en-GB"/>
        </w:rPr>
        <w:t>Foram identificados alguns objectivos que podem ser difíceis de cumprir, ao que Save the Children esclarece que esta apresentação corresponde ao piloto que conceberam antes de receberem a formação e os workshops MAMI, pelo que agora será diferente com a informação obtida e o consenso gerado em torno do reforço dos serviços existentes.</w:t>
      </w:r>
    </w:p>
    <w:p>
      <w:pPr>
        <w:jc w:val="both"/>
        <w:rPr>
          <w:rFonts w:ascii="Calibri" w:hAnsi="Calibri" w:cs="Calibri"/>
          <w:lang w:val="pt-PT"/>
        </w:rPr>
      </w:pPr>
      <w:r>
        <w:rPr>
          <w:rFonts w:ascii="Calibri" w:hAnsi="Calibri" w:eastAsia="Times New Roman" w:cs="Calibri"/>
          <w:b/>
          <w:bCs/>
          <w:lang w:val="pt-PT" w:eastAsia="en-GB"/>
        </w:rPr>
        <w:t>Encerramento e próximas etapas, próxima reunião</w:t>
      </w:r>
    </w:p>
    <w:p>
      <w:pPr>
        <w:pStyle w:val="9"/>
        <w:numPr>
          <w:ilvl w:val="0"/>
          <w:numId w:val="1"/>
        </w:numPr>
        <w:jc w:val="both"/>
        <w:rPr>
          <w:rFonts w:ascii="Calibri" w:hAnsi="Calibri" w:cs="Calibri"/>
          <w:lang w:val="pt-PT"/>
        </w:rPr>
      </w:pPr>
      <w:r>
        <w:rPr>
          <w:rFonts w:ascii="Calibri" w:hAnsi="Calibri" w:cs="Calibri"/>
          <w:lang w:val="pt-PT"/>
        </w:rPr>
        <w:t>Foi acordado que o co-líder enviará um inquérito aos membros do grupo técnico para decidir qual o dia da semana mais conveniente para realizar as reuniões do GTT no ALCP-E.</w:t>
      </w:r>
    </w:p>
    <w:p>
      <w:pPr>
        <w:pStyle w:val="9"/>
        <w:numPr>
          <w:ilvl w:val="0"/>
          <w:numId w:val="1"/>
        </w:numPr>
        <w:jc w:val="both"/>
        <w:rPr>
          <w:rFonts w:ascii="Calibri" w:hAnsi="Calibri" w:cs="Calibri"/>
          <w:lang w:val="pt-PT"/>
        </w:rPr>
      </w:pPr>
      <w:r>
        <w:rPr>
          <w:rFonts w:ascii="Calibri" w:hAnsi="Calibri" w:cs="Calibri"/>
          <w:lang w:val="pt-PT"/>
        </w:rPr>
        <w:t>Será partilhada uma ligação com os membros do GTT no ALCP-E onde poderão encontrar os documentos do grupo, incluindo os TdR.</w:t>
      </w:r>
    </w:p>
    <w:p>
      <w:pPr>
        <w:pStyle w:val="9"/>
        <w:numPr>
          <w:ilvl w:val="0"/>
          <w:numId w:val="1"/>
        </w:numPr>
        <w:jc w:val="both"/>
        <w:rPr>
          <w:rFonts w:ascii="Calibri" w:hAnsi="Calibri" w:cs="Calibri"/>
          <w:lang w:val="pt-PT"/>
        </w:rPr>
      </w:pPr>
      <w:r>
        <w:rPr>
          <w:rFonts w:ascii="Calibri" w:hAnsi="Calibri" w:cs="Calibri"/>
          <w:lang w:val="pt-PT"/>
        </w:rPr>
        <w:t>Os co-líderes iniciarão o contacto com os agrupamentos de saúde e apresentarão os primeiros resultados na próxima sessão.</w:t>
      </w:r>
    </w:p>
    <w:p>
      <w:pPr>
        <w:pStyle w:val="9"/>
        <w:numPr>
          <w:ilvl w:val="0"/>
          <w:numId w:val="1"/>
        </w:numPr>
        <w:jc w:val="both"/>
        <w:rPr>
          <w:lang w:val="pt-PT"/>
        </w:rPr>
      </w:pPr>
      <w:r>
        <w:rPr>
          <w:rFonts w:ascii="Calibri" w:hAnsi="Calibri" w:cs="Calibri"/>
          <w:lang w:val="pt-PT"/>
        </w:rPr>
        <w:t>A Save the Children actualizará a apresentação do seu projecto-piloto, a fim de apoiar outros parceiros interessados em explorar a abordagem MAMI.</w:t>
      </w:r>
      <w:r>
        <w:rPr>
          <w:lang w:val="pt-PT"/>
        </w:rPr>
        <w:t xml:space="preserve"> </w:t>
      </w:r>
    </w:p>
    <w:p>
      <w:pPr>
        <w:pStyle w:val="9"/>
        <w:numPr>
          <w:numId w:val="0"/>
        </w:numPr>
        <w:ind w:left="360" w:leftChars="0"/>
        <w:jc w:val="both"/>
        <w:rPr>
          <w:lang w:val="pt-PT"/>
        </w:rPr>
      </w:pPr>
    </w:p>
    <w:p>
      <w:pPr>
        <w:pStyle w:val="9"/>
        <w:numPr>
          <w:numId w:val="0"/>
        </w:numPr>
        <w:ind w:left="360" w:leftChars="0"/>
        <w:jc w:val="both"/>
        <w:rPr>
          <w:rFonts w:hint="default"/>
          <w:b/>
          <w:bCs/>
          <w:lang w:val="en-US"/>
        </w:rPr>
      </w:pPr>
      <w:r>
        <w:rPr>
          <w:rFonts w:hint="default"/>
          <w:b/>
          <w:bCs/>
          <w:lang w:val="en-US"/>
        </w:rPr>
        <w:t xml:space="preserve">Participantes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b/>
                <w:bCs/>
                <w:lang w:val="zh-CN"/>
              </w:rPr>
            </w:pPr>
            <w:r>
              <w:rPr>
                <w:b/>
                <w:bCs/>
                <w:lang w:val="zh-CN"/>
              </w:rPr>
              <w:t>Nome</w:t>
            </w:r>
          </w:p>
        </w:tc>
        <w:tc>
          <w:tcPr>
            <w:tcW w:w="4508" w:type="dxa"/>
          </w:tcPr>
          <w:p>
            <w:pPr>
              <w:spacing w:after="0" w:line="240" w:lineRule="auto"/>
              <w:rPr>
                <w:b/>
                <w:bCs/>
                <w:lang w:val="zh-CN"/>
              </w:rPr>
            </w:pPr>
            <w:r>
              <w:rPr>
                <w:b/>
                <w:bCs/>
                <w:lang w:val="zh-CN"/>
              </w:rPr>
              <w:t>Organização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Helia</w:t>
            </w:r>
            <w:r>
              <w:rPr>
                <w:rFonts w:hint="default"/>
                <w:lang w:val="en-US"/>
              </w:rPr>
              <w:t xml:space="preserve"> Seda</w:t>
            </w:r>
          </w:p>
        </w:tc>
        <w:tc>
          <w:tcPr>
            <w:tcW w:w="4508" w:type="dxa"/>
          </w:tcPr>
          <w:p>
            <w:pPr>
              <w:spacing w:after="0" w:line="240" w:lineRule="auto"/>
              <w:rPr>
                <w:lang w:val="zh-CN"/>
              </w:rPr>
            </w:pPr>
            <w:r>
              <w:rPr>
                <w:lang w:val="zh-CN"/>
              </w:rPr>
              <w:t>Helpo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Nil</w:t>
            </w:r>
            <w:r>
              <w:rPr>
                <w:rFonts w:hint="default"/>
                <w:lang w:val="en-US"/>
              </w:rPr>
              <w:t>ton Juma</w:t>
            </w:r>
          </w:p>
        </w:tc>
        <w:tc>
          <w:tcPr>
            <w:tcW w:w="4508" w:type="dxa"/>
          </w:tcPr>
          <w:p>
            <w:pPr>
              <w:spacing w:after="0" w:line="240" w:lineRule="auto"/>
              <w:rPr>
                <w:lang w:val="zh-CN"/>
              </w:rPr>
            </w:pPr>
            <w:r>
              <w:rPr>
                <w:lang w:val="zh-CN"/>
              </w:rPr>
              <w:t>UNICEF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Mónica</w:t>
            </w:r>
            <w:r>
              <w:rPr>
                <w:rFonts w:hint="default"/>
                <w:lang w:val="en-US"/>
              </w:rPr>
              <w:t xml:space="preserve"> Baptista</w:t>
            </w:r>
          </w:p>
        </w:tc>
        <w:tc>
          <w:tcPr>
            <w:tcW w:w="4508" w:type="dxa"/>
          </w:tcPr>
          <w:p>
            <w:pPr>
              <w:spacing w:after="0" w:line="240" w:lineRule="auto"/>
              <w:rPr>
                <w:rFonts w:hint="default"/>
                <w:lang w:val="en-US"/>
              </w:rPr>
            </w:pPr>
            <w:r>
              <w:rPr>
                <w:lang w:val="zh-CN"/>
              </w:rPr>
              <w:t>DPS</w:t>
            </w:r>
            <w:r>
              <w:rPr>
                <w:rFonts w:hint="default"/>
                <w:lang w:val="en-US"/>
              </w:rPr>
              <w:t>-Nutricao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Si</w:t>
            </w:r>
            <w:r>
              <w:rPr>
                <w:rFonts w:hint="default"/>
                <w:lang w:val="en-US"/>
              </w:rPr>
              <w:t>v</w:t>
            </w:r>
            <w:r>
              <w:rPr>
                <w:lang w:val="zh-CN"/>
              </w:rPr>
              <w:t>ante</w:t>
            </w:r>
            <w:r>
              <w:rPr>
                <w:rFonts w:hint="default"/>
                <w:lang w:val="en-US"/>
              </w:rPr>
              <w:t xml:space="preserve"> Fernando</w:t>
            </w:r>
          </w:p>
        </w:tc>
        <w:tc>
          <w:tcPr>
            <w:tcW w:w="4508" w:type="dxa"/>
          </w:tcPr>
          <w:p>
            <w:pPr>
              <w:spacing w:after="0" w:line="240" w:lineRule="auto"/>
              <w:rPr>
                <w:lang w:val="zh-CN"/>
              </w:rPr>
            </w:pPr>
            <w:r>
              <w:rPr>
                <w:lang w:val="zh-CN"/>
              </w:rPr>
              <w:t>Cáritas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rFonts w:hint="default"/>
                <w:lang w:val="en-US"/>
              </w:rPr>
              <w:t>Isabel Filipe</w:t>
            </w:r>
          </w:p>
        </w:tc>
        <w:tc>
          <w:tcPr>
            <w:tcW w:w="4508" w:type="dxa"/>
          </w:tcPr>
          <w:p>
            <w:pPr>
              <w:spacing w:after="0" w:line="240" w:lineRule="auto"/>
              <w:rPr>
                <w:rFonts w:hint="default"/>
                <w:lang w:val="en-US"/>
              </w:rPr>
            </w:pPr>
            <w:r>
              <w:rPr>
                <w:rFonts w:hint="default"/>
                <w:lang w:val="en-US"/>
              </w:rPr>
              <w:t>DPS-Saude Infantil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Estevao</w:t>
            </w:r>
            <w:r>
              <w:rPr>
                <w:rFonts w:hint="default"/>
                <w:lang w:val="en-US"/>
              </w:rPr>
              <w:t xml:space="preserve"> Artur</w:t>
            </w:r>
          </w:p>
        </w:tc>
        <w:tc>
          <w:tcPr>
            <w:tcW w:w="4508" w:type="dxa"/>
          </w:tcPr>
          <w:p>
            <w:pPr>
              <w:spacing w:after="0" w:line="240" w:lineRule="auto"/>
              <w:rPr>
                <w:lang w:val="zh-CN"/>
              </w:rPr>
            </w:pPr>
            <w:r>
              <w:rPr>
                <w:lang w:val="zh-CN"/>
              </w:rPr>
              <w:t>Save the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Sherifa</w:t>
            </w:r>
            <w:r>
              <w:rPr>
                <w:rFonts w:hint="default"/>
                <w:lang w:val="en-US"/>
              </w:rPr>
              <w:t xml:space="preserve"> Janja</w:t>
            </w:r>
          </w:p>
        </w:tc>
        <w:tc>
          <w:tcPr>
            <w:tcW w:w="4508" w:type="dxa"/>
          </w:tcPr>
          <w:p>
            <w:pPr>
              <w:spacing w:after="0" w:line="240" w:lineRule="auto"/>
              <w:rPr>
                <w:lang w:val="zh-CN"/>
              </w:rPr>
            </w:pPr>
            <w:r>
              <w:rPr>
                <w:lang w:val="zh-CN"/>
              </w:rPr>
              <w:t>Save the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rPr>
                <w:rFonts w:hint="default"/>
                <w:lang w:val="en-US"/>
              </w:rPr>
            </w:pPr>
            <w:r>
              <w:rPr>
                <w:lang w:val="zh-CN"/>
              </w:rPr>
              <w:t>Andrea</w:t>
            </w:r>
            <w:r>
              <w:rPr>
                <w:rFonts w:hint="default"/>
                <w:lang w:val="en-US"/>
              </w:rPr>
              <w:t xml:space="preserve"> Garcia</w:t>
            </w:r>
          </w:p>
        </w:tc>
        <w:tc>
          <w:tcPr>
            <w:tcW w:w="4508" w:type="dxa"/>
          </w:tcPr>
          <w:p>
            <w:pPr>
              <w:spacing w:after="0" w:line="240" w:lineRule="auto"/>
              <w:rPr>
                <w:rFonts w:hint="default"/>
                <w:lang w:val="en-US"/>
              </w:rPr>
            </w:pPr>
            <w:r>
              <w:rPr>
                <w:lang w:val="zh-CN"/>
              </w:rPr>
              <w:t>Cluster Global de Nutric</w:t>
            </w:r>
            <w:r>
              <w:rPr>
                <w:rFonts w:hint="default"/>
                <w:lang w:val="en-US"/>
              </w:rPr>
              <w:t>ao</w:t>
            </w:r>
          </w:p>
        </w:tc>
      </w:tr>
    </w:tbl>
    <w:p>
      <w:pPr>
        <w:rPr>
          <w:lang w:val="zh-CN"/>
        </w:rPr>
      </w:pPr>
    </w:p>
    <w:p>
      <w:pPr>
        <w:jc w:val="both"/>
        <w:rPr>
          <w:lang w:val="zh-CN"/>
        </w:rPr>
      </w:pPr>
      <w:bookmarkStart w:id="0" w:name="_GoBack"/>
      <w:bookmarkEnd w:id="0"/>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86"/>
      <w:rPr>
        <w:b/>
        <w:bCs/>
        <w:color w:val="92D050"/>
        <w:sz w:val="24"/>
        <w:szCs w:val="24"/>
        <w:lang w:val="pt-PT"/>
      </w:rPr>
    </w:pPr>
    <w:r>
      <w:drawing>
        <wp:anchor distT="0" distB="0" distL="114300" distR="114300" simplePos="0" relativeHeight="251659264" behindDoc="1" locked="0" layoutInCell="1" allowOverlap="1">
          <wp:simplePos x="0" y="0"/>
          <wp:positionH relativeFrom="column">
            <wp:posOffset>5626100</wp:posOffset>
          </wp:positionH>
          <wp:positionV relativeFrom="paragraph">
            <wp:posOffset>-316230</wp:posOffset>
          </wp:positionV>
          <wp:extent cx="736600" cy="949325"/>
          <wp:effectExtent l="0" t="0" r="6350" b="3175"/>
          <wp:wrapThrough wrapText="bothSides">
            <wp:wrapPolygon>
              <wp:start x="0" y="0"/>
              <wp:lineTo x="0" y="21239"/>
              <wp:lineTo x="21228" y="21239"/>
              <wp:lineTo x="2122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6600" cy="949325"/>
                  </a:xfrm>
                  <a:prstGeom prst="rect">
                    <a:avLst/>
                  </a:prstGeom>
                </pic:spPr>
              </pic:pic>
            </a:graphicData>
          </a:graphic>
        </wp:anchor>
      </w:drawing>
    </w:r>
    <w:r>
      <w:rPr>
        <w:b/>
        <w:bCs/>
        <w:color w:val="92D050"/>
        <w:sz w:val="24"/>
        <w:szCs w:val="24"/>
        <w:lang w:val="pt-PT"/>
      </w:rPr>
      <w:t>Clúster de nutrição de Cabo Delgado</w:t>
    </w:r>
  </w:p>
  <w:p>
    <w:pPr>
      <w:pStyle w:val="6"/>
      <w:ind w:left="86"/>
      <w:rPr>
        <w:color w:val="92D050"/>
        <w:sz w:val="24"/>
        <w:szCs w:val="24"/>
        <w:lang w:val="pt-PT"/>
      </w:rPr>
    </w:pPr>
    <w:r>
      <w:rPr>
        <w:color w:val="92D050"/>
        <w:sz w:val="24"/>
        <w:szCs w:val="24"/>
        <w:lang w:val="pt-PT"/>
      </w:rPr>
      <w:t>Grupo de Trabalho Técnico sobre Alimentação de Lactentes e Crianças Pequenas e Prestadores de Cuidados em Situações de Emergência (GTT ALCP-E)</w:t>
    </w:r>
    <w:r>
      <w:rPr>
        <w:lang w:val="pt-PT"/>
      </w:rPr>
      <w:t xml:space="preserve"> </w:t>
    </w:r>
  </w:p>
  <w:p>
    <w:pPr>
      <w:pStyle w:val="6"/>
      <w:ind w:left="86"/>
      <w:rPr>
        <w:b/>
        <w:bCs/>
        <w:color w:val="92D050"/>
        <w:sz w:val="24"/>
        <w:szCs w:val="24"/>
        <w:lang w:val="pt-PT"/>
      </w:rPr>
    </w:pPr>
    <w:r>
      <w:rPr>
        <w:lang w:val="pt-P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23A9E"/>
    <w:multiLevelType w:val="multilevel"/>
    <w:tmpl w:val="0B323A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A1"/>
    <w:rsid w:val="0000676D"/>
    <w:rsid w:val="00052FC0"/>
    <w:rsid w:val="000C693A"/>
    <w:rsid w:val="00113FA3"/>
    <w:rsid w:val="00116667"/>
    <w:rsid w:val="00191AF4"/>
    <w:rsid w:val="001F707C"/>
    <w:rsid w:val="00200DA6"/>
    <w:rsid w:val="002D4EA1"/>
    <w:rsid w:val="00331A02"/>
    <w:rsid w:val="00394C11"/>
    <w:rsid w:val="00404D09"/>
    <w:rsid w:val="00525AE4"/>
    <w:rsid w:val="00545745"/>
    <w:rsid w:val="005470B3"/>
    <w:rsid w:val="00686088"/>
    <w:rsid w:val="007031A8"/>
    <w:rsid w:val="00706F8C"/>
    <w:rsid w:val="00760E35"/>
    <w:rsid w:val="00791377"/>
    <w:rsid w:val="007C1A69"/>
    <w:rsid w:val="007E4461"/>
    <w:rsid w:val="008173F5"/>
    <w:rsid w:val="008927B5"/>
    <w:rsid w:val="009434A2"/>
    <w:rsid w:val="00955609"/>
    <w:rsid w:val="00A145EB"/>
    <w:rsid w:val="00A406DA"/>
    <w:rsid w:val="00B30B9D"/>
    <w:rsid w:val="00B92EBB"/>
    <w:rsid w:val="00CB48DE"/>
    <w:rsid w:val="00CC1EE2"/>
    <w:rsid w:val="00D06A08"/>
    <w:rsid w:val="00D073D1"/>
    <w:rsid w:val="00D30E5B"/>
    <w:rsid w:val="00D87CC8"/>
    <w:rsid w:val="00DA28C7"/>
    <w:rsid w:val="00DE0313"/>
    <w:rsid w:val="00E11B46"/>
    <w:rsid w:val="00E12684"/>
    <w:rsid w:val="00E876EA"/>
    <w:rsid w:val="00E90E01"/>
    <w:rsid w:val="00F00BFB"/>
    <w:rsid w:val="00F24157"/>
    <w:rsid w:val="00F62A8B"/>
    <w:rsid w:val="0E0D28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76" w:lineRule="auto"/>
    </w:pPr>
    <w:rPr>
      <w:rFonts w:ascii="Tahoma" w:hAnsi="Tahoma" w:cs="Tahoma" w:eastAsiaTheme="minorEastAsia"/>
      <w:sz w:val="16"/>
      <w:szCs w:val="16"/>
      <w:lang w:val="es-ES"/>
    </w:rPr>
  </w:style>
  <w:style w:type="paragraph" w:styleId="5">
    <w:name w:val="footer"/>
    <w:basedOn w:val="1"/>
    <w:link w:val="12"/>
    <w:unhideWhenUsed/>
    <w:qFormat/>
    <w:uiPriority w:val="99"/>
    <w:pPr>
      <w:tabs>
        <w:tab w:val="center" w:pos="4513"/>
        <w:tab w:val="right" w:pos="9026"/>
      </w:tabs>
      <w:spacing w:after="0" w:line="240" w:lineRule="auto"/>
    </w:pPr>
  </w:style>
  <w:style w:type="paragraph" w:styleId="6">
    <w:name w:val="header"/>
    <w:basedOn w:val="1"/>
    <w:link w:val="11"/>
    <w:unhideWhenUsed/>
    <w:qFormat/>
    <w:uiPriority w:val="99"/>
    <w:pPr>
      <w:tabs>
        <w:tab w:val="center" w:pos="4513"/>
        <w:tab w:val="right" w:pos="9026"/>
      </w:tabs>
      <w:spacing w:after="0" w:line="240" w:lineRule="auto"/>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 w:type="character" w:customStyle="1" w:styleId="11">
    <w:name w:val="Encabezado Car"/>
    <w:basedOn w:val="2"/>
    <w:link w:val="6"/>
    <w:qFormat/>
    <w:uiPriority w:val="99"/>
  </w:style>
  <w:style w:type="character" w:customStyle="1" w:styleId="12">
    <w:name w:val="Pie de página Car"/>
    <w:basedOn w:val="2"/>
    <w:link w:val="5"/>
    <w:qFormat/>
    <w:uiPriority w:val="99"/>
  </w:style>
  <w:style w:type="character" w:customStyle="1" w:styleId="13">
    <w:name w:val="Texto de globo Car"/>
    <w:basedOn w:val="2"/>
    <w:link w:val="4"/>
    <w:semiHidden/>
    <w:qFormat/>
    <w:uiPriority w:val="99"/>
    <w:rPr>
      <w:rFonts w:ascii="Tahoma" w:hAnsi="Tahoma" w:cs="Tahoma" w:eastAsiaTheme="minorEastAsia"/>
      <w:sz w:val="16"/>
      <w:szCs w:val="16"/>
      <w:lang w:val="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endnotes" Target="end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7F8D8-E359-4AB7-BC34-9AC8FE0D7033}"/>
</file>

<file path=customXml/itemProps2.xml><?xml version="1.0" encoding="utf-8"?>
<ds:datastoreItem xmlns:ds="http://schemas.openxmlformats.org/officeDocument/2006/customXml" ds:itemID="{1BB0C8B8-FB70-4C54-ADAA-C0ABB9DB490F}"/>
</file>

<file path=customXml/itemProps3.xml><?xml version="1.0" encoding="utf-8"?>
<ds:datastoreItem xmlns:ds="http://schemas.openxmlformats.org/officeDocument/2006/customXml" ds:itemID="{6809219D-CFEA-48E4-A6D9-5082E2BCDE79}"/>
</file>

<file path=docProps/app.xml><?xml version="1.0" encoding="utf-8"?>
<Properties xmlns="http://schemas.openxmlformats.org/officeDocument/2006/extended-properties" xmlns:vt="http://schemas.openxmlformats.org/officeDocument/2006/docPropsVTypes">
  <Template>Normal</Template>
  <Pages>2</Pages>
  <Words>701</Words>
  <Characters>3719</Characters>
  <Lines>106</Lines>
  <Paragraphs>67</Paragraphs>
  <TotalTime>64</TotalTime>
  <ScaleCrop>false</ScaleCrop>
  <LinksUpToDate>false</LinksUpToDate>
  <CharactersWithSpaces>4353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Andrea</dc:creator>
  <cp:lastModifiedBy>S.Janja</cp:lastModifiedBy>
  <cp:revision>43</cp:revision>
  <dcterms:created xsi:type="dcterms:W3CDTF">2023-05-17T13:03:00Z</dcterms:created>
  <dcterms:modified xsi:type="dcterms:W3CDTF">2023-05-18T05:58:18Z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d73d0db6-876a-460f-8e94-55636aa2a27d</vt:lpwstr>
  </property>
  <property fmtid="{D5CDD505-2E9C-101B-9397-08002B2CF9AE}" pid="3" name="KSOProductBuildVer">
    <vt:lpwstr>1033-11.2.0.11537</vt:lpwstr>
  </property>
  <property fmtid="{D5CDD505-2E9C-101B-9397-08002B2CF9AE}" pid="4" name="ICV">
    <vt:lpwstr>EEA04E76960B42F391FA1264BB36D4C1</vt:lpwstr>
  </property>
  <property fmtid="{D5CDD505-2E9C-101B-9397-08002B2CF9AE}" pid="5" name="ContentTypeId">
    <vt:lpwstr>0x010100EFEBDE5D13C7C844895D4D0785CE1387</vt:lpwstr>
  </property>
</Properties>
</file>