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775D" w14:textId="487399AB" w:rsidR="00C37600" w:rsidRPr="007B0511" w:rsidRDefault="00680222" w:rsidP="00680222">
      <w:pPr>
        <w:pStyle w:val="Heading3"/>
        <w:spacing w:after="240"/>
        <w:rPr>
          <w:rFonts w:ascii="Lato" w:hAnsi="Lato" w:cs="Calibri"/>
          <w:b/>
          <w:bCs/>
          <w:color w:val="ED7D31" w:themeColor="accent2"/>
          <w:sz w:val="28"/>
          <w:szCs w:val="28"/>
        </w:rPr>
      </w:pPr>
      <w:bookmarkStart w:id="0" w:name="_Toc145342808"/>
      <w:bookmarkStart w:id="1" w:name="_Toc146044634"/>
      <w:r w:rsidRPr="007B0511">
        <w:rPr>
          <w:rStyle w:val="A1"/>
          <w:rFonts w:ascii="Lato" w:hAnsi="Lato"/>
          <w:b/>
          <w:bCs/>
          <w:color w:val="ED7D31" w:themeColor="accent2"/>
          <w:sz w:val="28"/>
          <w:szCs w:val="28"/>
        </w:rPr>
        <w:t xml:space="preserve">Annex 2. </w:t>
      </w:r>
      <w:r w:rsidR="00884C41" w:rsidRPr="007B0511">
        <w:rPr>
          <w:rStyle w:val="A1"/>
          <w:rFonts w:ascii="Lato" w:hAnsi="Lato"/>
          <w:b/>
          <w:bCs/>
          <w:color w:val="ED7D31" w:themeColor="accent2"/>
          <w:sz w:val="28"/>
          <w:szCs w:val="28"/>
        </w:rPr>
        <w:t>Brief report on the Technical Consultation Workshop on CVA for Nutrition Outcomes</w:t>
      </w:r>
      <w:bookmarkEnd w:id="0"/>
      <w:bookmarkEnd w:id="1"/>
    </w:p>
    <w:p w14:paraId="5E42340C" w14:textId="77777777" w:rsidR="007D234C" w:rsidRPr="007B0511" w:rsidRDefault="007D234C" w:rsidP="007D234C">
      <w:pPr>
        <w:spacing w:line="276" w:lineRule="auto"/>
        <w:rPr>
          <w:rFonts w:cstheme="minorHAnsi"/>
          <w:b/>
          <w:bCs/>
        </w:rPr>
      </w:pPr>
      <w:r w:rsidRPr="007B0511">
        <w:rPr>
          <w:rFonts w:cstheme="minorHAnsi"/>
          <w:b/>
          <w:bCs/>
        </w:rPr>
        <w:t>Table of Contents</w:t>
      </w:r>
    </w:p>
    <w:p w14:paraId="2CD38DF2" w14:textId="77777777" w:rsidR="007D234C" w:rsidRPr="007B0511" w:rsidRDefault="007D234C" w:rsidP="007D234C">
      <w:pPr>
        <w:spacing w:line="276" w:lineRule="auto"/>
        <w:rPr>
          <w:rFonts w:cstheme="minorHAnsi"/>
          <w:i/>
          <w:iCs/>
        </w:rPr>
      </w:pPr>
      <w:r w:rsidRPr="007B0511">
        <w:rPr>
          <w:rFonts w:cstheme="minorHAnsi"/>
          <w:i/>
          <w:iCs/>
        </w:rPr>
        <w:t>Acknowledgements</w:t>
      </w:r>
    </w:p>
    <w:p w14:paraId="4AF951BC" w14:textId="77777777" w:rsidR="007D234C" w:rsidRPr="007B0511" w:rsidRDefault="007D234C" w:rsidP="009B3816">
      <w:pPr>
        <w:pStyle w:val="ListParagraph"/>
        <w:keepNext w:val="0"/>
        <w:keepLines w:val="0"/>
        <w:numPr>
          <w:ilvl w:val="0"/>
          <w:numId w:val="29"/>
        </w:numPr>
        <w:snapToGrid/>
        <w:spacing w:line="276" w:lineRule="auto"/>
        <w:outlineLvl w:val="9"/>
        <w:rPr>
          <w:rFonts w:ascii="Lato" w:hAnsi="Lato" w:cstheme="minorHAnsi"/>
          <w:sz w:val="22"/>
          <w:szCs w:val="22"/>
          <w:lang w:val="en-US"/>
        </w:rPr>
      </w:pPr>
      <w:r w:rsidRPr="007B0511">
        <w:rPr>
          <w:rFonts w:ascii="Lato" w:hAnsi="Lato" w:cstheme="minorHAnsi"/>
          <w:sz w:val="22"/>
          <w:szCs w:val="22"/>
          <w:lang w:val="en-US"/>
        </w:rPr>
        <w:t>Background</w:t>
      </w:r>
    </w:p>
    <w:p w14:paraId="59C16473" w14:textId="77777777" w:rsidR="007D234C" w:rsidRPr="007B0511" w:rsidRDefault="007D234C" w:rsidP="009B3816">
      <w:pPr>
        <w:pStyle w:val="ListParagraph"/>
        <w:keepNext w:val="0"/>
        <w:keepLines w:val="0"/>
        <w:numPr>
          <w:ilvl w:val="0"/>
          <w:numId w:val="29"/>
        </w:numPr>
        <w:snapToGrid/>
        <w:spacing w:line="276" w:lineRule="auto"/>
        <w:outlineLvl w:val="9"/>
        <w:rPr>
          <w:rFonts w:ascii="Lato" w:hAnsi="Lato" w:cstheme="minorHAnsi"/>
          <w:sz w:val="22"/>
          <w:szCs w:val="22"/>
          <w:lang w:val="en-US"/>
        </w:rPr>
      </w:pPr>
      <w:r w:rsidRPr="007B0511">
        <w:rPr>
          <w:rFonts w:ascii="Lato" w:hAnsi="Lato" w:cstheme="minorHAnsi"/>
          <w:sz w:val="22"/>
          <w:szCs w:val="22"/>
          <w:lang w:val="en-US"/>
        </w:rPr>
        <w:t>Topics Covered</w:t>
      </w:r>
    </w:p>
    <w:p w14:paraId="6B3770BB" w14:textId="77777777" w:rsidR="007D234C" w:rsidRPr="007B0511" w:rsidRDefault="007D234C" w:rsidP="009B3816">
      <w:pPr>
        <w:pStyle w:val="ListParagraph"/>
        <w:keepNext w:val="0"/>
        <w:keepLines w:val="0"/>
        <w:numPr>
          <w:ilvl w:val="0"/>
          <w:numId w:val="29"/>
        </w:numPr>
        <w:snapToGrid/>
        <w:spacing w:line="276" w:lineRule="auto"/>
        <w:outlineLvl w:val="9"/>
        <w:rPr>
          <w:rFonts w:ascii="Lato" w:hAnsi="Lato" w:cstheme="minorHAnsi"/>
          <w:sz w:val="22"/>
          <w:szCs w:val="22"/>
          <w:lang w:val="en-US"/>
        </w:rPr>
      </w:pPr>
      <w:r w:rsidRPr="007B0511">
        <w:rPr>
          <w:rFonts w:ascii="Lato" w:hAnsi="Lato" w:cstheme="minorHAnsi"/>
          <w:sz w:val="22"/>
          <w:szCs w:val="22"/>
          <w:lang w:val="en-US"/>
        </w:rPr>
        <w:t>Results Reached</w:t>
      </w:r>
    </w:p>
    <w:p w14:paraId="48ECB7C9" w14:textId="77777777" w:rsidR="007D234C" w:rsidRPr="007B0511" w:rsidRDefault="007D234C" w:rsidP="009B3816">
      <w:pPr>
        <w:pStyle w:val="ListParagraph"/>
        <w:keepNext w:val="0"/>
        <w:keepLines w:val="0"/>
        <w:numPr>
          <w:ilvl w:val="1"/>
          <w:numId w:val="29"/>
        </w:numPr>
        <w:snapToGrid/>
        <w:spacing w:line="276" w:lineRule="auto"/>
        <w:jc w:val="both"/>
        <w:outlineLvl w:val="9"/>
        <w:rPr>
          <w:rFonts w:ascii="Lato" w:eastAsia="Open Sans" w:hAnsi="Lato" w:cstheme="minorHAnsi"/>
          <w:i/>
          <w:iCs/>
          <w:sz w:val="22"/>
          <w:szCs w:val="22"/>
          <w:lang w:val="en-US"/>
        </w:rPr>
      </w:pPr>
      <w:r w:rsidRPr="007B0511">
        <w:rPr>
          <w:rFonts w:ascii="Lato" w:eastAsia="Open Sans" w:hAnsi="Lato" w:cstheme="minorHAnsi"/>
          <w:i/>
          <w:iCs/>
          <w:sz w:val="22"/>
          <w:szCs w:val="22"/>
          <w:lang w:val="en-US"/>
        </w:rPr>
        <w:t>Cash Feasibility &amp; Risk Assessment</w:t>
      </w:r>
    </w:p>
    <w:p w14:paraId="3C536B9E" w14:textId="77777777" w:rsidR="007D234C" w:rsidRPr="007B0511" w:rsidRDefault="007D234C" w:rsidP="009B3816">
      <w:pPr>
        <w:pStyle w:val="ListParagraph"/>
        <w:keepNext w:val="0"/>
        <w:keepLines w:val="0"/>
        <w:numPr>
          <w:ilvl w:val="1"/>
          <w:numId w:val="29"/>
        </w:numPr>
        <w:snapToGrid/>
        <w:spacing w:line="276" w:lineRule="auto"/>
        <w:jc w:val="both"/>
        <w:outlineLvl w:val="9"/>
        <w:rPr>
          <w:rFonts w:ascii="Lato" w:eastAsia="Open Sans" w:hAnsi="Lato" w:cstheme="minorHAnsi"/>
          <w:i/>
          <w:iCs/>
          <w:sz w:val="22"/>
          <w:szCs w:val="22"/>
          <w:lang w:val="en-US"/>
        </w:rPr>
      </w:pPr>
      <w:r w:rsidRPr="007B0511">
        <w:rPr>
          <w:rFonts w:ascii="Lato" w:eastAsia="Open Sans" w:hAnsi="Lato" w:cstheme="minorHAnsi"/>
          <w:i/>
          <w:iCs/>
          <w:sz w:val="22"/>
          <w:szCs w:val="22"/>
          <w:lang w:val="en-US"/>
        </w:rPr>
        <w:t>Formation of Task Force for Nutrition in Emergencies CVA</w:t>
      </w:r>
    </w:p>
    <w:p w14:paraId="67545ED1" w14:textId="77777777" w:rsidR="007D234C" w:rsidRPr="007B0511" w:rsidRDefault="007D234C" w:rsidP="009B3816">
      <w:pPr>
        <w:pStyle w:val="ListParagraph"/>
        <w:keepNext w:val="0"/>
        <w:keepLines w:val="0"/>
        <w:numPr>
          <w:ilvl w:val="1"/>
          <w:numId w:val="29"/>
        </w:numPr>
        <w:snapToGrid/>
        <w:spacing w:line="276" w:lineRule="auto"/>
        <w:outlineLvl w:val="9"/>
        <w:rPr>
          <w:rFonts w:ascii="Lato" w:hAnsi="Lato" w:cstheme="minorHAnsi"/>
          <w:i/>
          <w:iCs/>
          <w:sz w:val="22"/>
          <w:szCs w:val="22"/>
          <w:lang w:val="en-US"/>
        </w:rPr>
      </w:pPr>
      <w:r w:rsidRPr="007B0511">
        <w:rPr>
          <w:rFonts w:ascii="Lato" w:hAnsi="Lato" w:cstheme="minorHAnsi"/>
          <w:i/>
          <w:iCs/>
          <w:sz w:val="22"/>
          <w:szCs w:val="22"/>
          <w:lang w:val="en-US"/>
        </w:rPr>
        <w:t>Recommended Action Points</w:t>
      </w:r>
    </w:p>
    <w:p w14:paraId="2AC670A3" w14:textId="77777777" w:rsidR="007D234C" w:rsidRPr="007B0511" w:rsidRDefault="007D234C" w:rsidP="009B3816">
      <w:pPr>
        <w:pStyle w:val="ListParagraph"/>
        <w:keepNext w:val="0"/>
        <w:keepLines w:val="0"/>
        <w:numPr>
          <w:ilvl w:val="1"/>
          <w:numId w:val="29"/>
        </w:numPr>
        <w:pBdr>
          <w:top w:val="nil"/>
          <w:left w:val="nil"/>
          <w:bottom w:val="nil"/>
          <w:right w:val="nil"/>
          <w:between w:val="nil"/>
        </w:pBdr>
        <w:snapToGrid/>
        <w:spacing w:line="276" w:lineRule="auto"/>
        <w:jc w:val="both"/>
        <w:outlineLvl w:val="9"/>
        <w:rPr>
          <w:rFonts w:ascii="Lato" w:eastAsia="Open Sans" w:hAnsi="Lato" w:cstheme="minorHAnsi"/>
          <w:i/>
          <w:iCs/>
          <w:sz w:val="22"/>
          <w:szCs w:val="22"/>
          <w:lang w:val="en-US"/>
        </w:rPr>
      </w:pPr>
      <w:r w:rsidRPr="007B0511">
        <w:rPr>
          <w:rFonts w:ascii="Lato" w:eastAsia="Open Sans" w:hAnsi="Lato" w:cstheme="minorHAnsi"/>
          <w:i/>
          <w:iCs/>
          <w:sz w:val="22"/>
          <w:szCs w:val="22"/>
          <w:lang w:val="en-US"/>
        </w:rPr>
        <w:t>Defining of Myanmar CVA Use Cases</w:t>
      </w:r>
    </w:p>
    <w:p w14:paraId="19DBE898" w14:textId="77777777" w:rsidR="007D234C" w:rsidRPr="007B0511" w:rsidRDefault="007D234C" w:rsidP="009B3816">
      <w:pPr>
        <w:pStyle w:val="ListParagraph"/>
        <w:keepNext w:val="0"/>
        <w:keepLines w:val="0"/>
        <w:numPr>
          <w:ilvl w:val="0"/>
          <w:numId w:val="29"/>
        </w:numPr>
        <w:snapToGrid/>
        <w:spacing w:line="276" w:lineRule="auto"/>
        <w:outlineLvl w:val="9"/>
        <w:rPr>
          <w:rFonts w:ascii="Lato" w:hAnsi="Lato" w:cstheme="minorHAnsi"/>
          <w:sz w:val="22"/>
          <w:szCs w:val="22"/>
          <w:lang w:val="en-US"/>
        </w:rPr>
      </w:pPr>
      <w:r w:rsidRPr="007B0511">
        <w:rPr>
          <w:rFonts w:ascii="Lato" w:hAnsi="Lato" w:cstheme="minorHAnsi"/>
          <w:sz w:val="22"/>
          <w:szCs w:val="22"/>
          <w:lang w:val="en-US"/>
        </w:rPr>
        <w:t>Key Reflections (Salient Points)</w:t>
      </w:r>
    </w:p>
    <w:p w14:paraId="2476DEB8" w14:textId="77777777" w:rsidR="007D234C" w:rsidRPr="007B0511" w:rsidRDefault="007D234C" w:rsidP="009B3816">
      <w:pPr>
        <w:pStyle w:val="ListParagraph"/>
        <w:keepNext w:val="0"/>
        <w:keepLines w:val="0"/>
        <w:numPr>
          <w:ilvl w:val="1"/>
          <w:numId w:val="29"/>
        </w:numPr>
        <w:snapToGrid/>
        <w:spacing w:line="276" w:lineRule="auto"/>
        <w:outlineLvl w:val="9"/>
        <w:rPr>
          <w:rFonts w:ascii="Lato" w:hAnsi="Lato" w:cstheme="minorHAnsi"/>
          <w:i/>
          <w:iCs/>
          <w:sz w:val="22"/>
          <w:szCs w:val="22"/>
          <w:lang w:val="en-US"/>
        </w:rPr>
      </w:pPr>
      <w:r w:rsidRPr="007B0511">
        <w:rPr>
          <w:rFonts w:ascii="Lato" w:hAnsi="Lato" w:cstheme="minorHAnsi"/>
          <w:i/>
          <w:iCs/>
          <w:sz w:val="22"/>
          <w:szCs w:val="22"/>
          <w:lang w:val="en-US"/>
        </w:rPr>
        <w:t>Lessons Learned</w:t>
      </w:r>
    </w:p>
    <w:p w14:paraId="7F4B07F7" w14:textId="77777777" w:rsidR="007D234C" w:rsidRPr="007B0511" w:rsidRDefault="007D234C" w:rsidP="009B3816">
      <w:pPr>
        <w:pStyle w:val="ListParagraph"/>
        <w:keepNext w:val="0"/>
        <w:keepLines w:val="0"/>
        <w:numPr>
          <w:ilvl w:val="1"/>
          <w:numId w:val="29"/>
        </w:numPr>
        <w:snapToGrid/>
        <w:spacing w:line="276" w:lineRule="auto"/>
        <w:outlineLvl w:val="9"/>
        <w:rPr>
          <w:rFonts w:ascii="Lato" w:hAnsi="Lato" w:cstheme="minorHAnsi"/>
          <w:i/>
          <w:iCs/>
          <w:sz w:val="22"/>
          <w:szCs w:val="22"/>
          <w:lang w:val="en-US"/>
        </w:rPr>
      </w:pPr>
      <w:r w:rsidRPr="007B0511">
        <w:rPr>
          <w:rFonts w:ascii="Lato" w:hAnsi="Lato" w:cstheme="minorHAnsi"/>
          <w:i/>
          <w:iCs/>
          <w:sz w:val="22"/>
          <w:szCs w:val="22"/>
          <w:lang w:val="en-US"/>
        </w:rPr>
        <w:t>Challenges</w:t>
      </w:r>
    </w:p>
    <w:p w14:paraId="7C7D87BC" w14:textId="77777777" w:rsidR="007D234C" w:rsidRPr="007B0511" w:rsidRDefault="007D234C" w:rsidP="009B3816">
      <w:pPr>
        <w:pStyle w:val="ListParagraph"/>
        <w:keepNext w:val="0"/>
        <w:keepLines w:val="0"/>
        <w:numPr>
          <w:ilvl w:val="1"/>
          <w:numId w:val="29"/>
        </w:numPr>
        <w:snapToGrid/>
        <w:spacing w:line="276" w:lineRule="auto"/>
        <w:outlineLvl w:val="9"/>
        <w:rPr>
          <w:rFonts w:ascii="Lato" w:hAnsi="Lato" w:cstheme="minorHAnsi"/>
          <w:i/>
          <w:iCs/>
          <w:sz w:val="22"/>
          <w:szCs w:val="22"/>
          <w:lang w:val="en-US"/>
        </w:rPr>
      </w:pPr>
      <w:r w:rsidRPr="007B0511">
        <w:rPr>
          <w:rFonts w:ascii="Lato" w:hAnsi="Lato" w:cstheme="minorHAnsi"/>
          <w:i/>
          <w:iCs/>
          <w:sz w:val="22"/>
          <w:szCs w:val="22"/>
          <w:lang w:val="en-US"/>
        </w:rPr>
        <w:t>Risks and Mitigation Measures </w:t>
      </w:r>
    </w:p>
    <w:p w14:paraId="76CD44FC" w14:textId="77777777" w:rsidR="007D234C" w:rsidRPr="007B0511" w:rsidRDefault="007D234C" w:rsidP="009B3816">
      <w:pPr>
        <w:pStyle w:val="ListParagraph"/>
        <w:keepNext w:val="0"/>
        <w:keepLines w:val="0"/>
        <w:numPr>
          <w:ilvl w:val="1"/>
          <w:numId w:val="29"/>
        </w:numPr>
        <w:snapToGrid/>
        <w:spacing w:line="276" w:lineRule="auto"/>
        <w:outlineLvl w:val="9"/>
        <w:rPr>
          <w:rFonts w:ascii="Lato" w:eastAsia="Arial" w:hAnsi="Lato" w:cstheme="minorHAnsi"/>
          <w:i/>
          <w:iCs/>
          <w:sz w:val="22"/>
          <w:szCs w:val="22"/>
          <w:lang w:val="en-US"/>
        </w:rPr>
      </w:pPr>
      <w:r w:rsidRPr="007B0511">
        <w:rPr>
          <w:rFonts w:ascii="Lato" w:eastAsia="Arial" w:hAnsi="Lato" w:cstheme="minorHAnsi"/>
          <w:i/>
          <w:iCs/>
          <w:sz w:val="22"/>
          <w:szCs w:val="22"/>
          <w:lang w:val="en-US"/>
        </w:rPr>
        <w:t>Cash Readiness and Appropriateness</w:t>
      </w:r>
    </w:p>
    <w:p w14:paraId="10F3F4A4" w14:textId="77777777" w:rsidR="007D234C" w:rsidRPr="007B0511" w:rsidRDefault="007D234C" w:rsidP="007D234C">
      <w:pPr>
        <w:spacing w:line="276" w:lineRule="auto"/>
        <w:rPr>
          <w:rFonts w:cstheme="minorHAnsi"/>
          <w:i/>
          <w:iCs/>
        </w:rPr>
      </w:pPr>
    </w:p>
    <w:p w14:paraId="79FCFF5B" w14:textId="77777777" w:rsidR="007D234C" w:rsidRPr="007B0511" w:rsidRDefault="007D234C" w:rsidP="007D234C">
      <w:pPr>
        <w:pStyle w:val="NoSpacing"/>
        <w:rPr>
          <w:rFonts w:ascii="Lato" w:hAnsi="Lato"/>
          <w:b/>
          <w:bCs/>
          <w:lang w:val="en-US"/>
        </w:rPr>
      </w:pPr>
      <w:r w:rsidRPr="007B0511">
        <w:rPr>
          <w:rFonts w:ascii="Lato" w:hAnsi="Lato"/>
          <w:b/>
          <w:bCs/>
          <w:lang w:val="en-US"/>
        </w:rPr>
        <w:t>Annexes</w:t>
      </w:r>
    </w:p>
    <w:p w14:paraId="79DD46B5" w14:textId="77777777" w:rsidR="007D234C" w:rsidRPr="007B0511" w:rsidRDefault="007D234C" w:rsidP="007D234C">
      <w:pPr>
        <w:pStyle w:val="NoSpacing"/>
        <w:rPr>
          <w:rFonts w:ascii="Lato" w:hAnsi="Lato"/>
          <w:lang w:val="en-US"/>
        </w:rPr>
      </w:pPr>
      <w:r w:rsidRPr="007B0511">
        <w:rPr>
          <w:rFonts w:ascii="Lato" w:hAnsi="Lato"/>
          <w:lang w:val="en-US"/>
        </w:rPr>
        <w:t>Annex 1 – Agenda</w:t>
      </w:r>
    </w:p>
    <w:p w14:paraId="38EE8950" w14:textId="77777777" w:rsidR="007D234C" w:rsidRPr="007B0511" w:rsidRDefault="007D234C" w:rsidP="007D234C">
      <w:pPr>
        <w:pStyle w:val="NoSpacing"/>
        <w:rPr>
          <w:rFonts w:ascii="Lato" w:hAnsi="Lato"/>
          <w:lang w:val="en-US"/>
        </w:rPr>
      </w:pPr>
      <w:r w:rsidRPr="007B0511">
        <w:rPr>
          <w:rFonts w:ascii="Lato" w:hAnsi="Lato"/>
          <w:lang w:val="en-US"/>
        </w:rPr>
        <w:t>Annex 2 – Participants List</w:t>
      </w:r>
    </w:p>
    <w:p w14:paraId="2FABEE0B" w14:textId="530D7AAA" w:rsidR="007D234C" w:rsidRPr="007B0511" w:rsidRDefault="001F4F02" w:rsidP="0086158B">
      <w:pPr>
        <w:pStyle w:val="NoSpacing"/>
        <w:rPr>
          <w:rFonts w:ascii="Lato" w:hAnsi="Lato" w:cstheme="minorHAnsi"/>
          <w:i/>
          <w:iCs/>
          <w:lang w:val="en-US"/>
        </w:rPr>
      </w:pPr>
      <w:r w:rsidRPr="007B0511">
        <w:rPr>
          <w:rFonts w:ascii="Lato" w:hAnsi="Lato"/>
          <w:lang w:val="en-US"/>
        </w:rPr>
        <w:t xml:space="preserve"> </w:t>
      </w:r>
    </w:p>
    <w:p w14:paraId="71D7F023" w14:textId="77777777" w:rsidR="007D234C" w:rsidRPr="007B0511" w:rsidRDefault="007D234C" w:rsidP="007D234C">
      <w:pPr>
        <w:spacing w:line="276" w:lineRule="auto"/>
        <w:rPr>
          <w:rFonts w:cstheme="minorHAnsi"/>
          <w:b/>
          <w:bCs/>
          <w:i/>
          <w:iCs/>
        </w:rPr>
      </w:pPr>
      <w:r w:rsidRPr="007B0511">
        <w:rPr>
          <w:rFonts w:cstheme="minorHAnsi"/>
          <w:b/>
          <w:bCs/>
          <w:i/>
          <w:iCs/>
        </w:rPr>
        <w:t>Acknowledgements</w:t>
      </w:r>
    </w:p>
    <w:p w14:paraId="04246E3F" w14:textId="77777777" w:rsidR="007D234C" w:rsidRPr="007B0511" w:rsidRDefault="007D234C" w:rsidP="00A67936">
      <w:pPr>
        <w:spacing w:line="276" w:lineRule="auto"/>
        <w:jc w:val="both"/>
        <w:rPr>
          <w:rFonts w:cstheme="minorHAnsi"/>
        </w:rPr>
      </w:pPr>
      <w:r w:rsidRPr="007B0511">
        <w:rPr>
          <w:rFonts w:cstheme="minorHAnsi"/>
        </w:rPr>
        <w:t>The GNC deployment team would like to extend its gratitude to Myanmar Nutrition Cluster, Cash Working Group and to all the partners for sharing their experiences and insights, which have been instrumental in shaping the development of the draft Operational Guidance. We are also grateful to UNICEF Myanmar for providing an excellent logistical support.</w:t>
      </w:r>
    </w:p>
    <w:p w14:paraId="04A6205C" w14:textId="77777777" w:rsidR="007D234C" w:rsidRPr="007B0511" w:rsidRDefault="007D234C" w:rsidP="007D234C">
      <w:pPr>
        <w:spacing w:line="276" w:lineRule="auto"/>
        <w:rPr>
          <w:rFonts w:cstheme="minorHAnsi"/>
        </w:rPr>
      </w:pPr>
    </w:p>
    <w:p w14:paraId="7434291C" w14:textId="77777777" w:rsidR="007D234C" w:rsidRPr="007B0511" w:rsidRDefault="007D234C" w:rsidP="009B3816">
      <w:pPr>
        <w:pStyle w:val="ListParagraph"/>
        <w:keepNext w:val="0"/>
        <w:keepLines w:val="0"/>
        <w:numPr>
          <w:ilvl w:val="0"/>
          <w:numId w:val="26"/>
        </w:numPr>
        <w:snapToGrid/>
        <w:spacing w:line="276" w:lineRule="auto"/>
        <w:outlineLvl w:val="9"/>
        <w:rPr>
          <w:rFonts w:ascii="Lato" w:hAnsi="Lato" w:cstheme="minorHAnsi"/>
          <w:b/>
          <w:bCs/>
          <w:sz w:val="22"/>
          <w:szCs w:val="22"/>
          <w:lang w:val="en-US"/>
        </w:rPr>
      </w:pPr>
      <w:r w:rsidRPr="007B0511">
        <w:rPr>
          <w:rFonts w:ascii="Lato" w:hAnsi="Lato" w:cstheme="minorHAnsi"/>
          <w:b/>
          <w:bCs/>
          <w:sz w:val="22"/>
          <w:szCs w:val="22"/>
          <w:lang w:val="en-US"/>
        </w:rPr>
        <w:t>Background</w:t>
      </w:r>
    </w:p>
    <w:p w14:paraId="508477B6" w14:textId="5DAB9262" w:rsidR="007D234C" w:rsidRPr="007B0511" w:rsidRDefault="007D234C" w:rsidP="003E6953">
      <w:pPr>
        <w:pStyle w:val="NoSpacing"/>
        <w:spacing w:after="240" w:line="276" w:lineRule="auto"/>
        <w:jc w:val="both"/>
        <w:rPr>
          <w:rFonts w:ascii="Lato" w:hAnsi="Lato" w:cstheme="minorHAnsi"/>
          <w:lang w:val="en-US"/>
        </w:rPr>
      </w:pPr>
      <w:r w:rsidRPr="007B0511">
        <w:rPr>
          <w:rFonts w:ascii="Lato" w:hAnsi="Lato" w:cstheme="minorHAnsi"/>
          <w:lang w:val="en-US"/>
        </w:rPr>
        <w:t>It is imperative that the humanitarian operating space requires expanding on response options that includes Cash Voucher Assistance (CVA) programs as the CVA will be important to reach out to persons inaccessible, in hard to reach and underserved.  CVA will also expand on available options to reach the most vulnerable children and women with humanitarian support. Hence, the UNOCHA retreat for clusters that was carried out in early 2023 in Bangkok recommended to expand the response modalities.</w:t>
      </w:r>
    </w:p>
    <w:p w14:paraId="04F16D05" w14:textId="77777777" w:rsidR="007D234C" w:rsidRPr="007B0511" w:rsidRDefault="007D234C" w:rsidP="003E6953">
      <w:pPr>
        <w:pStyle w:val="NoSpacing"/>
        <w:spacing w:line="276" w:lineRule="auto"/>
        <w:jc w:val="both"/>
        <w:rPr>
          <w:rFonts w:ascii="Lato" w:hAnsi="Lato" w:cstheme="minorHAnsi"/>
          <w:lang w:val="en-US"/>
        </w:rPr>
      </w:pPr>
      <w:r w:rsidRPr="007B0511">
        <w:rPr>
          <w:rFonts w:ascii="Lato" w:hAnsi="Lato" w:cstheme="minorHAnsi"/>
          <w:lang w:val="en-US"/>
        </w:rPr>
        <w:t>As an initial activity, a global webinar on “Introductory Concepts/ Orientation on Cash Voucher Assistance Programme in Nutrition In Emergencies and Explore opportunities for Adoption and Implementation in Myanmar” was held on 10 May 2023. In the Global webinar, it was recommended that Myanmar Guidelines for the CVA in Nutrition in Emergencies be drafted. This recommendation was also endorsed by the SAG+ which invariably includes all cluster partners – UN agencies, INGOs, NGO.</w:t>
      </w:r>
    </w:p>
    <w:p w14:paraId="3CEFFB82" w14:textId="77777777" w:rsidR="007D234C" w:rsidRPr="007B0511" w:rsidRDefault="007D234C" w:rsidP="007D234C">
      <w:pPr>
        <w:pStyle w:val="NoSpacing"/>
        <w:spacing w:line="276" w:lineRule="auto"/>
        <w:rPr>
          <w:rFonts w:ascii="Lato" w:hAnsi="Lato" w:cstheme="minorHAnsi"/>
          <w:lang w:val="en-US"/>
        </w:rPr>
      </w:pPr>
    </w:p>
    <w:p w14:paraId="0CB9EB41" w14:textId="360C820D" w:rsidR="007D234C" w:rsidRPr="007B0511" w:rsidRDefault="007D234C" w:rsidP="003E6953">
      <w:pPr>
        <w:pStyle w:val="NoSpacing"/>
        <w:spacing w:after="240" w:line="276" w:lineRule="auto"/>
        <w:jc w:val="both"/>
        <w:rPr>
          <w:rFonts w:ascii="Lato" w:hAnsi="Lato" w:cstheme="minorHAnsi"/>
          <w:lang w:val="en-US"/>
        </w:rPr>
      </w:pPr>
      <w:r w:rsidRPr="007B0511">
        <w:rPr>
          <w:rFonts w:ascii="Lato" w:hAnsi="Lato" w:cstheme="minorHAnsi"/>
          <w:lang w:val="en-US"/>
        </w:rPr>
        <w:lastRenderedPageBreak/>
        <w:t xml:space="preserve">In August 2023, GNC deployed a team of two CVA Nutrition Advisors to develop a skeleton guidance and a capacity development plan to support nutrition cluster partners to effectively implement CVA programmes that improve nutrition outcomes and to ensure harmonized approach to design and implement CVA to improve maternal and child nutrition outcome. </w:t>
      </w:r>
    </w:p>
    <w:p w14:paraId="5382E3A5" w14:textId="77777777" w:rsidR="007D234C" w:rsidRPr="007B0511" w:rsidRDefault="007D234C" w:rsidP="003E6953">
      <w:pPr>
        <w:spacing w:line="276" w:lineRule="auto"/>
        <w:jc w:val="both"/>
        <w:rPr>
          <w:rFonts w:cstheme="minorHAnsi"/>
        </w:rPr>
      </w:pPr>
      <w:r w:rsidRPr="007B0511">
        <w:rPr>
          <w:rFonts w:cstheme="minorHAnsi"/>
        </w:rPr>
        <w:t xml:space="preserve">As part of the Operational Guidance development process, </w:t>
      </w:r>
      <w:r w:rsidRPr="007B0511">
        <w:rPr>
          <w:rFonts w:eastAsia="Open Sans" w:cstheme="minorHAnsi"/>
        </w:rPr>
        <w:t xml:space="preserve">the Myanmar Nutrition Cluster in collaboration with the Myanmar Cash Working Group conducted a 3-day technical consultation workshop on CVA for nutrition in August 2023 at UNICEF Office in Yangon. A total of 27 CVA and Nutrition Specialists from 16 Agencies (8 from UN and 8 from INGOs) participated in the hybrid workshop where 12 participants were physically present at the workshop venue while the other 15 participated virtually via Zoom. </w:t>
      </w:r>
    </w:p>
    <w:p w14:paraId="5F641246" w14:textId="77777777" w:rsidR="007D234C" w:rsidRPr="007B0511" w:rsidRDefault="007D234C" w:rsidP="007D234C">
      <w:pPr>
        <w:spacing w:line="276" w:lineRule="auto"/>
        <w:jc w:val="both"/>
        <w:rPr>
          <w:rFonts w:eastAsia="Open Sans" w:cstheme="minorHAnsi"/>
        </w:rPr>
      </w:pPr>
    </w:p>
    <w:p w14:paraId="1D1DDF66" w14:textId="77777777" w:rsidR="007D234C" w:rsidRPr="007B0511" w:rsidRDefault="007D234C" w:rsidP="009B3816">
      <w:pPr>
        <w:pStyle w:val="ListParagraph"/>
        <w:keepNext w:val="0"/>
        <w:keepLines w:val="0"/>
        <w:numPr>
          <w:ilvl w:val="0"/>
          <w:numId w:val="26"/>
        </w:numPr>
        <w:snapToGrid/>
        <w:spacing w:line="276" w:lineRule="auto"/>
        <w:jc w:val="both"/>
        <w:outlineLvl w:val="9"/>
        <w:rPr>
          <w:rFonts w:ascii="Lato" w:eastAsia="Open Sans" w:hAnsi="Lato" w:cstheme="minorHAnsi"/>
          <w:b/>
          <w:bCs/>
          <w:sz w:val="22"/>
          <w:szCs w:val="22"/>
          <w:lang w:val="en-US"/>
        </w:rPr>
      </w:pPr>
      <w:r w:rsidRPr="007B0511">
        <w:rPr>
          <w:rFonts w:ascii="Lato" w:eastAsia="Open Sans" w:hAnsi="Lato" w:cstheme="minorHAnsi"/>
          <w:b/>
          <w:bCs/>
          <w:sz w:val="22"/>
          <w:szCs w:val="22"/>
          <w:lang w:val="en-US"/>
        </w:rPr>
        <w:t xml:space="preserve">Topics Covered  </w:t>
      </w:r>
    </w:p>
    <w:p w14:paraId="1E1008F9" w14:textId="77777777" w:rsidR="007D234C" w:rsidRPr="007B0511" w:rsidRDefault="007D234C" w:rsidP="007D234C">
      <w:pPr>
        <w:spacing w:line="276" w:lineRule="auto"/>
        <w:jc w:val="both"/>
        <w:rPr>
          <w:rFonts w:eastAsia="Open Sans" w:cstheme="minorHAnsi"/>
        </w:rPr>
      </w:pPr>
      <w:r w:rsidRPr="007B0511">
        <w:rPr>
          <w:rFonts w:eastAsia="Open Sans" w:cstheme="minorHAnsi"/>
        </w:rPr>
        <w:t xml:space="preserve">Below topics were covered in the technical consultation: </w:t>
      </w:r>
    </w:p>
    <w:p w14:paraId="683505C8" w14:textId="77777777" w:rsidR="007D234C" w:rsidRPr="007B0511" w:rsidRDefault="007D234C" w:rsidP="009B3816">
      <w:pPr>
        <w:pStyle w:val="ListParagraph"/>
        <w:keepNext w:val="0"/>
        <w:keepLines w:val="0"/>
        <w:numPr>
          <w:ilvl w:val="0"/>
          <w:numId w:val="27"/>
        </w:numPr>
        <w:snapToGrid/>
        <w:spacing w:line="276" w:lineRule="auto"/>
        <w:jc w:val="both"/>
        <w:outlineLvl w:val="9"/>
        <w:rPr>
          <w:rFonts w:ascii="Lato" w:eastAsia="Open Sans" w:hAnsi="Lato" w:cstheme="minorHAnsi"/>
          <w:sz w:val="22"/>
          <w:szCs w:val="22"/>
          <w:lang w:val="en-US"/>
        </w:rPr>
      </w:pPr>
      <w:r w:rsidRPr="007B0511">
        <w:rPr>
          <w:rFonts w:ascii="Lato" w:eastAsia="Open Sans" w:hAnsi="Lato" w:cstheme="minorHAnsi"/>
          <w:sz w:val="22"/>
          <w:szCs w:val="22"/>
          <w:lang w:val="en-US"/>
        </w:rPr>
        <w:t>Myanmar Nutrition Situation Analysis with CVA Lens</w:t>
      </w:r>
    </w:p>
    <w:p w14:paraId="552BB4E1" w14:textId="77777777" w:rsidR="007D234C" w:rsidRPr="007B0511" w:rsidRDefault="007D234C" w:rsidP="009B3816">
      <w:pPr>
        <w:pStyle w:val="ListParagraph"/>
        <w:keepNext w:val="0"/>
        <w:keepLines w:val="0"/>
        <w:numPr>
          <w:ilvl w:val="0"/>
          <w:numId w:val="27"/>
        </w:numPr>
        <w:snapToGrid/>
        <w:spacing w:line="276" w:lineRule="auto"/>
        <w:jc w:val="both"/>
        <w:outlineLvl w:val="9"/>
        <w:rPr>
          <w:rFonts w:ascii="Lato" w:eastAsia="Open Sans" w:hAnsi="Lato" w:cstheme="minorHAnsi"/>
          <w:sz w:val="22"/>
          <w:szCs w:val="22"/>
          <w:lang w:val="en-US"/>
        </w:rPr>
      </w:pPr>
      <w:r w:rsidRPr="007B0511">
        <w:rPr>
          <w:rFonts w:ascii="Lato" w:eastAsia="Open Sans" w:hAnsi="Lato" w:cstheme="minorHAnsi"/>
          <w:sz w:val="22"/>
          <w:szCs w:val="22"/>
          <w:lang w:val="en-US"/>
        </w:rPr>
        <w:t>Lessons Learned on CVA Programme for Nutrition in Myanmar (Practitioners’ Experiences)</w:t>
      </w:r>
    </w:p>
    <w:p w14:paraId="08C6F2CF" w14:textId="77777777" w:rsidR="007D234C" w:rsidRPr="007B0511" w:rsidRDefault="007D234C" w:rsidP="009B3816">
      <w:pPr>
        <w:pStyle w:val="ListParagraph"/>
        <w:keepNext w:val="0"/>
        <w:keepLines w:val="0"/>
        <w:numPr>
          <w:ilvl w:val="0"/>
          <w:numId w:val="27"/>
        </w:numPr>
        <w:snapToGrid/>
        <w:spacing w:line="276" w:lineRule="auto"/>
        <w:jc w:val="both"/>
        <w:outlineLvl w:val="9"/>
        <w:rPr>
          <w:rFonts w:ascii="Lato" w:eastAsia="Open Sans" w:hAnsi="Lato" w:cstheme="minorHAnsi"/>
          <w:sz w:val="22"/>
          <w:szCs w:val="22"/>
          <w:lang w:val="en-US"/>
        </w:rPr>
      </w:pPr>
      <w:r w:rsidRPr="007B0511">
        <w:rPr>
          <w:rFonts w:ascii="Lato" w:eastAsia="Open Sans" w:hAnsi="Lato" w:cstheme="minorHAnsi"/>
          <w:sz w:val="22"/>
          <w:szCs w:val="22"/>
          <w:lang w:val="en-US"/>
        </w:rPr>
        <w:t>Evidence on CVA for Nutrition</w:t>
      </w:r>
      <w:r w:rsidRPr="007B0511">
        <w:rPr>
          <w:rFonts w:ascii="Lato" w:eastAsia="Times New Roman" w:hAnsi="Lato" w:cstheme="minorHAnsi"/>
          <w:noProof/>
          <w:sz w:val="22"/>
          <w:szCs w:val="22"/>
          <w:lang w:val="en-US"/>
        </w:rPr>
        <w:t xml:space="preserve"> (Global overview on CVA to achieve nutrition outcomes)</w:t>
      </w:r>
    </w:p>
    <w:p w14:paraId="535DA539" w14:textId="77777777" w:rsidR="007D234C" w:rsidRPr="007B0511" w:rsidRDefault="007D234C" w:rsidP="009B3816">
      <w:pPr>
        <w:pStyle w:val="ListParagraph"/>
        <w:keepNext w:val="0"/>
        <w:keepLines w:val="0"/>
        <w:numPr>
          <w:ilvl w:val="0"/>
          <w:numId w:val="27"/>
        </w:numPr>
        <w:snapToGrid/>
        <w:spacing w:line="276" w:lineRule="auto"/>
        <w:jc w:val="both"/>
        <w:outlineLvl w:val="9"/>
        <w:rPr>
          <w:rFonts w:ascii="Lato" w:eastAsia="Open Sans" w:hAnsi="Lato" w:cstheme="minorHAnsi"/>
          <w:sz w:val="22"/>
          <w:szCs w:val="22"/>
          <w:lang w:val="en-US"/>
        </w:rPr>
      </w:pPr>
      <w:r w:rsidRPr="007B0511">
        <w:rPr>
          <w:rFonts w:ascii="Lato" w:eastAsia="Open Sans" w:hAnsi="Lato" w:cstheme="minorHAnsi"/>
          <w:sz w:val="22"/>
          <w:szCs w:val="22"/>
          <w:lang w:val="en-US"/>
        </w:rPr>
        <w:t>Setting CVA Transfer Values</w:t>
      </w:r>
    </w:p>
    <w:p w14:paraId="4A98541F" w14:textId="77777777" w:rsidR="007D234C" w:rsidRPr="007B0511" w:rsidRDefault="007D234C" w:rsidP="009B3816">
      <w:pPr>
        <w:pStyle w:val="ListParagraph"/>
        <w:keepNext w:val="0"/>
        <w:keepLines w:val="0"/>
        <w:numPr>
          <w:ilvl w:val="0"/>
          <w:numId w:val="27"/>
        </w:numPr>
        <w:snapToGrid/>
        <w:spacing w:line="276" w:lineRule="auto"/>
        <w:jc w:val="both"/>
        <w:outlineLvl w:val="9"/>
        <w:rPr>
          <w:rFonts w:ascii="Lato" w:eastAsia="Open Sans" w:hAnsi="Lato" w:cstheme="minorHAnsi"/>
          <w:sz w:val="22"/>
          <w:szCs w:val="22"/>
          <w:lang w:val="en-US"/>
        </w:rPr>
      </w:pPr>
      <w:r w:rsidRPr="007B0511">
        <w:rPr>
          <w:rFonts w:ascii="Lato" w:eastAsia="Open Sans" w:hAnsi="Lato" w:cstheme="minorHAnsi"/>
          <w:sz w:val="22"/>
          <w:szCs w:val="22"/>
          <w:lang w:val="en-US"/>
        </w:rPr>
        <w:t>Guidelines for Nutrition in Emergencies CVA</w:t>
      </w:r>
    </w:p>
    <w:p w14:paraId="50E00FFD" w14:textId="77777777" w:rsidR="007D234C" w:rsidRPr="007B0511" w:rsidRDefault="007D234C" w:rsidP="009B3816">
      <w:pPr>
        <w:pStyle w:val="ListParagraph"/>
        <w:keepNext w:val="0"/>
        <w:keepLines w:val="0"/>
        <w:numPr>
          <w:ilvl w:val="0"/>
          <w:numId w:val="27"/>
        </w:numPr>
        <w:snapToGrid/>
        <w:spacing w:line="276" w:lineRule="auto"/>
        <w:jc w:val="both"/>
        <w:outlineLvl w:val="9"/>
        <w:rPr>
          <w:rFonts w:ascii="Lato" w:eastAsia="Open Sans" w:hAnsi="Lato" w:cstheme="minorHAnsi"/>
          <w:sz w:val="22"/>
          <w:szCs w:val="22"/>
          <w:lang w:val="en-US"/>
        </w:rPr>
      </w:pPr>
      <w:r w:rsidRPr="007B0511">
        <w:rPr>
          <w:rFonts w:ascii="Lato" w:eastAsia="Open Sans" w:hAnsi="Lato" w:cstheme="minorHAnsi"/>
          <w:sz w:val="22"/>
          <w:szCs w:val="22"/>
          <w:lang w:val="en-US"/>
        </w:rPr>
        <w:t>CVA Feasibility and Appropriateness</w:t>
      </w:r>
    </w:p>
    <w:p w14:paraId="3ED237E0" w14:textId="77777777" w:rsidR="007D234C" w:rsidRPr="007B0511" w:rsidRDefault="007D234C" w:rsidP="009B3816">
      <w:pPr>
        <w:pStyle w:val="ListParagraph"/>
        <w:keepNext w:val="0"/>
        <w:keepLines w:val="0"/>
        <w:numPr>
          <w:ilvl w:val="0"/>
          <w:numId w:val="27"/>
        </w:numPr>
        <w:snapToGrid/>
        <w:spacing w:line="276" w:lineRule="auto"/>
        <w:outlineLvl w:val="9"/>
        <w:rPr>
          <w:rFonts w:ascii="Lato" w:hAnsi="Lato" w:cstheme="minorHAnsi"/>
          <w:sz w:val="22"/>
          <w:szCs w:val="22"/>
          <w:lang w:val="en-US"/>
        </w:rPr>
      </w:pPr>
      <w:r w:rsidRPr="007B0511">
        <w:rPr>
          <w:rFonts w:ascii="Lato" w:hAnsi="Lato" w:cstheme="minorHAnsi"/>
          <w:sz w:val="22"/>
          <w:szCs w:val="22"/>
          <w:lang w:val="en-US"/>
        </w:rPr>
        <w:t xml:space="preserve">Protection, Gender Mainstreaming and Accountability to Affected Populations </w:t>
      </w:r>
    </w:p>
    <w:p w14:paraId="21B6537C" w14:textId="77777777" w:rsidR="007D234C" w:rsidRPr="007B0511" w:rsidRDefault="007D234C" w:rsidP="009B3816">
      <w:pPr>
        <w:pStyle w:val="ListParagraph"/>
        <w:keepNext w:val="0"/>
        <w:keepLines w:val="0"/>
        <w:numPr>
          <w:ilvl w:val="0"/>
          <w:numId w:val="27"/>
        </w:numPr>
        <w:snapToGrid/>
        <w:spacing w:line="276" w:lineRule="auto"/>
        <w:jc w:val="both"/>
        <w:outlineLvl w:val="9"/>
        <w:rPr>
          <w:rFonts w:ascii="Lato" w:eastAsia="Open Sans" w:hAnsi="Lato" w:cstheme="minorHAnsi"/>
          <w:sz w:val="22"/>
          <w:szCs w:val="22"/>
          <w:lang w:val="en-US"/>
        </w:rPr>
      </w:pPr>
      <w:r w:rsidRPr="007B0511">
        <w:rPr>
          <w:rFonts w:ascii="Lato" w:eastAsia="Open Sans" w:hAnsi="Lato" w:cstheme="minorHAnsi"/>
          <w:sz w:val="22"/>
          <w:szCs w:val="22"/>
          <w:lang w:val="en-US"/>
        </w:rPr>
        <w:t>Task Force for Nutrition in Emergencies CVA</w:t>
      </w:r>
    </w:p>
    <w:p w14:paraId="6AAD7DFB" w14:textId="77777777" w:rsidR="007D234C" w:rsidRPr="007B0511" w:rsidRDefault="007D234C" w:rsidP="007D234C">
      <w:pPr>
        <w:spacing w:line="276" w:lineRule="auto"/>
        <w:jc w:val="both"/>
        <w:rPr>
          <w:rFonts w:eastAsia="Open Sans" w:cstheme="minorHAnsi"/>
        </w:rPr>
      </w:pPr>
    </w:p>
    <w:p w14:paraId="1CC70065" w14:textId="77777777" w:rsidR="007D234C" w:rsidRPr="007B0511" w:rsidRDefault="007D234C" w:rsidP="009B3816">
      <w:pPr>
        <w:pStyle w:val="ListParagraph"/>
        <w:keepNext w:val="0"/>
        <w:keepLines w:val="0"/>
        <w:numPr>
          <w:ilvl w:val="0"/>
          <w:numId w:val="26"/>
        </w:numPr>
        <w:snapToGrid/>
        <w:spacing w:line="276" w:lineRule="auto"/>
        <w:jc w:val="both"/>
        <w:outlineLvl w:val="9"/>
        <w:rPr>
          <w:rFonts w:ascii="Lato" w:eastAsia="Open Sans" w:hAnsi="Lato" w:cstheme="minorHAnsi"/>
          <w:b/>
          <w:bCs/>
          <w:sz w:val="22"/>
          <w:szCs w:val="22"/>
          <w:lang w:val="en-US"/>
        </w:rPr>
      </w:pPr>
      <w:r w:rsidRPr="007B0511">
        <w:rPr>
          <w:rFonts w:ascii="Lato" w:eastAsia="Open Sans" w:hAnsi="Lato" w:cstheme="minorHAnsi"/>
          <w:b/>
          <w:bCs/>
          <w:sz w:val="22"/>
          <w:szCs w:val="22"/>
          <w:lang w:val="en-US"/>
        </w:rPr>
        <w:t>Results Reached</w:t>
      </w:r>
    </w:p>
    <w:p w14:paraId="1966DFFC" w14:textId="77777777" w:rsidR="007D234C" w:rsidRPr="007B0511" w:rsidRDefault="007D234C" w:rsidP="009B3816">
      <w:pPr>
        <w:pStyle w:val="ListParagraph"/>
        <w:keepNext w:val="0"/>
        <w:keepLines w:val="0"/>
        <w:numPr>
          <w:ilvl w:val="0"/>
          <w:numId w:val="28"/>
        </w:numPr>
        <w:snapToGrid/>
        <w:spacing w:line="276" w:lineRule="auto"/>
        <w:jc w:val="both"/>
        <w:outlineLvl w:val="9"/>
        <w:rPr>
          <w:rFonts w:ascii="Lato" w:eastAsia="Open Sans" w:hAnsi="Lato" w:cstheme="minorHAnsi"/>
          <w:b/>
          <w:bCs/>
          <w:i/>
          <w:iCs/>
          <w:sz w:val="22"/>
          <w:szCs w:val="22"/>
          <w:lang w:val="en-US"/>
        </w:rPr>
      </w:pPr>
      <w:r w:rsidRPr="007B0511">
        <w:rPr>
          <w:rFonts w:ascii="Lato" w:eastAsia="Open Sans" w:hAnsi="Lato" w:cstheme="minorHAnsi"/>
          <w:b/>
          <w:bCs/>
          <w:i/>
          <w:iCs/>
          <w:sz w:val="22"/>
          <w:szCs w:val="22"/>
          <w:lang w:val="en-US"/>
        </w:rPr>
        <w:t>Cash Feasibility &amp; Risk Assessment (FRA)</w:t>
      </w:r>
    </w:p>
    <w:p w14:paraId="1AAB905B" w14:textId="77777777" w:rsidR="007D234C" w:rsidRPr="007B0511" w:rsidRDefault="007D234C" w:rsidP="007D234C">
      <w:pPr>
        <w:ind w:left="360"/>
        <w:jc w:val="both"/>
        <w:rPr>
          <w:rFonts w:eastAsia="Open Sans" w:cstheme="minorHAnsi"/>
        </w:rPr>
      </w:pPr>
      <w:r w:rsidRPr="007B0511">
        <w:rPr>
          <w:rFonts w:eastAsia="Open Sans" w:cstheme="minorHAnsi"/>
        </w:rPr>
        <w:t>CVA Nutrition Task Force will provide technical support to the implementing partners who seek technical assistance on FRA tools including Delivery Mechanism Assessment (DMA) and Market Assessment (MA). It was agreed that FRA tools shall be developed according to specific nutrition intervention. It is most likely that the ones conducting FRA will be the CBOs/ CSOs of the implementing partners, as such, the tools should be user friendly, short and simple and easy to understand.</w:t>
      </w:r>
    </w:p>
    <w:p w14:paraId="42CDA350" w14:textId="77777777" w:rsidR="007D234C" w:rsidRPr="007B0511" w:rsidRDefault="007D234C" w:rsidP="007D234C">
      <w:pPr>
        <w:ind w:left="360"/>
        <w:jc w:val="both"/>
        <w:rPr>
          <w:rFonts w:eastAsia="Open Sans" w:cstheme="minorHAnsi"/>
        </w:rPr>
      </w:pPr>
      <w:r w:rsidRPr="007B0511">
        <w:rPr>
          <w:rFonts w:eastAsia="Open Sans" w:cstheme="minorHAnsi"/>
        </w:rPr>
        <w:t>As part of</w:t>
      </w:r>
      <w:r w:rsidRPr="007B0511">
        <w:t xml:space="preserve"> the feasibility and appropriateness analysis, it is recommended also to assess and verify the usage and acceptance on the Specialized Nutritious Food (SNF).</w:t>
      </w:r>
    </w:p>
    <w:p w14:paraId="65FF0D00" w14:textId="77777777" w:rsidR="007D234C" w:rsidRPr="007B0511" w:rsidRDefault="007D234C" w:rsidP="007D234C">
      <w:pPr>
        <w:ind w:left="360"/>
        <w:jc w:val="both"/>
        <w:rPr>
          <w:rFonts w:eastAsia="Open Sans" w:cstheme="minorHAnsi"/>
        </w:rPr>
      </w:pPr>
    </w:p>
    <w:p w14:paraId="04A2AA25" w14:textId="77777777" w:rsidR="007D234C" w:rsidRPr="007B0511" w:rsidRDefault="007D234C" w:rsidP="009B3816">
      <w:pPr>
        <w:pStyle w:val="ListParagraph"/>
        <w:keepNext w:val="0"/>
        <w:keepLines w:val="0"/>
        <w:numPr>
          <w:ilvl w:val="0"/>
          <w:numId w:val="28"/>
        </w:numPr>
        <w:snapToGrid/>
        <w:spacing w:line="276" w:lineRule="auto"/>
        <w:jc w:val="both"/>
        <w:outlineLvl w:val="9"/>
        <w:rPr>
          <w:rFonts w:ascii="Lato" w:eastAsia="Open Sans" w:hAnsi="Lato" w:cstheme="minorHAnsi"/>
          <w:b/>
          <w:bCs/>
          <w:i/>
          <w:iCs/>
          <w:sz w:val="22"/>
          <w:szCs w:val="22"/>
          <w:lang w:val="en-US"/>
        </w:rPr>
      </w:pPr>
      <w:r w:rsidRPr="007B0511">
        <w:rPr>
          <w:rFonts w:ascii="Lato" w:eastAsia="Open Sans" w:hAnsi="Lato" w:cstheme="minorHAnsi"/>
          <w:b/>
          <w:bCs/>
          <w:i/>
          <w:iCs/>
          <w:sz w:val="22"/>
          <w:szCs w:val="22"/>
          <w:lang w:val="en-US"/>
        </w:rPr>
        <w:t>Formation of Task Force for Nutrition in Emergencies CVA</w:t>
      </w:r>
    </w:p>
    <w:p w14:paraId="6F660B8E" w14:textId="77777777" w:rsidR="007D234C" w:rsidRPr="007B0511" w:rsidRDefault="007D234C" w:rsidP="007D234C">
      <w:pPr>
        <w:pStyle w:val="NormalWeb"/>
        <w:spacing w:line="276" w:lineRule="auto"/>
        <w:ind w:left="360"/>
        <w:jc w:val="both"/>
        <w:rPr>
          <w:rFonts w:ascii="Lato" w:hAnsi="Lato" w:cstheme="minorHAnsi"/>
          <w:sz w:val="22"/>
          <w:szCs w:val="22"/>
        </w:rPr>
      </w:pPr>
      <w:r w:rsidRPr="007B0511">
        <w:rPr>
          <w:rFonts w:ascii="Lato" w:hAnsi="Lato" w:cstheme="minorHAnsi"/>
          <w:sz w:val="22"/>
          <w:szCs w:val="22"/>
        </w:rPr>
        <w:t xml:space="preserve">The Myanmar Cash Working Group and Myanmar Nutrition Cluster Unit have come together to establish this critical inter-agency platform, following expressed interested from their joint membership. The Myanmar CVA Nutrition Task Force (TF) is a forum of technical professionals dedicated to working towards developing best practice of enhancing Nutrition outcomes through utilising Cash and Voucher Assistance (CVA) and Market Based Approaches (MBA) sectorally and multi-sectorally. </w:t>
      </w:r>
    </w:p>
    <w:p w14:paraId="0CFC80DD" w14:textId="21502B02" w:rsidR="007D234C" w:rsidRPr="007B0511" w:rsidRDefault="007D234C" w:rsidP="00EC3688">
      <w:pPr>
        <w:pStyle w:val="NormalWeb"/>
        <w:spacing w:line="276" w:lineRule="auto"/>
        <w:ind w:left="360"/>
        <w:jc w:val="both"/>
        <w:rPr>
          <w:rFonts w:ascii="Lato" w:hAnsi="Lato" w:cstheme="minorHAnsi"/>
          <w:sz w:val="22"/>
          <w:szCs w:val="22"/>
        </w:rPr>
      </w:pPr>
      <w:r w:rsidRPr="007B0511">
        <w:rPr>
          <w:rFonts w:ascii="Lato" w:hAnsi="Lato" w:cstheme="minorHAnsi"/>
          <w:sz w:val="22"/>
          <w:szCs w:val="22"/>
        </w:rPr>
        <w:lastRenderedPageBreak/>
        <w:t xml:space="preserve">The TF will include both technical functions that focus on process (such as sharing lessons learnt, harmonising approaches, developing guidelines, SOPs and Systems when necessary) and strategic functions that focus more on results and impact (such as treatment and preventative approaches, sustainable solution, multi-sectoral needs, advocacy to promote appropriate cash and voucher assistance and influence policy). </w:t>
      </w:r>
    </w:p>
    <w:p w14:paraId="4DE854FB" w14:textId="77777777" w:rsidR="007D234C" w:rsidRPr="007B0511" w:rsidRDefault="007D234C" w:rsidP="009B3816">
      <w:pPr>
        <w:pStyle w:val="NormalWeb"/>
        <w:numPr>
          <w:ilvl w:val="0"/>
          <w:numId w:val="28"/>
        </w:numPr>
        <w:spacing w:line="276" w:lineRule="auto"/>
        <w:jc w:val="both"/>
        <w:rPr>
          <w:rFonts w:ascii="Lato" w:hAnsi="Lato" w:cstheme="minorHAnsi"/>
          <w:i/>
          <w:iCs/>
          <w:sz w:val="22"/>
          <w:szCs w:val="22"/>
        </w:rPr>
      </w:pPr>
      <w:r w:rsidRPr="007B0511">
        <w:rPr>
          <w:rFonts w:ascii="Lato" w:hAnsi="Lato" w:cstheme="minorHAnsi"/>
          <w:b/>
          <w:bCs/>
          <w:i/>
          <w:iCs/>
          <w:sz w:val="22"/>
          <w:szCs w:val="22"/>
        </w:rPr>
        <w:t>Recommended Action Points</w:t>
      </w:r>
    </w:p>
    <w:p w14:paraId="651111F3" w14:textId="77777777" w:rsidR="007D234C" w:rsidRPr="007B0511" w:rsidRDefault="007D234C" w:rsidP="009B3816">
      <w:pPr>
        <w:pStyle w:val="ListParagraph"/>
        <w:keepNext w:val="0"/>
        <w:keepLines w:val="0"/>
        <w:numPr>
          <w:ilvl w:val="1"/>
          <w:numId w:val="28"/>
        </w:numPr>
        <w:snapToGrid/>
        <w:outlineLvl w:val="9"/>
        <w:rPr>
          <w:rFonts w:ascii="Lato" w:eastAsia="Times New Roman" w:hAnsi="Lato" w:cstheme="minorHAnsi"/>
          <w:sz w:val="22"/>
          <w:szCs w:val="22"/>
          <w:lang w:val="en-US"/>
        </w:rPr>
      </w:pPr>
      <w:r w:rsidRPr="007B0511">
        <w:rPr>
          <w:rFonts w:ascii="Lato" w:eastAsia="Times New Roman" w:hAnsi="Lato" w:cstheme="minorHAnsi"/>
          <w:sz w:val="22"/>
          <w:szCs w:val="22"/>
          <w:lang w:val="en-US"/>
        </w:rPr>
        <w:t>Validation and finalization of draft Operational Guidance - TF</w:t>
      </w:r>
    </w:p>
    <w:p w14:paraId="5AEA7F47" w14:textId="77777777" w:rsidR="007D234C" w:rsidRPr="007B0511" w:rsidRDefault="007D234C" w:rsidP="009B3816">
      <w:pPr>
        <w:pStyle w:val="ListParagraph"/>
        <w:keepNext w:val="0"/>
        <w:keepLines w:val="0"/>
        <w:numPr>
          <w:ilvl w:val="1"/>
          <w:numId w:val="28"/>
        </w:numPr>
        <w:snapToGrid/>
        <w:outlineLvl w:val="9"/>
        <w:rPr>
          <w:rFonts w:ascii="Lato" w:eastAsia="Times New Roman" w:hAnsi="Lato" w:cstheme="minorHAnsi"/>
          <w:sz w:val="22"/>
          <w:szCs w:val="22"/>
          <w:lang w:val="en-US"/>
        </w:rPr>
      </w:pPr>
      <w:r w:rsidRPr="007B0511">
        <w:rPr>
          <w:rFonts w:ascii="Lato" w:eastAsia="Times New Roman" w:hAnsi="Lato" w:cstheme="minorHAnsi"/>
          <w:sz w:val="22"/>
          <w:szCs w:val="22"/>
          <w:lang w:val="en-US"/>
        </w:rPr>
        <w:t>Capacity Building (Online Training/ Consultation) – NC &amp; CWG</w:t>
      </w:r>
    </w:p>
    <w:p w14:paraId="7121A520" w14:textId="77777777" w:rsidR="007D234C" w:rsidRPr="007B0511" w:rsidRDefault="007D234C" w:rsidP="009B3816">
      <w:pPr>
        <w:pStyle w:val="ListParagraph"/>
        <w:keepNext w:val="0"/>
        <w:keepLines w:val="0"/>
        <w:numPr>
          <w:ilvl w:val="1"/>
          <w:numId w:val="28"/>
        </w:numPr>
        <w:snapToGrid/>
        <w:outlineLvl w:val="9"/>
        <w:rPr>
          <w:rFonts w:ascii="Lato" w:eastAsia="Times New Roman" w:hAnsi="Lato" w:cstheme="minorHAnsi"/>
          <w:sz w:val="22"/>
          <w:szCs w:val="22"/>
          <w:lang w:val="en-US"/>
        </w:rPr>
      </w:pPr>
      <w:r w:rsidRPr="007B0511">
        <w:rPr>
          <w:rFonts w:ascii="Lato" w:eastAsia="Times New Roman" w:hAnsi="Lato" w:cstheme="minorHAnsi"/>
          <w:sz w:val="22"/>
          <w:szCs w:val="22"/>
          <w:lang w:val="en-US"/>
        </w:rPr>
        <w:t>Harmonization – TF, NC &amp; CWG</w:t>
      </w:r>
    </w:p>
    <w:p w14:paraId="32C8B0C4" w14:textId="77777777" w:rsidR="007D234C" w:rsidRPr="007B0511" w:rsidRDefault="007D234C" w:rsidP="009B3816">
      <w:pPr>
        <w:pStyle w:val="ListParagraph"/>
        <w:keepNext w:val="0"/>
        <w:keepLines w:val="0"/>
        <w:numPr>
          <w:ilvl w:val="2"/>
          <w:numId w:val="28"/>
        </w:numPr>
        <w:snapToGrid/>
        <w:outlineLvl w:val="9"/>
        <w:rPr>
          <w:rFonts w:ascii="Lato" w:eastAsia="Times New Roman" w:hAnsi="Lato" w:cstheme="minorHAnsi"/>
          <w:sz w:val="22"/>
          <w:szCs w:val="22"/>
          <w:lang w:val="en-US"/>
        </w:rPr>
      </w:pPr>
      <w:r w:rsidRPr="007B0511">
        <w:rPr>
          <w:rFonts w:ascii="Lato" w:eastAsia="Times New Roman" w:hAnsi="Lato" w:cstheme="minorHAnsi"/>
          <w:sz w:val="22"/>
          <w:szCs w:val="22"/>
          <w:lang w:val="en-US"/>
        </w:rPr>
        <w:t>Transfer Values</w:t>
      </w:r>
    </w:p>
    <w:p w14:paraId="583217A8" w14:textId="77777777" w:rsidR="007D234C" w:rsidRPr="007B0511" w:rsidRDefault="007D234C" w:rsidP="009B3816">
      <w:pPr>
        <w:pStyle w:val="ListParagraph"/>
        <w:keepNext w:val="0"/>
        <w:keepLines w:val="0"/>
        <w:numPr>
          <w:ilvl w:val="2"/>
          <w:numId w:val="28"/>
        </w:numPr>
        <w:snapToGrid/>
        <w:outlineLvl w:val="9"/>
        <w:rPr>
          <w:rFonts w:ascii="Lato" w:eastAsia="Times New Roman" w:hAnsi="Lato" w:cstheme="minorHAnsi"/>
          <w:sz w:val="22"/>
          <w:szCs w:val="22"/>
          <w:lang w:val="en-US"/>
        </w:rPr>
      </w:pPr>
      <w:r w:rsidRPr="007B0511">
        <w:rPr>
          <w:rFonts w:ascii="Lato" w:eastAsia="Times New Roman" w:hAnsi="Lato" w:cstheme="minorHAnsi"/>
          <w:sz w:val="22"/>
          <w:szCs w:val="22"/>
          <w:lang w:val="en-US"/>
        </w:rPr>
        <w:t>Indicators</w:t>
      </w:r>
    </w:p>
    <w:p w14:paraId="14C27AAD" w14:textId="77777777" w:rsidR="007D234C" w:rsidRPr="007B0511" w:rsidRDefault="007D234C" w:rsidP="009B3816">
      <w:pPr>
        <w:pStyle w:val="ListParagraph"/>
        <w:keepNext w:val="0"/>
        <w:keepLines w:val="0"/>
        <w:numPr>
          <w:ilvl w:val="2"/>
          <w:numId w:val="28"/>
        </w:numPr>
        <w:snapToGrid/>
        <w:outlineLvl w:val="9"/>
        <w:rPr>
          <w:rFonts w:ascii="Lato" w:eastAsia="Times New Roman" w:hAnsi="Lato" w:cstheme="minorHAnsi"/>
          <w:sz w:val="22"/>
          <w:szCs w:val="22"/>
          <w:lang w:val="en-US"/>
        </w:rPr>
      </w:pPr>
    </w:p>
    <w:p w14:paraId="03E8EEE1" w14:textId="77777777" w:rsidR="007D234C" w:rsidRPr="007B0511" w:rsidRDefault="007D234C" w:rsidP="009B3816">
      <w:pPr>
        <w:pStyle w:val="ListParagraph"/>
        <w:keepNext w:val="0"/>
        <w:keepLines w:val="0"/>
        <w:numPr>
          <w:ilvl w:val="1"/>
          <w:numId w:val="28"/>
        </w:numPr>
        <w:snapToGrid/>
        <w:outlineLvl w:val="9"/>
        <w:rPr>
          <w:rFonts w:ascii="Lato" w:eastAsia="Times New Roman" w:hAnsi="Lato" w:cstheme="minorHAnsi"/>
          <w:sz w:val="22"/>
          <w:szCs w:val="22"/>
          <w:lang w:val="en-US"/>
        </w:rPr>
      </w:pPr>
      <w:r w:rsidRPr="007B0511">
        <w:rPr>
          <w:rFonts w:ascii="Lato" w:eastAsia="Times New Roman" w:hAnsi="Lato" w:cstheme="minorHAnsi"/>
          <w:sz w:val="22"/>
          <w:szCs w:val="22"/>
          <w:lang w:val="en-US"/>
        </w:rPr>
        <w:t xml:space="preserve">Identify and address gaps to include in Operational Guidance (V-2)  - TF, NC &amp; CWG </w:t>
      </w:r>
    </w:p>
    <w:p w14:paraId="1A20F1C7" w14:textId="77777777" w:rsidR="007D234C" w:rsidRPr="007B0511" w:rsidRDefault="007D234C" w:rsidP="009B3816">
      <w:pPr>
        <w:pStyle w:val="ListParagraph"/>
        <w:keepNext w:val="0"/>
        <w:keepLines w:val="0"/>
        <w:numPr>
          <w:ilvl w:val="1"/>
          <w:numId w:val="28"/>
        </w:numPr>
        <w:snapToGrid/>
        <w:outlineLvl w:val="9"/>
        <w:rPr>
          <w:rFonts w:ascii="Lato" w:eastAsia="Times New Roman" w:hAnsi="Lato" w:cstheme="minorHAnsi"/>
          <w:sz w:val="22"/>
          <w:szCs w:val="22"/>
          <w:lang w:val="en-US"/>
        </w:rPr>
      </w:pPr>
      <w:r w:rsidRPr="007B0511">
        <w:rPr>
          <w:rFonts w:ascii="Lato" w:eastAsia="Times New Roman" w:hAnsi="Lato" w:cstheme="minorHAnsi"/>
          <w:sz w:val="22"/>
          <w:szCs w:val="22"/>
          <w:lang w:val="en-US"/>
        </w:rPr>
        <w:t>Provide technical support to implementing partners – NC &amp; CWG</w:t>
      </w:r>
    </w:p>
    <w:p w14:paraId="7CE81011" w14:textId="77777777" w:rsidR="007D234C" w:rsidRPr="007B0511" w:rsidRDefault="007D234C" w:rsidP="009B3816">
      <w:pPr>
        <w:pStyle w:val="ListParagraph"/>
        <w:keepNext w:val="0"/>
        <w:keepLines w:val="0"/>
        <w:numPr>
          <w:ilvl w:val="2"/>
          <w:numId w:val="28"/>
        </w:numPr>
        <w:snapToGrid/>
        <w:outlineLvl w:val="9"/>
        <w:rPr>
          <w:rFonts w:ascii="Lato" w:eastAsia="Times New Roman" w:hAnsi="Lato" w:cstheme="minorHAnsi"/>
          <w:sz w:val="22"/>
          <w:szCs w:val="22"/>
          <w:lang w:val="en-US"/>
        </w:rPr>
      </w:pPr>
      <w:r w:rsidRPr="007B0511">
        <w:rPr>
          <w:rFonts w:ascii="Lato" w:eastAsia="Times New Roman" w:hAnsi="Lato" w:cstheme="minorHAnsi"/>
          <w:sz w:val="22"/>
          <w:szCs w:val="22"/>
          <w:lang w:val="en-US"/>
        </w:rPr>
        <w:t>Operationalizing of the Guidance</w:t>
      </w:r>
    </w:p>
    <w:p w14:paraId="6DBD65E4" w14:textId="77777777" w:rsidR="007D234C" w:rsidRPr="007B0511" w:rsidRDefault="007D234C" w:rsidP="009B3816">
      <w:pPr>
        <w:pStyle w:val="ListParagraph"/>
        <w:keepNext w:val="0"/>
        <w:keepLines w:val="0"/>
        <w:numPr>
          <w:ilvl w:val="2"/>
          <w:numId w:val="28"/>
        </w:numPr>
        <w:snapToGrid/>
        <w:outlineLvl w:val="9"/>
        <w:rPr>
          <w:rFonts w:ascii="Lato" w:eastAsia="Times New Roman" w:hAnsi="Lato" w:cstheme="minorHAnsi"/>
          <w:sz w:val="22"/>
          <w:szCs w:val="22"/>
          <w:lang w:val="en-US"/>
        </w:rPr>
      </w:pPr>
      <w:r w:rsidRPr="007B0511">
        <w:rPr>
          <w:rFonts w:ascii="Lato" w:eastAsia="Times New Roman" w:hAnsi="Lato" w:cstheme="minorHAnsi"/>
          <w:sz w:val="22"/>
          <w:szCs w:val="22"/>
          <w:lang w:val="en-US"/>
        </w:rPr>
        <w:t xml:space="preserve">Developing SoPs </w:t>
      </w:r>
    </w:p>
    <w:p w14:paraId="15FAD6A3" w14:textId="77777777" w:rsidR="007D234C" w:rsidRPr="007B0511" w:rsidRDefault="007D234C" w:rsidP="009B3816">
      <w:pPr>
        <w:pStyle w:val="ListParagraph"/>
        <w:keepNext w:val="0"/>
        <w:keepLines w:val="0"/>
        <w:numPr>
          <w:ilvl w:val="2"/>
          <w:numId w:val="28"/>
        </w:numPr>
        <w:snapToGrid/>
        <w:outlineLvl w:val="9"/>
        <w:rPr>
          <w:rFonts w:ascii="Lato" w:eastAsia="Times New Roman" w:hAnsi="Lato" w:cstheme="minorHAnsi"/>
          <w:sz w:val="22"/>
          <w:szCs w:val="22"/>
          <w:lang w:val="en-US"/>
        </w:rPr>
      </w:pPr>
      <w:r w:rsidRPr="007B0511">
        <w:rPr>
          <w:rFonts w:ascii="Lato" w:eastAsia="Times New Roman" w:hAnsi="Lato" w:cstheme="minorHAnsi"/>
          <w:sz w:val="22"/>
          <w:szCs w:val="22"/>
          <w:lang w:val="en-US"/>
        </w:rPr>
        <w:t>Support on FRA</w:t>
      </w:r>
    </w:p>
    <w:p w14:paraId="5308F9F7" w14:textId="77777777" w:rsidR="007D234C" w:rsidRPr="007B0511" w:rsidRDefault="007D234C" w:rsidP="007D234C">
      <w:pPr>
        <w:pBdr>
          <w:top w:val="nil"/>
          <w:left w:val="nil"/>
          <w:bottom w:val="nil"/>
          <w:right w:val="nil"/>
          <w:between w:val="nil"/>
        </w:pBdr>
        <w:spacing w:after="0" w:line="276" w:lineRule="auto"/>
        <w:jc w:val="both"/>
        <w:rPr>
          <w:rFonts w:eastAsia="Open Sans" w:cstheme="minorHAnsi"/>
          <w:color w:val="000000"/>
        </w:rPr>
      </w:pPr>
    </w:p>
    <w:p w14:paraId="1A6A4EE7" w14:textId="77777777" w:rsidR="007D234C" w:rsidRPr="007B0511" w:rsidRDefault="007D234C" w:rsidP="009B3816">
      <w:pPr>
        <w:pStyle w:val="ListParagraph"/>
        <w:keepNext w:val="0"/>
        <w:keepLines w:val="0"/>
        <w:numPr>
          <w:ilvl w:val="0"/>
          <w:numId w:val="28"/>
        </w:numPr>
        <w:pBdr>
          <w:top w:val="nil"/>
          <w:left w:val="nil"/>
          <w:bottom w:val="nil"/>
          <w:right w:val="nil"/>
          <w:between w:val="nil"/>
        </w:pBdr>
        <w:snapToGrid/>
        <w:spacing w:line="276" w:lineRule="auto"/>
        <w:jc w:val="both"/>
        <w:outlineLvl w:val="9"/>
        <w:rPr>
          <w:rFonts w:ascii="Lato" w:eastAsia="Open Sans" w:hAnsi="Lato" w:cstheme="minorHAnsi"/>
          <w:b/>
          <w:bCs/>
          <w:sz w:val="22"/>
          <w:szCs w:val="22"/>
          <w:lang w:val="en-US"/>
        </w:rPr>
      </w:pPr>
      <w:r w:rsidRPr="007B0511">
        <w:rPr>
          <w:rFonts w:ascii="Lato" w:eastAsia="Open Sans" w:hAnsi="Lato" w:cstheme="minorHAnsi"/>
          <w:b/>
          <w:bCs/>
          <w:sz w:val="22"/>
          <w:szCs w:val="22"/>
          <w:lang w:val="en-US"/>
        </w:rPr>
        <w:t>Defining of Myanmar CVA Use Cases</w:t>
      </w:r>
    </w:p>
    <w:p w14:paraId="7B61A30B" w14:textId="77777777" w:rsidR="007D234C" w:rsidRPr="007B0511" w:rsidRDefault="007D234C" w:rsidP="007D234C">
      <w:pPr>
        <w:spacing w:line="276" w:lineRule="auto"/>
        <w:jc w:val="both"/>
        <w:rPr>
          <w:rFonts w:eastAsia="Open Sans" w:cstheme="minorHAnsi"/>
        </w:rPr>
      </w:pPr>
      <w:r w:rsidRPr="007B0511">
        <w:rPr>
          <w:rFonts w:eastAsia="Open Sans" w:cstheme="minorHAnsi"/>
        </w:rPr>
        <w:t>Most notably, the following four main approaches were agreed during the technical consultation as the entry points for using CVA to improve maternal and child nutrition outcomes in Myanmar. These approaches, by means of providing in-kind assistance are already being used by partners in Myanmar, and these guidelines capture learnings and best practices from those existing experiences.</w:t>
      </w:r>
    </w:p>
    <w:p w14:paraId="44363065" w14:textId="36AB8F8A" w:rsidR="00CA174F" w:rsidRPr="007B0511" w:rsidRDefault="007D234C" w:rsidP="007D234C">
      <w:pPr>
        <w:spacing w:line="276" w:lineRule="auto"/>
        <w:jc w:val="both"/>
        <w:rPr>
          <w:rFonts w:eastAsia="Open Sans" w:cstheme="minorHAnsi"/>
        </w:rPr>
      </w:pPr>
      <w:r w:rsidRPr="007B0511">
        <w:rPr>
          <w:rFonts w:eastAsia="Open Sans" w:cstheme="minorHAnsi"/>
        </w:rPr>
        <w:t>Four main approaches for integrating CVA into the nutrition response in Myanmar</w:t>
      </w:r>
    </w:p>
    <w:tbl>
      <w:tblPr>
        <w:tblW w:w="9373" w:type="dxa"/>
        <w:tblInd w:w="-5" w:type="dxa"/>
        <w:tblLook w:val="04A0" w:firstRow="1" w:lastRow="0" w:firstColumn="1" w:lastColumn="0" w:noHBand="0" w:noVBand="1"/>
      </w:tblPr>
      <w:tblGrid>
        <w:gridCol w:w="1997"/>
        <w:gridCol w:w="3600"/>
        <w:gridCol w:w="3776"/>
      </w:tblGrid>
      <w:tr w:rsidR="00887304" w:rsidRPr="007B0511" w14:paraId="4F05EE7A" w14:textId="77777777" w:rsidTr="00CF26E5">
        <w:trPr>
          <w:trHeight w:val="684"/>
        </w:trPr>
        <w:tc>
          <w:tcPr>
            <w:tcW w:w="1997" w:type="dxa"/>
            <w:tcBorders>
              <w:top w:val="single" w:sz="8" w:space="0" w:color="auto"/>
              <w:left w:val="single" w:sz="8" w:space="0" w:color="auto"/>
              <w:bottom w:val="single" w:sz="8" w:space="0" w:color="auto"/>
              <w:right w:val="single" w:sz="4" w:space="0" w:color="auto"/>
            </w:tcBorders>
            <w:shd w:val="clear" w:color="auto" w:fill="ED7D31" w:themeFill="accent2"/>
            <w:noWrap/>
            <w:vAlign w:val="center"/>
            <w:hideMark/>
          </w:tcPr>
          <w:p w14:paraId="15A4B06B" w14:textId="77777777" w:rsidR="00887304" w:rsidRPr="007B0511" w:rsidRDefault="00887304" w:rsidP="00CF26E5">
            <w:pPr>
              <w:spacing w:after="0" w:line="240" w:lineRule="auto"/>
              <w:jc w:val="center"/>
              <w:rPr>
                <w:rFonts w:eastAsia="Times New Roman" w:cstheme="minorHAnsi"/>
                <w:b/>
                <w:bCs/>
                <w:color w:val="000000"/>
                <w:kern w:val="0"/>
                <w14:ligatures w14:val="none"/>
              </w:rPr>
            </w:pPr>
            <w:r w:rsidRPr="007B0511">
              <w:rPr>
                <w:rFonts w:eastAsia="Times New Roman" w:cstheme="minorHAnsi"/>
                <w:b/>
                <w:bCs/>
                <w:color w:val="000000"/>
                <w:kern w:val="0"/>
                <w14:ligatures w14:val="none"/>
              </w:rPr>
              <w:t>Use- case Title / Approach</w:t>
            </w:r>
          </w:p>
        </w:tc>
        <w:tc>
          <w:tcPr>
            <w:tcW w:w="3600" w:type="dxa"/>
            <w:tcBorders>
              <w:top w:val="single" w:sz="8" w:space="0" w:color="auto"/>
              <w:left w:val="nil"/>
              <w:bottom w:val="single" w:sz="8" w:space="0" w:color="auto"/>
              <w:right w:val="single" w:sz="4" w:space="0" w:color="auto"/>
            </w:tcBorders>
            <w:shd w:val="clear" w:color="auto" w:fill="ED7D31" w:themeFill="accent2"/>
            <w:noWrap/>
            <w:vAlign w:val="center"/>
            <w:hideMark/>
          </w:tcPr>
          <w:p w14:paraId="6A10B82F" w14:textId="77777777" w:rsidR="00887304" w:rsidRPr="007B0511" w:rsidRDefault="00887304" w:rsidP="00CF26E5">
            <w:pPr>
              <w:spacing w:after="0" w:line="240" w:lineRule="auto"/>
              <w:jc w:val="center"/>
              <w:rPr>
                <w:rFonts w:eastAsia="Times New Roman" w:cstheme="minorHAnsi"/>
                <w:b/>
                <w:bCs/>
                <w:color w:val="000000"/>
                <w:kern w:val="0"/>
                <w14:ligatures w14:val="none"/>
              </w:rPr>
            </w:pPr>
            <w:r w:rsidRPr="007B0511">
              <w:rPr>
                <w:rFonts w:eastAsia="Times New Roman" w:cstheme="minorHAnsi"/>
                <w:b/>
                <w:bCs/>
                <w:color w:val="000000"/>
                <w:kern w:val="0"/>
                <w14:ligatures w14:val="none"/>
              </w:rPr>
              <w:t>Main objectives of the CVA component</w:t>
            </w:r>
          </w:p>
        </w:tc>
        <w:tc>
          <w:tcPr>
            <w:tcW w:w="3776" w:type="dxa"/>
            <w:tcBorders>
              <w:top w:val="single" w:sz="8" w:space="0" w:color="auto"/>
              <w:left w:val="nil"/>
              <w:bottom w:val="single" w:sz="8" w:space="0" w:color="auto"/>
              <w:right w:val="single" w:sz="4" w:space="0" w:color="auto"/>
            </w:tcBorders>
            <w:shd w:val="clear" w:color="auto" w:fill="ED7D31" w:themeFill="accent2"/>
            <w:noWrap/>
            <w:vAlign w:val="center"/>
            <w:hideMark/>
          </w:tcPr>
          <w:p w14:paraId="1E76CF93" w14:textId="77777777" w:rsidR="00887304" w:rsidRPr="007B0511" w:rsidRDefault="00887304" w:rsidP="00CF26E5">
            <w:pPr>
              <w:spacing w:after="0" w:line="240" w:lineRule="auto"/>
              <w:jc w:val="center"/>
              <w:rPr>
                <w:rFonts w:eastAsia="Times New Roman" w:cstheme="minorHAnsi"/>
                <w:b/>
                <w:bCs/>
                <w:color w:val="000000"/>
                <w:kern w:val="0"/>
                <w14:ligatures w14:val="none"/>
              </w:rPr>
            </w:pPr>
            <w:r w:rsidRPr="007B0511">
              <w:rPr>
                <w:rFonts w:eastAsia="Times New Roman" w:cstheme="minorHAnsi"/>
                <w:b/>
                <w:bCs/>
                <w:color w:val="000000"/>
                <w:kern w:val="0"/>
                <w14:ligatures w14:val="none"/>
              </w:rPr>
              <w:t>Name of CVA Intervention</w:t>
            </w:r>
          </w:p>
        </w:tc>
      </w:tr>
      <w:tr w:rsidR="00887304" w:rsidRPr="007B0511" w14:paraId="0087C558" w14:textId="77777777" w:rsidTr="00CF26E5">
        <w:trPr>
          <w:trHeight w:val="684"/>
        </w:trPr>
        <w:tc>
          <w:tcPr>
            <w:tcW w:w="1997" w:type="dxa"/>
            <w:vMerge w:val="restart"/>
            <w:tcBorders>
              <w:top w:val="nil"/>
              <w:left w:val="single" w:sz="8" w:space="0" w:color="auto"/>
              <w:bottom w:val="single" w:sz="8" w:space="0" w:color="000000"/>
              <w:right w:val="single" w:sz="4" w:space="0" w:color="auto"/>
            </w:tcBorders>
            <w:shd w:val="clear" w:color="auto" w:fill="auto"/>
            <w:vAlign w:val="center"/>
            <w:hideMark/>
          </w:tcPr>
          <w:p w14:paraId="319AA160" w14:textId="77777777" w:rsidR="00887304" w:rsidRPr="007B0511" w:rsidRDefault="00887304" w:rsidP="00CF26E5">
            <w:pPr>
              <w:spacing w:after="0" w:line="240" w:lineRule="auto"/>
              <w:rPr>
                <w:rFonts w:eastAsia="Times New Roman" w:cstheme="minorHAnsi"/>
                <w:color w:val="000000"/>
                <w:kern w:val="0"/>
                <w14:ligatures w14:val="none"/>
              </w:rPr>
            </w:pPr>
            <w:r w:rsidRPr="007B0511">
              <w:rPr>
                <w:rFonts w:eastAsia="Times New Roman" w:cstheme="minorHAnsi"/>
                <w:color w:val="000000"/>
                <w:kern w:val="0"/>
                <w14:ligatures w14:val="none"/>
              </w:rPr>
              <w:t>CVA for nutritional adequacy (Preventive)</w:t>
            </w:r>
          </w:p>
        </w:tc>
        <w:tc>
          <w:tcPr>
            <w:tcW w:w="3600" w:type="dxa"/>
            <w:tcBorders>
              <w:top w:val="nil"/>
              <w:left w:val="nil"/>
              <w:bottom w:val="single" w:sz="4" w:space="0" w:color="auto"/>
              <w:right w:val="single" w:sz="4" w:space="0" w:color="auto"/>
            </w:tcBorders>
            <w:shd w:val="clear" w:color="auto" w:fill="auto"/>
            <w:vAlign w:val="center"/>
            <w:hideMark/>
          </w:tcPr>
          <w:p w14:paraId="142DBEAA" w14:textId="77777777" w:rsidR="00887304" w:rsidRPr="007B0511" w:rsidRDefault="00887304" w:rsidP="00CF26E5">
            <w:pPr>
              <w:spacing w:after="0" w:line="240" w:lineRule="auto"/>
              <w:rPr>
                <w:rFonts w:eastAsia="Times New Roman" w:cstheme="minorHAnsi"/>
                <w:color w:val="000000"/>
                <w:kern w:val="0"/>
                <w14:ligatures w14:val="none"/>
              </w:rPr>
            </w:pPr>
            <w:r w:rsidRPr="007B0511">
              <w:rPr>
                <w:rFonts w:eastAsia="Times New Roman" w:cstheme="minorHAnsi"/>
                <w:color w:val="000000"/>
                <w:kern w:val="0"/>
                <w14:ligatures w14:val="none"/>
              </w:rPr>
              <w:t>To enhance growth and prevent deterioration of the nutritional status</w:t>
            </w:r>
          </w:p>
        </w:tc>
        <w:tc>
          <w:tcPr>
            <w:tcW w:w="3776" w:type="dxa"/>
            <w:tcBorders>
              <w:top w:val="nil"/>
              <w:left w:val="nil"/>
              <w:bottom w:val="single" w:sz="4" w:space="0" w:color="auto"/>
              <w:right w:val="single" w:sz="4" w:space="0" w:color="auto"/>
            </w:tcBorders>
            <w:shd w:val="clear" w:color="auto" w:fill="auto"/>
            <w:noWrap/>
            <w:vAlign w:val="center"/>
            <w:hideMark/>
          </w:tcPr>
          <w:p w14:paraId="39F82A9E" w14:textId="77777777" w:rsidR="00887304" w:rsidRPr="007B0511" w:rsidRDefault="00887304" w:rsidP="00CF26E5">
            <w:pPr>
              <w:spacing w:after="0" w:line="240" w:lineRule="auto"/>
              <w:rPr>
                <w:rFonts w:eastAsia="Times New Roman" w:cstheme="minorHAnsi"/>
                <w:color w:val="000000"/>
                <w:kern w:val="0"/>
                <w14:ligatures w14:val="none"/>
              </w:rPr>
            </w:pPr>
            <w:r w:rsidRPr="007B0511">
              <w:rPr>
                <w:rFonts w:eastAsia="Times New Roman" w:cstheme="minorHAnsi"/>
                <w:color w:val="000000"/>
                <w:kern w:val="0"/>
                <w14:ligatures w14:val="none"/>
              </w:rPr>
              <w:t>Maternal and child cash transfer (MCCT) in Emergency</w:t>
            </w:r>
          </w:p>
        </w:tc>
      </w:tr>
      <w:tr w:rsidR="00887304" w:rsidRPr="007B0511" w14:paraId="5858F157" w14:textId="77777777" w:rsidTr="00CF26E5">
        <w:trPr>
          <w:trHeight w:val="684"/>
        </w:trPr>
        <w:tc>
          <w:tcPr>
            <w:tcW w:w="1997" w:type="dxa"/>
            <w:vMerge/>
            <w:tcBorders>
              <w:top w:val="nil"/>
              <w:left w:val="single" w:sz="8" w:space="0" w:color="auto"/>
              <w:bottom w:val="single" w:sz="8" w:space="0" w:color="000000"/>
              <w:right w:val="single" w:sz="4" w:space="0" w:color="auto"/>
            </w:tcBorders>
            <w:vAlign w:val="center"/>
            <w:hideMark/>
          </w:tcPr>
          <w:p w14:paraId="73AA818E" w14:textId="77777777" w:rsidR="00887304" w:rsidRPr="007B0511" w:rsidRDefault="00887304" w:rsidP="00CF26E5">
            <w:pPr>
              <w:spacing w:after="0" w:line="240" w:lineRule="auto"/>
              <w:rPr>
                <w:rFonts w:eastAsia="Times New Roman" w:cstheme="minorHAnsi"/>
                <w:color w:val="000000"/>
                <w:kern w:val="0"/>
                <w14:ligatures w14:val="none"/>
              </w:rPr>
            </w:pPr>
          </w:p>
        </w:tc>
        <w:tc>
          <w:tcPr>
            <w:tcW w:w="3600" w:type="dxa"/>
            <w:tcBorders>
              <w:top w:val="nil"/>
              <w:left w:val="nil"/>
              <w:bottom w:val="single" w:sz="4" w:space="0" w:color="auto"/>
              <w:right w:val="single" w:sz="4" w:space="0" w:color="auto"/>
            </w:tcBorders>
            <w:shd w:val="clear" w:color="auto" w:fill="auto"/>
            <w:vAlign w:val="center"/>
            <w:hideMark/>
          </w:tcPr>
          <w:p w14:paraId="6F391474" w14:textId="77777777" w:rsidR="00887304" w:rsidRPr="007B0511" w:rsidRDefault="00887304" w:rsidP="00CF26E5">
            <w:pPr>
              <w:spacing w:after="0" w:line="240" w:lineRule="auto"/>
              <w:rPr>
                <w:rFonts w:eastAsia="Times New Roman" w:cstheme="minorHAnsi"/>
                <w:color w:val="000000"/>
                <w:kern w:val="0"/>
                <w14:ligatures w14:val="none"/>
              </w:rPr>
            </w:pPr>
            <w:r w:rsidRPr="007B0511">
              <w:rPr>
                <w:rFonts w:eastAsia="Times New Roman" w:cstheme="minorHAnsi"/>
                <w:color w:val="000000"/>
                <w:kern w:val="0"/>
                <w14:ligatures w14:val="none"/>
              </w:rPr>
              <w:t>To prevent deterioration in the nutritional status of at-risk groups</w:t>
            </w:r>
          </w:p>
        </w:tc>
        <w:tc>
          <w:tcPr>
            <w:tcW w:w="3776" w:type="dxa"/>
            <w:tcBorders>
              <w:top w:val="nil"/>
              <w:left w:val="nil"/>
              <w:bottom w:val="single" w:sz="4" w:space="0" w:color="auto"/>
              <w:right w:val="single" w:sz="4" w:space="0" w:color="auto"/>
            </w:tcBorders>
            <w:shd w:val="clear" w:color="auto" w:fill="auto"/>
            <w:noWrap/>
            <w:vAlign w:val="center"/>
            <w:hideMark/>
          </w:tcPr>
          <w:p w14:paraId="7BD292DC" w14:textId="77777777" w:rsidR="00887304" w:rsidRPr="007B0511" w:rsidRDefault="00887304" w:rsidP="00CF26E5">
            <w:pPr>
              <w:spacing w:after="0" w:line="240" w:lineRule="auto"/>
              <w:rPr>
                <w:rFonts w:eastAsia="Times New Roman" w:cstheme="minorHAnsi"/>
                <w:color w:val="000000"/>
                <w:kern w:val="0"/>
                <w14:ligatures w14:val="none"/>
              </w:rPr>
            </w:pPr>
            <w:r w:rsidRPr="007B0511">
              <w:rPr>
                <w:rFonts w:eastAsia="Times New Roman" w:cstheme="minorHAnsi"/>
                <w:color w:val="000000"/>
                <w:kern w:val="0"/>
                <w14:ligatures w14:val="none"/>
              </w:rPr>
              <w:t>Individual feeding assistance CVA for PBWG</w:t>
            </w:r>
          </w:p>
        </w:tc>
      </w:tr>
      <w:tr w:rsidR="00887304" w:rsidRPr="007B0511" w14:paraId="1B69C860" w14:textId="77777777" w:rsidTr="00CF26E5">
        <w:trPr>
          <w:trHeight w:val="984"/>
        </w:trPr>
        <w:tc>
          <w:tcPr>
            <w:tcW w:w="1997" w:type="dxa"/>
            <w:vMerge/>
            <w:tcBorders>
              <w:top w:val="nil"/>
              <w:left w:val="single" w:sz="8" w:space="0" w:color="auto"/>
              <w:bottom w:val="single" w:sz="8" w:space="0" w:color="000000"/>
              <w:right w:val="single" w:sz="4" w:space="0" w:color="auto"/>
            </w:tcBorders>
            <w:vAlign w:val="center"/>
            <w:hideMark/>
          </w:tcPr>
          <w:p w14:paraId="672F7457" w14:textId="77777777" w:rsidR="00887304" w:rsidRPr="007B0511" w:rsidRDefault="00887304" w:rsidP="00CF26E5">
            <w:pPr>
              <w:spacing w:after="0" w:line="240" w:lineRule="auto"/>
              <w:rPr>
                <w:rFonts w:eastAsia="Times New Roman" w:cstheme="minorHAnsi"/>
                <w:color w:val="000000"/>
                <w:kern w:val="0"/>
                <w14:ligatures w14:val="none"/>
              </w:rPr>
            </w:pPr>
          </w:p>
        </w:tc>
        <w:tc>
          <w:tcPr>
            <w:tcW w:w="3600" w:type="dxa"/>
            <w:tcBorders>
              <w:top w:val="nil"/>
              <w:left w:val="nil"/>
              <w:bottom w:val="single" w:sz="4" w:space="0" w:color="auto"/>
              <w:right w:val="single" w:sz="4" w:space="0" w:color="auto"/>
            </w:tcBorders>
            <w:shd w:val="clear" w:color="auto" w:fill="auto"/>
            <w:vAlign w:val="center"/>
            <w:hideMark/>
          </w:tcPr>
          <w:p w14:paraId="228F105D" w14:textId="77777777" w:rsidR="00887304" w:rsidRPr="007B0511" w:rsidRDefault="00887304" w:rsidP="00CF26E5">
            <w:pPr>
              <w:spacing w:after="0" w:line="240" w:lineRule="auto"/>
              <w:rPr>
                <w:rFonts w:eastAsia="Times New Roman" w:cstheme="minorHAnsi"/>
                <w:color w:val="000000"/>
                <w:kern w:val="0"/>
                <w14:ligatures w14:val="none"/>
              </w:rPr>
            </w:pPr>
            <w:r w:rsidRPr="007B0511">
              <w:rPr>
                <w:rFonts w:eastAsia="Times New Roman" w:cstheme="minorHAnsi"/>
                <w:color w:val="000000"/>
                <w:kern w:val="0"/>
                <w14:ligatures w14:val="none"/>
              </w:rPr>
              <w:t xml:space="preserve">To reduce the prevalence of moderate acute malnutrition (MAM) in children under two and to enhance growth </w:t>
            </w:r>
          </w:p>
        </w:tc>
        <w:tc>
          <w:tcPr>
            <w:tcW w:w="3776" w:type="dxa"/>
            <w:tcBorders>
              <w:top w:val="nil"/>
              <w:left w:val="nil"/>
              <w:bottom w:val="single" w:sz="4" w:space="0" w:color="auto"/>
              <w:right w:val="single" w:sz="4" w:space="0" w:color="auto"/>
            </w:tcBorders>
            <w:shd w:val="clear" w:color="auto" w:fill="auto"/>
            <w:vAlign w:val="center"/>
            <w:hideMark/>
          </w:tcPr>
          <w:p w14:paraId="657382B2" w14:textId="77777777" w:rsidR="00887304" w:rsidRPr="007B0511" w:rsidRDefault="00887304" w:rsidP="00CF26E5">
            <w:pPr>
              <w:spacing w:after="0" w:line="240" w:lineRule="auto"/>
              <w:rPr>
                <w:rFonts w:eastAsia="Times New Roman" w:cstheme="minorHAnsi"/>
                <w:color w:val="000000"/>
                <w:kern w:val="0"/>
                <w14:ligatures w14:val="none"/>
              </w:rPr>
            </w:pPr>
            <w:r w:rsidRPr="007B0511">
              <w:rPr>
                <w:rFonts w:eastAsia="Times New Roman" w:cstheme="minorHAnsi"/>
                <w:color w:val="000000"/>
                <w:kern w:val="0"/>
                <w14:ligatures w14:val="none"/>
              </w:rPr>
              <w:t xml:space="preserve">Individual feeding assistance CVA for Children aged 6-23 months  </w:t>
            </w:r>
          </w:p>
        </w:tc>
      </w:tr>
      <w:tr w:rsidR="00887304" w:rsidRPr="007B0511" w14:paraId="2EB6B4C3" w14:textId="77777777" w:rsidTr="00CF26E5">
        <w:trPr>
          <w:trHeight w:val="826"/>
        </w:trPr>
        <w:tc>
          <w:tcPr>
            <w:tcW w:w="1997" w:type="dxa"/>
            <w:vMerge/>
            <w:tcBorders>
              <w:top w:val="nil"/>
              <w:left w:val="single" w:sz="8" w:space="0" w:color="auto"/>
              <w:bottom w:val="single" w:sz="8" w:space="0" w:color="000000"/>
              <w:right w:val="single" w:sz="4" w:space="0" w:color="auto"/>
            </w:tcBorders>
            <w:vAlign w:val="center"/>
            <w:hideMark/>
          </w:tcPr>
          <w:p w14:paraId="4438B8F5" w14:textId="77777777" w:rsidR="00887304" w:rsidRPr="007B0511" w:rsidRDefault="00887304" w:rsidP="00CF26E5">
            <w:pPr>
              <w:spacing w:after="0" w:line="240" w:lineRule="auto"/>
              <w:rPr>
                <w:rFonts w:eastAsia="Times New Roman" w:cstheme="minorHAnsi"/>
                <w:color w:val="000000"/>
                <w:kern w:val="0"/>
                <w14:ligatures w14:val="none"/>
              </w:rPr>
            </w:pPr>
          </w:p>
        </w:tc>
        <w:tc>
          <w:tcPr>
            <w:tcW w:w="3600" w:type="dxa"/>
            <w:tcBorders>
              <w:top w:val="nil"/>
              <w:left w:val="nil"/>
              <w:bottom w:val="single" w:sz="8" w:space="0" w:color="auto"/>
              <w:right w:val="single" w:sz="4" w:space="0" w:color="auto"/>
            </w:tcBorders>
            <w:shd w:val="clear" w:color="auto" w:fill="auto"/>
            <w:vAlign w:val="center"/>
            <w:hideMark/>
          </w:tcPr>
          <w:p w14:paraId="4F1C5DAE" w14:textId="77777777" w:rsidR="00887304" w:rsidRPr="007B0511" w:rsidRDefault="00887304" w:rsidP="00CF26E5">
            <w:pPr>
              <w:spacing w:after="0" w:line="240" w:lineRule="auto"/>
              <w:rPr>
                <w:rFonts w:eastAsia="Times New Roman" w:cstheme="minorHAnsi"/>
                <w:color w:val="000000"/>
                <w:kern w:val="0"/>
                <w14:ligatures w14:val="none"/>
              </w:rPr>
            </w:pPr>
            <w:r w:rsidRPr="007B0511">
              <w:rPr>
                <w:rFonts w:eastAsia="Times New Roman" w:cstheme="minorHAnsi"/>
                <w:color w:val="000000"/>
                <w:kern w:val="0"/>
                <w14:ligatures w14:val="none"/>
              </w:rPr>
              <w:t>Improve household food security and dietary diversity</w:t>
            </w:r>
          </w:p>
        </w:tc>
        <w:tc>
          <w:tcPr>
            <w:tcW w:w="3776" w:type="dxa"/>
            <w:tcBorders>
              <w:top w:val="nil"/>
              <w:left w:val="nil"/>
              <w:bottom w:val="single" w:sz="8" w:space="0" w:color="auto"/>
              <w:right w:val="single" w:sz="4" w:space="0" w:color="auto"/>
            </w:tcBorders>
            <w:shd w:val="clear" w:color="auto" w:fill="auto"/>
            <w:vAlign w:val="center"/>
            <w:hideMark/>
          </w:tcPr>
          <w:p w14:paraId="0E42AB6A" w14:textId="77777777" w:rsidR="00887304" w:rsidRPr="007B0511" w:rsidRDefault="00887304" w:rsidP="00CF26E5">
            <w:pPr>
              <w:spacing w:after="0" w:line="240" w:lineRule="auto"/>
              <w:rPr>
                <w:rFonts w:eastAsia="Times New Roman" w:cstheme="minorHAnsi"/>
                <w:color w:val="000000"/>
                <w:kern w:val="0"/>
                <w14:ligatures w14:val="none"/>
              </w:rPr>
            </w:pPr>
            <w:r w:rsidRPr="007B0511">
              <w:rPr>
                <w:rFonts w:eastAsia="Times New Roman" w:cstheme="minorHAnsi"/>
                <w:color w:val="000000"/>
                <w:kern w:val="0"/>
                <w14:ligatures w14:val="none"/>
              </w:rPr>
              <w:t>CVA for household assistance combined with social and behavioral change (SBC) interventions</w:t>
            </w:r>
          </w:p>
        </w:tc>
      </w:tr>
      <w:tr w:rsidR="00887304" w:rsidRPr="007B0511" w14:paraId="6FECEE53" w14:textId="77777777" w:rsidTr="00CF26E5">
        <w:trPr>
          <w:trHeight w:val="684"/>
        </w:trPr>
        <w:tc>
          <w:tcPr>
            <w:tcW w:w="1997" w:type="dxa"/>
            <w:vMerge w:val="restart"/>
            <w:tcBorders>
              <w:top w:val="nil"/>
              <w:left w:val="single" w:sz="8" w:space="0" w:color="auto"/>
              <w:bottom w:val="single" w:sz="4" w:space="0" w:color="auto"/>
              <w:right w:val="single" w:sz="4" w:space="0" w:color="auto"/>
            </w:tcBorders>
            <w:shd w:val="clear" w:color="auto" w:fill="auto"/>
            <w:vAlign w:val="center"/>
            <w:hideMark/>
          </w:tcPr>
          <w:p w14:paraId="3241599C" w14:textId="77777777" w:rsidR="00887304" w:rsidRPr="007B0511" w:rsidRDefault="00887304" w:rsidP="00CF26E5">
            <w:pPr>
              <w:spacing w:after="0" w:line="240" w:lineRule="auto"/>
              <w:rPr>
                <w:rFonts w:eastAsia="Times New Roman" w:cstheme="minorHAnsi"/>
                <w:color w:val="000000"/>
                <w:kern w:val="0"/>
                <w14:ligatures w14:val="none"/>
              </w:rPr>
            </w:pPr>
            <w:r w:rsidRPr="007B0511">
              <w:rPr>
                <w:rFonts w:eastAsia="Times New Roman" w:cstheme="minorHAnsi"/>
                <w:color w:val="000000"/>
                <w:kern w:val="0"/>
                <w14:ligatures w14:val="none"/>
              </w:rPr>
              <w:t>CVA to facilitate access to preventive health services (Preventive)</w:t>
            </w:r>
          </w:p>
        </w:tc>
        <w:tc>
          <w:tcPr>
            <w:tcW w:w="3600" w:type="dxa"/>
            <w:vMerge w:val="restart"/>
            <w:tcBorders>
              <w:top w:val="nil"/>
              <w:left w:val="single" w:sz="4" w:space="0" w:color="auto"/>
              <w:bottom w:val="single" w:sz="4" w:space="0" w:color="auto"/>
              <w:right w:val="single" w:sz="4" w:space="0" w:color="auto"/>
            </w:tcBorders>
            <w:shd w:val="clear" w:color="auto" w:fill="auto"/>
            <w:vAlign w:val="center"/>
            <w:hideMark/>
          </w:tcPr>
          <w:p w14:paraId="10177511" w14:textId="77777777" w:rsidR="00887304" w:rsidRPr="007B0511" w:rsidRDefault="00887304" w:rsidP="00CF26E5">
            <w:pPr>
              <w:spacing w:after="0" w:line="240" w:lineRule="auto"/>
              <w:rPr>
                <w:rFonts w:eastAsia="Times New Roman" w:cstheme="minorHAnsi"/>
                <w:color w:val="000000"/>
                <w:kern w:val="0"/>
                <w14:ligatures w14:val="none"/>
              </w:rPr>
            </w:pPr>
            <w:r w:rsidRPr="007B0511">
              <w:rPr>
                <w:rFonts w:eastAsia="Times New Roman" w:cstheme="minorHAnsi"/>
                <w:color w:val="000000"/>
                <w:kern w:val="0"/>
                <w14:ligatures w14:val="none"/>
              </w:rPr>
              <w:t>To improve attendance and use of essential health and nutrition services to improve maternal and child survival.</w:t>
            </w:r>
          </w:p>
        </w:tc>
        <w:tc>
          <w:tcPr>
            <w:tcW w:w="3776" w:type="dxa"/>
            <w:tcBorders>
              <w:top w:val="nil"/>
              <w:left w:val="nil"/>
              <w:bottom w:val="single" w:sz="4" w:space="0" w:color="auto"/>
              <w:right w:val="single" w:sz="4" w:space="0" w:color="auto"/>
            </w:tcBorders>
            <w:shd w:val="clear" w:color="auto" w:fill="auto"/>
            <w:vAlign w:val="center"/>
            <w:hideMark/>
          </w:tcPr>
          <w:p w14:paraId="6EF2B3E9" w14:textId="77777777" w:rsidR="00887304" w:rsidRPr="007B0511" w:rsidRDefault="00887304" w:rsidP="00CF26E5">
            <w:pPr>
              <w:spacing w:after="0" w:line="240" w:lineRule="auto"/>
              <w:rPr>
                <w:rFonts w:eastAsia="Times New Roman" w:cstheme="minorHAnsi"/>
                <w:color w:val="000000"/>
                <w:kern w:val="0"/>
                <w14:ligatures w14:val="none"/>
              </w:rPr>
            </w:pPr>
            <w:r w:rsidRPr="007B0511">
              <w:rPr>
                <w:rFonts w:eastAsia="Times New Roman" w:cstheme="minorHAnsi"/>
                <w:color w:val="000000"/>
                <w:kern w:val="0"/>
                <w14:ligatures w14:val="none"/>
              </w:rPr>
              <w:t xml:space="preserve">CVA to facilitate access to Antenatal Post Natal Care Services </w:t>
            </w:r>
          </w:p>
        </w:tc>
      </w:tr>
      <w:tr w:rsidR="00887304" w:rsidRPr="007B0511" w14:paraId="0C75CF48" w14:textId="77777777" w:rsidTr="00CF26E5">
        <w:trPr>
          <w:trHeight w:val="684"/>
        </w:trPr>
        <w:tc>
          <w:tcPr>
            <w:tcW w:w="1997" w:type="dxa"/>
            <w:vMerge/>
            <w:tcBorders>
              <w:top w:val="nil"/>
              <w:left w:val="single" w:sz="8" w:space="0" w:color="auto"/>
              <w:bottom w:val="single" w:sz="4" w:space="0" w:color="auto"/>
              <w:right w:val="single" w:sz="4" w:space="0" w:color="auto"/>
            </w:tcBorders>
            <w:vAlign w:val="center"/>
            <w:hideMark/>
          </w:tcPr>
          <w:p w14:paraId="6F7FC994" w14:textId="77777777" w:rsidR="00887304" w:rsidRPr="007B0511" w:rsidRDefault="00887304" w:rsidP="00CF26E5">
            <w:pPr>
              <w:spacing w:after="0" w:line="240" w:lineRule="auto"/>
              <w:rPr>
                <w:rFonts w:eastAsia="Times New Roman" w:cstheme="minorHAnsi"/>
                <w:color w:val="000000"/>
                <w:kern w:val="0"/>
                <w14:ligatures w14:val="none"/>
              </w:rPr>
            </w:pPr>
          </w:p>
        </w:tc>
        <w:tc>
          <w:tcPr>
            <w:tcW w:w="3600" w:type="dxa"/>
            <w:vMerge/>
            <w:tcBorders>
              <w:top w:val="nil"/>
              <w:left w:val="single" w:sz="4" w:space="0" w:color="auto"/>
              <w:bottom w:val="single" w:sz="4" w:space="0" w:color="auto"/>
              <w:right w:val="single" w:sz="4" w:space="0" w:color="auto"/>
            </w:tcBorders>
            <w:vAlign w:val="center"/>
            <w:hideMark/>
          </w:tcPr>
          <w:p w14:paraId="14653478" w14:textId="77777777" w:rsidR="00887304" w:rsidRPr="007B0511" w:rsidRDefault="00887304" w:rsidP="00CF26E5">
            <w:pPr>
              <w:spacing w:after="0" w:line="240" w:lineRule="auto"/>
              <w:rPr>
                <w:rFonts w:eastAsia="Times New Roman" w:cstheme="minorHAnsi"/>
                <w:color w:val="000000"/>
                <w:kern w:val="0"/>
                <w14:ligatures w14:val="none"/>
              </w:rPr>
            </w:pPr>
          </w:p>
        </w:tc>
        <w:tc>
          <w:tcPr>
            <w:tcW w:w="3776" w:type="dxa"/>
            <w:tcBorders>
              <w:top w:val="nil"/>
              <w:left w:val="nil"/>
              <w:bottom w:val="single" w:sz="4" w:space="0" w:color="auto"/>
              <w:right w:val="single" w:sz="4" w:space="0" w:color="auto"/>
            </w:tcBorders>
            <w:shd w:val="clear" w:color="auto" w:fill="auto"/>
            <w:vAlign w:val="center"/>
            <w:hideMark/>
          </w:tcPr>
          <w:p w14:paraId="099AA342" w14:textId="77777777" w:rsidR="00887304" w:rsidRPr="007B0511" w:rsidRDefault="00887304" w:rsidP="00CF26E5">
            <w:pPr>
              <w:spacing w:after="0" w:line="240" w:lineRule="auto"/>
              <w:rPr>
                <w:rFonts w:eastAsia="Times New Roman" w:cstheme="minorHAnsi"/>
                <w:color w:val="000000"/>
                <w:kern w:val="0"/>
                <w14:ligatures w14:val="none"/>
              </w:rPr>
            </w:pPr>
            <w:r w:rsidRPr="007B0511">
              <w:rPr>
                <w:rFonts w:eastAsia="Times New Roman" w:cstheme="minorHAnsi"/>
                <w:color w:val="000000"/>
                <w:kern w:val="0"/>
                <w14:ligatures w14:val="none"/>
              </w:rPr>
              <w:t>CVA for Pregnancy-related complications (EmOC)</w:t>
            </w:r>
          </w:p>
        </w:tc>
      </w:tr>
      <w:tr w:rsidR="00887304" w:rsidRPr="007B0511" w14:paraId="63FBC875" w14:textId="77777777" w:rsidTr="00CF26E5">
        <w:trPr>
          <w:trHeight w:val="449"/>
        </w:trPr>
        <w:tc>
          <w:tcPr>
            <w:tcW w:w="1997" w:type="dxa"/>
            <w:vMerge/>
            <w:tcBorders>
              <w:top w:val="nil"/>
              <w:left w:val="single" w:sz="8" w:space="0" w:color="auto"/>
              <w:bottom w:val="single" w:sz="4" w:space="0" w:color="auto"/>
              <w:right w:val="single" w:sz="4" w:space="0" w:color="auto"/>
            </w:tcBorders>
            <w:vAlign w:val="center"/>
            <w:hideMark/>
          </w:tcPr>
          <w:p w14:paraId="1E9DA864" w14:textId="77777777" w:rsidR="00887304" w:rsidRPr="007B0511" w:rsidRDefault="00887304" w:rsidP="00CF26E5">
            <w:pPr>
              <w:spacing w:after="0" w:line="240" w:lineRule="auto"/>
              <w:rPr>
                <w:rFonts w:eastAsia="Times New Roman" w:cstheme="minorHAnsi"/>
                <w:color w:val="000000"/>
                <w:kern w:val="0"/>
                <w14:ligatures w14:val="none"/>
              </w:rPr>
            </w:pPr>
          </w:p>
        </w:tc>
        <w:tc>
          <w:tcPr>
            <w:tcW w:w="3600" w:type="dxa"/>
            <w:vMerge/>
            <w:tcBorders>
              <w:top w:val="nil"/>
              <w:left w:val="single" w:sz="4" w:space="0" w:color="auto"/>
              <w:bottom w:val="single" w:sz="4" w:space="0" w:color="auto"/>
              <w:right w:val="single" w:sz="4" w:space="0" w:color="auto"/>
            </w:tcBorders>
            <w:vAlign w:val="center"/>
            <w:hideMark/>
          </w:tcPr>
          <w:p w14:paraId="2151D6C0" w14:textId="77777777" w:rsidR="00887304" w:rsidRPr="007B0511" w:rsidRDefault="00887304" w:rsidP="00CF26E5">
            <w:pPr>
              <w:spacing w:after="0" w:line="240" w:lineRule="auto"/>
              <w:rPr>
                <w:rFonts w:eastAsia="Times New Roman" w:cstheme="minorHAnsi"/>
                <w:color w:val="000000"/>
                <w:kern w:val="0"/>
                <w14:ligatures w14:val="none"/>
              </w:rPr>
            </w:pPr>
          </w:p>
        </w:tc>
        <w:tc>
          <w:tcPr>
            <w:tcW w:w="3776" w:type="dxa"/>
            <w:tcBorders>
              <w:top w:val="nil"/>
              <w:left w:val="nil"/>
              <w:bottom w:val="single" w:sz="4" w:space="0" w:color="auto"/>
              <w:right w:val="single" w:sz="4" w:space="0" w:color="auto"/>
            </w:tcBorders>
            <w:shd w:val="clear" w:color="auto" w:fill="auto"/>
            <w:vAlign w:val="center"/>
            <w:hideMark/>
          </w:tcPr>
          <w:p w14:paraId="5BA85618" w14:textId="77777777" w:rsidR="00887304" w:rsidRPr="007B0511" w:rsidRDefault="00887304" w:rsidP="00CF26E5">
            <w:pPr>
              <w:spacing w:after="0" w:line="240" w:lineRule="auto"/>
              <w:rPr>
                <w:rFonts w:eastAsia="Times New Roman" w:cstheme="minorHAnsi"/>
                <w:color w:val="000000"/>
                <w:kern w:val="0"/>
                <w14:ligatures w14:val="none"/>
              </w:rPr>
            </w:pPr>
            <w:r w:rsidRPr="007B0511">
              <w:rPr>
                <w:rFonts w:eastAsia="Times New Roman" w:cstheme="minorHAnsi"/>
                <w:color w:val="000000"/>
                <w:kern w:val="0"/>
                <w14:ligatures w14:val="none"/>
              </w:rPr>
              <w:t xml:space="preserve">CVA for Emergency newborn care </w:t>
            </w:r>
          </w:p>
        </w:tc>
      </w:tr>
      <w:tr w:rsidR="00887304" w:rsidRPr="007B0511" w14:paraId="08A55B28" w14:textId="77777777" w:rsidTr="00CF26E5">
        <w:trPr>
          <w:trHeight w:val="432"/>
        </w:trPr>
        <w:tc>
          <w:tcPr>
            <w:tcW w:w="1997" w:type="dxa"/>
            <w:vMerge/>
            <w:tcBorders>
              <w:top w:val="nil"/>
              <w:left w:val="single" w:sz="8" w:space="0" w:color="auto"/>
              <w:bottom w:val="single" w:sz="4" w:space="0" w:color="auto"/>
              <w:right w:val="single" w:sz="4" w:space="0" w:color="auto"/>
            </w:tcBorders>
            <w:vAlign w:val="center"/>
            <w:hideMark/>
          </w:tcPr>
          <w:p w14:paraId="4D46265E" w14:textId="77777777" w:rsidR="00887304" w:rsidRPr="007B0511" w:rsidRDefault="00887304" w:rsidP="00CF26E5">
            <w:pPr>
              <w:spacing w:after="0" w:line="240" w:lineRule="auto"/>
              <w:rPr>
                <w:rFonts w:eastAsia="Times New Roman" w:cstheme="minorHAnsi"/>
                <w:color w:val="000000"/>
                <w:kern w:val="0"/>
                <w14:ligatures w14:val="none"/>
              </w:rPr>
            </w:pPr>
          </w:p>
        </w:tc>
        <w:tc>
          <w:tcPr>
            <w:tcW w:w="3600" w:type="dxa"/>
            <w:vMerge/>
            <w:tcBorders>
              <w:top w:val="nil"/>
              <w:left w:val="single" w:sz="4" w:space="0" w:color="auto"/>
              <w:bottom w:val="single" w:sz="4" w:space="0" w:color="auto"/>
              <w:right w:val="single" w:sz="4" w:space="0" w:color="auto"/>
            </w:tcBorders>
            <w:vAlign w:val="center"/>
            <w:hideMark/>
          </w:tcPr>
          <w:p w14:paraId="173AB347" w14:textId="77777777" w:rsidR="00887304" w:rsidRPr="007B0511" w:rsidRDefault="00887304" w:rsidP="00CF26E5">
            <w:pPr>
              <w:spacing w:after="0" w:line="240" w:lineRule="auto"/>
              <w:rPr>
                <w:rFonts w:eastAsia="Times New Roman" w:cstheme="minorHAnsi"/>
                <w:color w:val="000000"/>
                <w:kern w:val="0"/>
                <w14:ligatures w14:val="none"/>
              </w:rPr>
            </w:pPr>
          </w:p>
        </w:tc>
        <w:tc>
          <w:tcPr>
            <w:tcW w:w="3776" w:type="dxa"/>
            <w:tcBorders>
              <w:top w:val="nil"/>
              <w:left w:val="nil"/>
              <w:bottom w:val="single" w:sz="4" w:space="0" w:color="auto"/>
              <w:right w:val="single" w:sz="4" w:space="0" w:color="auto"/>
            </w:tcBorders>
            <w:shd w:val="clear" w:color="auto" w:fill="auto"/>
            <w:vAlign w:val="center"/>
            <w:hideMark/>
          </w:tcPr>
          <w:p w14:paraId="41FC5713" w14:textId="77777777" w:rsidR="00887304" w:rsidRPr="007B0511" w:rsidRDefault="00887304" w:rsidP="00CF26E5">
            <w:pPr>
              <w:spacing w:after="0" w:line="240" w:lineRule="auto"/>
              <w:rPr>
                <w:rFonts w:eastAsia="Times New Roman" w:cstheme="minorHAnsi"/>
                <w:color w:val="000000"/>
                <w:kern w:val="0"/>
                <w14:ligatures w14:val="none"/>
              </w:rPr>
            </w:pPr>
            <w:r w:rsidRPr="007B0511">
              <w:rPr>
                <w:rFonts w:eastAsia="Times New Roman" w:cstheme="minorHAnsi"/>
                <w:color w:val="000000"/>
                <w:kern w:val="0"/>
                <w14:ligatures w14:val="none"/>
              </w:rPr>
              <w:t>CVA for Newborn care Services</w:t>
            </w:r>
          </w:p>
        </w:tc>
      </w:tr>
      <w:tr w:rsidR="00887304" w:rsidRPr="007B0511" w14:paraId="3AC6CFF1" w14:textId="77777777" w:rsidTr="00CF26E5">
        <w:trPr>
          <w:trHeight w:val="638"/>
        </w:trPr>
        <w:tc>
          <w:tcPr>
            <w:tcW w:w="1997" w:type="dxa"/>
            <w:vMerge w:val="restart"/>
            <w:tcBorders>
              <w:top w:val="nil"/>
              <w:left w:val="single" w:sz="8" w:space="0" w:color="auto"/>
              <w:right w:val="single" w:sz="4" w:space="0" w:color="auto"/>
            </w:tcBorders>
            <w:shd w:val="clear" w:color="auto" w:fill="auto"/>
            <w:vAlign w:val="center"/>
            <w:hideMark/>
          </w:tcPr>
          <w:p w14:paraId="4AA6CC8C" w14:textId="77777777" w:rsidR="00887304" w:rsidRPr="007B0511" w:rsidRDefault="00887304" w:rsidP="00CF26E5">
            <w:pPr>
              <w:spacing w:after="0" w:line="240" w:lineRule="auto"/>
              <w:rPr>
                <w:rFonts w:eastAsia="Times New Roman" w:cstheme="minorHAnsi"/>
                <w:color w:val="000000"/>
                <w:kern w:val="0"/>
                <w14:ligatures w14:val="none"/>
              </w:rPr>
            </w:pPr>
            <w:r w:rsidRPr="007B0511">
              <w:rPr>
                <w:rFonts w:eastAsia="Times New Roman" w:cstheme="minorHAnsi"/>
                <w:color w:val="000000"/>
                <w:kern w:val="0"/>
                <w14:ligatures w14:val="none"/>
              </w:rPr>
              <w:lastRenderedPageBreak/>
              <w:t>CVA to facilitate access to nutrition services for MAM children (Supplementation)</w:t>
            </w:r>
          </w:p>
        </w:tc>
        <w:tc>
          <w:tcPr>
            <w:tcW w:w="3600" w:type="dxa"/>
            <w:vMerge w:val="restart"/>
            <w:tcBorders>
              <w:top w:val="nil"/>
              <w:left w:val="nil"/>
              <w:right w:val="single" w:sz="4" w:space="0" w:color="auto"/>
            </w:tcBorders>
            <w:shd w:val="clear" w:color="auto" w:fill="auto"/>
            <w:vAlign w:val="center"/>
            <w:hideMark/>
          </w:tcPr>
          <w:p w14:paraId="7C01E77B" w14:textId="77777777" w:rsidR="00887304" w:rsidRPr="007B0511" w:rsidRDefault="00887304" w:rsidP="00CF26E5">
            <w:pPr>
              <w:spacing w:after="0" w:line="240" w:lineRule="auto"/>
              <w:rPr>
                <w:rFonts w:eastAsia="Times New Roman" w:cstheme="minorHAnsi"/>
                <w:color w:val="000000"/>
                <w:kern w:val="0"/>
                <w14:ligatures w14:val="none"/>
              </w:rPr>
            </w:pPr>
            <w:r w:rsidRPr="007B0511">
              <w:rPr>
                <w:rFonts w:eastAsia="Times New Roman" w:cstheme="minorHAnsi"/>
                <w:color w:val="000000"/>
                <w:kern w:val="0"/>
                <w14:ligatures w14:val="none"/>
              </w:rPr>
              <w:t xml:space="preserve">To improve treatment outcomes: reduce defaulting and non-response to supplementation </w:t>
            </w:r>
          </w:p>
        </w:tc>
        <w:tc>
          <w:tcPr>
            <w:tcW w:w="3776" w:type="dxa"/>
            <w:tcBorders>
              <w:top w:val="nil"/>
              <w:left w:val="nil"/>
              <w:bottom w:val="single" w:sz="4" w:space="0" w:color="auto"/>
              <w:right w:val="single" w:sz="4" w:space="0" w:color="auto"/>
            </w:tcBorders>
            <w:shd w:val="clear" w:color="auto" w:fill="auto"/>
            <w:vAlign w:val="center"/>
            <w:hideMark/>
          </w:tcPr>
          <w:p w14:paraId="701A449B" w14:textId="77777777" w:rsidR="00887304" w:rsidRPr="007B0511" w:rsidRDefault="00887304" w:rsidP="00CF26E5">
            <w:pPr>
              <w:spacing w:after="0" w:line="240" w:lineRule="auto"/>
              <w:rPr>
                <w:rFonts w:eastAsia="Times New Roman" w:cstheme="minorHAnsi"/>
                <w:color w:val="000000"/>
                <w:kern w:val="0"/>
                <w14:ligatures w14:val="none"/>
              </w:rPr>
            </w:pPr>
            <w:r w:rsidRPr="007B0511">
              <w:rPr>
                <w:rFonts w:eastAsia="Times New Roman" w:cstheme="minorHAnsi"/>
                <w:color w:val="000000"/>
                <w:kern w:val="0"/>
                <w14:ligatures w14:val="none"/>
              </w:rPr>
              <w:t xml:space="preserve">CVA to caregivers of children with MAM to facilitate access to TSFP </w:t>
            </w:r>
          </w:p>
        </w:tc>
      </w:tr>
      <w:tr w:rsidR="00887304" w:rsidRPr="007B0511" w14:paraId="738E8E0A" w14:textId="77777777" w:rsidTr="00CF26E5">
        <w:trPr>
          <w:trHeight w:val="404"/>
        </w:trPr>
        <w:tc>
          <w:tcPr>
            <w:tcW w:w="1997" w:type="dxa"/>
            <w:vMerge/>
            <w:tcBorders>
              <w:left w:val="single" w:sz="8" w:space="0" w:color="auto"/>
              <w:bottom w:val="single" w:sz="4" w:space="0" w:color="auto"/>
              <w:right w:val="single" w:sz="4" w:space="0" w:color="auto"/>
            </w:tcBorders>
            <w:shd w:val="clear" w:color="auto" w:fill="auto"/>
            <w:vAlign w:val="center"/>
          </w:tcPr>
          <w:p w14:paraId="78241E19" w14:textId="77777777" w:rsidR="00887304" w:rsidRPr="007B0511" w:rsidRDefault="00887304" w:rsidP="00CF26E5">
            <w:pPr>
              <w:spacing w:after="0" w:line="240" w:lineRule="auto"/>
              <w:rPr>
                <w:rFonts w:eastAsia="Times New Roman" w:cstheme="minorHAnsi"/>
                <w:color w:val="000000"/>
                <w:kern w:val="0"/>
                <w14:ligatures w14:val="none"/>
              </w:rPr>
            </w:pPr>
          </w:p>
        </w:tc>
        <w:tc>
          <w:tcPr>
            <w:tcW w:w="3600" w:type="dxa"/>
            <w:vMerge/>
            <w:tcBorders>
              <w:left w:val="nil"/>
              <w:bottom w:val="single" w:sz="4" w:space="0" w:color="auto"/>
              <w:right w:val="single" w:sz="4" w:space="0" w:color="auto"/>
            </w:tcBorders>
            <w:shd w:val="clear" w:color="auto" w:fill="auto"/>
            <w:vAlign w:val="center"/>
          </w:tcPr>
          <w:p w14:paraId="1CA3A536" w14:textId="77777777" w:rsidR="00887304" w:rsidRPr="007B0511" w:rsidRDefault="00887304" w:rsidP="00CF26E5">
            <w:pPr>
              <w:spacing w:after="0" w:line="240" w:lineRule="auto"/>
              <w:rPr>
                <w:rFonts w:eastAsia="Times New Roman" w:cstheme="minorHAnsi"/>
                <w:color w:val="000000"/>
                <w:kern w:val="0"/>
                <w14:ligatures w14:val="none"/>
              </w:rPr>
            </w:pPr>
          </w:p>
        </w:tc>
        <w:tc>
          <w:tcPr>
            <w:tcW w:w="3776" w:type="dxa"/>
            <w:tcBorders>
              <w:top w:val="nil"/>
              <w:left w:val="nil"/>
              <w:bottom w:val="single" w:sz="4" w:space="0" w:color="auto"/>
              <w:right w:val="single" w:sz="4" w:space="0" w:color="auto"/>
            </w:tcBorders>
            <w:shd w:val="clear" w:color="auto" w:fill="auto"/>
            <w:vAlign w:val="center"/>
          </w:tcPr>
          <w:p w14:paraId="4D05D378" w14:textId="77777777" w:rsidR="00887304" w:rsidRPr="007B0511" w:rsidRDefault="00887304" w:rsidP="00CF26E5">
            <w:pPr>
              <w:spacing w:after="0" w:line="240" w:lineRule="auto"/>
              <w:rPr>
                <w:rFonts w:eastAsia="Times New Roman" w:cstheme="minorHAnsi"/>
                <w:color w:val="000000"/>
                <w:kern w:val="0"/>
                <w14:ligatures w14:val="none"/>
              </w:rPr>
            </w:pPr>
            <w:r w:rsidRPr="007B0511">
              <w:rPr>
                <w:rFonts w:eastAsia="Times New Roman" w:cstheme="minorHAnsi"/>
                <w:color w:val="000000"/>
                <w:kern w:val="0"/>
                <w14:ligatures w14:val="none"/>
              </w:rPr>
              <w:t>CVA to malnourished PBW/G to facilitate access to TSFP</w:t>
            </w:r>
          </w:p>
        </w:tc>
      </w:tr>
      <w:tr w:rsidR="00887304" w:rsidRPr="007B0511" w14:paraId="7D04ABEC" w14:textId="77777777" w:rsidTr="00CF26E5">
        <w:trPr>
          <w:trHeight w:val="908"/>
        </w:trPr>
        <w:tc>
          <w:tcPr>
            <w:tcW w:w="1997" w:type="dxa"/>
            <w:vMerge w:val="restart"/>
            <w:tcBorders>
              <w:top w:val="nil"/>
              <w:left w:val="single" w:sz="8" w:space="0" w:color="auto"/>
              <w:bottom w:val="single" w:sz="4" w:space="0" w:color="auto"/>
              <w:right w:val="single" w:sz="4" w:space="0" w:color="auto"/>
            </w:tcBorders>
            <w:shd w:val="clear" w:color="auto" w:fill="auto"/>
            <w:vAlign w:val="center"/>
            <w:hideMark/>
          </w:tcPr>
          <w:p w14:paraId="3EEC019B" w14:textId="77777777" w:rsidR="00887304" w:rsidRPr="007B0511" w:rsidRDefault="00887304" w:rsidP="00CF26E5">
            <w:pPr>
              <w:spacing w:after="0" w:line="240" w:lineRule="auto"/>
              <w:rPr>
                <w:rFonts w:eastAsia="Times New Roman" w:cstheme="minorHAnsi"/>
                <w:color w:val="000000"/>
                <w:kern w:val="0"/>
                <w14:ligatures w14:val="none"/>
              </w:rPr>
            </w:pPr>
            <w:r w:rsidRPr="007B0511">
              <w:rPr>
                <w:rFonts w:eastAsia="Times New Roman" w:cstheme="minorHAnsi"/>
                <w:color w:val="000000"/>
                <w:kern w:val="0"/>
                <w14:ligatures w14:val="none"/>
              </w:rPr>
              <w:t>CVA to facilitate access to nutrition services for SAM children (Treatment)</w:t>
            </w:r>
          </w:p>
        </w:tc>
        <w:tc>
          <w:tcPr>
            <w:tcW w:w="3600" w:type="dxa"/>
            <w:vMerge w:val="restart"/>
            <w:tcBorders>
              <w:top w:val="nil"/>
              <w:left w:val="single" w:sz="4" w:space="0" w:color="auto"/>
              <w:bottom w:val="single" w:sz="4" w:space="0" w:color="auto"/>
              <w:right w:val="single" w:sz="4" w:space="0" w:color="auto"/>
            </w:tcBorders>
            <w:shd w:val="clear" w:color="auto" w:fill="auto"/>
            <w:vAlign w:val="center"/>
            <w:hideMark/>
          </w:tcPr>
          <w:p w14:paraId="7F066767" w14:textId="77777777" w:rsidR="00887304" w:rsidRPr="007B0511" w:rsidRDefault="00887304" w:rsidP="00CF26E5">
            <w:pPr>
              <w:spacing w:after="0" w:line="240" w:lineRule="auto"/>
              <w:rPr>
                <w:rFonts w:eastAsia="Times New Roman" w:cstheme="minorHAnsi"/>
                <w:color w:val="000000"/>
                <w:kern w:val="0"/>
                <w14:ligatures w14:val="none"/>
              </w:rPr>
            </w:pPr>
            <w:r w:rsidRPr="007B0511">
              <w:rPr>
                <w:rFonts w:eastAsia="Times New Roman" w:cstheme="minorHAnsi"/>
                <w:color w:val="000000"/>
                <w:kern w:val="0"/>
                <w14:ligatures w14:val="none"/>
              </w:rPr>
              <w:t>To improve treatment outcomes: reduce defaulting, non-response to treatment and relapse</w:t>
            </w:r>
          </w:p>
        </w:tc>
        <w:tc>
          <w:tcPr>
            <w:tcW w:w="3776" w:type="dxa"/>
            <w:tcBorders>
              <w:top w:val="nil"/>
              <w:left w:val="nil"/>
              <w:bottom w:val="single" w:sz="4" w:space="0" w:color="auto"/>
              <w:right w:val="single" w:sz="4" w:space="0" w:color="auto"/>
            </w:tcBorders>
            <w:shd w:val="clear" w:color="auto" w:fill="auto"/>
            <w:vAlign w:val="center"/>
            <w:hideMark/>
          </w:tcPr>
          <w:p w14:paraId="33B9E14A" w14:textId="77777777" w:rsidR="00887304" w:rsidRPr="007B0511" w:rsidRDefault="00887304" w:rsidP="00CF26E5">
            <w:pPr>
              <w:spacing w:after="0" w:line="240" w:lineRule="auto"/>
              <w:rPr>
                <w:rFonts w:eastAsia="Times New Roman" w:cstheme="minorHAnsi"/>
                <w:color w:val="000000"/>
                <w:kern w:val="0"/>
                <w14:ligatures w14:val="none"/>
              </w:rPr>
            </w:pPr>
            <w:r w:rsidRPr="007B0511">
              <w:rPr>
                <w:rFonts w:eastAsia="Times New Roman" w:cstheme="minorHAnsi"/>
                <w:color w:val="000000"/>
                <w:kern w:val="0"/>
                <w14:ligatures w14:val="none"/>
              </w:rPr>
              <w:t>CVA to caregivers of children with SAM without medical complications to facilitate access to OTP</w:t>
            </w:r>
          </w:p>
        </w:tc>
      </w:tr>
      <w:tr w:rsidR="00887304" w:rsidRPr="007B0511" w14:paraId="3C2434A9" w14:textId="77777777" w:rsidTr="00CF26E5">
        <w:trPr>
          <w:trHeight w:val="576"/>
        </w:trPr>
        <w:tc>
          <w:tcPr>
            <w:tcW w:w="1997" w:type="dxa"/>
            <w:vMerge/>
            <w:tcBorders>
              <w:top w:val="nil"/>
              <w:left w:val="single" w:sz="8" w:space="0" w:color="auto"/>
              <w:bottom w:val="single" w:sz="4" w:space="0" w:color="auto"/>
              <w:right w:val="single" w:sz="4" w:space="0" w:color="auto"/>
            </w:tcBorders>
            <w:vAlign w:val="center"/>
            <w:hideMark/>
          </w:tcPr>
          <w:p w14:paraId="374466FC" w14:textId="77777777" w:rsidR="00887304" w:rsidRPr="007B0511" w:rsidRDefault="00887304" w:rsidP="00CF26E5">
            <w:pPr>
              <w:spacing w:after="0" w:line="240" w:lineRule="auto"/>
              <w:rPr>
                <w:rFonts w:eastAsia="Times New Roman" w:cstheme="minorHAnsi"/>
                <w:color w:val="000000"/>
                <w:kern w:val="0"/>
                <w14:ligatures w14:val="none"/>
              </w:rPr>
            </w:pPr>
          </w:p>
        </w:tc>
        <w:tc>
          <w:tcPr>
            <w:tcW w:w="3600" w:type="dxa"/>
            <w:vMerge/>
            <w:tcBorders>
              <w:top w:val="nil"/>
              <w:left w:val="single" w:sz="4" w:space="0" w:color="auto"/>
              <w:bottom w:val="single" w:sz="4" w:space="0" w:color="auto"/>
              <w:right w:val="single" w:sz="4" w:space="0" w:color="auto"/>
            </w:tcBorders>
            <w:vAlign w:val="center"/>
            <w:hideMark/>
          </w:tcPr>
          <w:p w14:paraId="562F9AE7" w14:textId="77777777" w:rsidR="00887304" w:rsidRPr="007B0511" w:rsidRDefault="00887304" w:rsidP="00CF26E5">
            <w:pPr>
              <w:spacing w:after="0" w:line="240" w:lineRule="auto"/>
              <w:rPr>
                <w:rFonts w:eastAsia="Times New Roman" w:cstheme="minorHAnsi"/>
                <w:color w:val="000000"/>
                <w:kern w:val="0"/>
                <w14:ligatures w14:val="none"/>
              </w:rPr>
            </w:pPr>
          </w:p>
        </w:tc>
        <w:tc>
          <w:tcPr>
            <w:tcW w:w="3776" w:type="dxa"/>
            <w:tcBorders>
              <w:top w:val="nil"/>
              <w:left w:val="nil"/>
              <w:bottom w:val="single" w:sz="4" w:space="0" w:color="auto"/>
              <w:right w:val="single" w:sz="4" w:space="0" w:color="auto"/>
            </w:tcBorders>
            <w:shd w:val="clear" w:color="auto" w:fill="auto"/>
            <w:vAlign w:val="center"/>
            <w:hideMark/>
          </w:tcPr>
          <w:p w14:paraId="7B566316" w14:textId="77777777" w:rsidR="00887304" w:rsidRPr="007B0511" w:rsidRDefault="00887304" w:rsidP="00CF26E5">
            <w:pPr>
              <w:spacing w:after="0" w:line="240" w:lineRule="auto"/>
              <w:rPr>
                <w:rFonts w:eastAsia="Times New Roman" w:cstheme="minorHAnsi"/>
                <w:color w:val="000000"/>
                <w:kern w:val="0"/>
                <w14:ligatures w14:val="none"/>
              </w:rPr>
            </w:pPr>
            <w:r w:rsidRPr="007B0511">
              <w:rPr>
                <w:rFonts w:eastAsia="Times New Roman" w:cstheme="minorHAnsi"/>
                <w:color w:val="000000"/>
                <w:kern w:val="0"/>
                <w14:ligatures w14:val="none"/>
              </w:rPr>
              <w:t>CVA to caregivers of children with SAM with medical complications to facilitate access to SC/ ITP</w:t>
            </w:r>
          </w:p>
        </w:tc>
      </w:tr>
    </w:tbl>
    <w:p w14:paraId="657C3B30" w14:textId="77777777" w:rsidR="007D234C" w:rsidRPr="007B0511" w:rsidRDefault="007D234C" w:rsidP="001509E6">
      <w:pPr>
        <w:jc w:val="both"/>
        <w:rPr>
          <w:rFonts w:cstheme="minorHAnsi"/>
        </w:rPr>
      </w:pPr>
      <w:r w:rsidRPr="007B0511">
        <w:rPr>
          <w:rFonts w:cstheme="minorHAnsi"/>
        </w:rPr>
        <w:t>These approaches are in alignment with the objectives of the Humanitarian Response Plan, most notably aligned with Strategic Objective SO2 of the 2023 Myanmar HRP - Suffering, morbidity, and mortality is prevented or reduced among 3.1 million displaced, returned, stateless and other crisis-affected people experiencing or at risk of food insecurity, malnutrition, and health threats. The approaches are also aligned with Myanmar Nutrition Cluster Specific Objectives.</w:t>
      </w:r>
    </w:p>
    <w:p w14:paraId="29235990" w14:textId="77777777" w:rsidR="00A708B1" w:rsidRPr="007B0511" w:rsidRDefault="00A708B1" w:rsidP="00A708B1">
      <w:pPr>
        <w:rPr>
          <w:b/>
          <w:bCs/>
        </w:rPr>
      </w:pPr>
      <w:r w:rsidRPr="007B0511">
        <w:rPr>
          <w:b/>
          <w:bCs/>
        </w:rPr>
        <w:t>Remarks: The Recommended CVA Design Considerations for each of the use cases prepared during the group work session are described under Section 5 in the Operation Guidance.</w:t>
      </w:r>
    </w:p>
    <w:p w14:paraId="5FA52DC5" w14:textId="77777777" w:rsidR="007D234C" w:rsidRPr="007B0511" w:rsidRDefault="007D234C" w:rsidP="007D234C">
      <w:pPr>
        <w:rPr>
          <w:b/>
          <w:bCs/>
        </w:rPr>
      </w:pPr>
    </w:p>
    <w:p w14:paraId="5ED9C597" w14:textId="77777777" w:rsidR="007D234C" w:rsidRPr="007B0511" w:rsidRDefault="007D234C" w:rsidP="009B3816">
      <w:pPr>
        <w:pStyle w:val="ListParagraph"/>
        <w:keepNext w:val="0"/>
        <w:keepLines w:val="0"/>
        <w:numPr>
          <w:ilvl w:val="0"/>
          <w:numId w:val="26"/>
        </w:numPr>
        <w:snapToGrid/>
        <w:spacing w:line="276" w:lineRule="auto"/>
        <w:outlineLvl w:val="9"/>
        <w:rPr>
          <w:rFonts w:ascii="Lato" w:hAnsi="Lato" w:cstheme="minorHAnsi"/>
          <w:b/>
          <w:bCs/>
          <w:sz w:val="22"/>
          <w:szCs w:val="22"/>
          <w:lang w:val="en-US"/>
        </w:rPr>
      </w:pPr>
      <w:r w:rsidRPr="007B0511">
        <w:rPr>
          <w:rFonts w:ascii="Lato" w:hAnsi="Lato" w:cstheme="minorHAnsi"/>
          <w:b/>
          <w:bCs/>
          <w:sz w:val="22"/>
          <w:szCs w:val="22"/>
          <w:lang w:val="en-US"/>
        </w:rPr>
        <w:t>Key Reflections (Salient Points)</w:t>
      </w:r>
    </w:p>
    <w:p w14:paraId="637E28B1" w14:textId="77777777" w:rsidR="007D234C" w:rsidRPr="007B0511" w:rsidRDefault="007D234C" w:rsidP="009B3816">
      <w:pPr>
        <w:pStyle w:val="ListParagraph"/>
        <w:keepNext w:val="0"/>
        <w:keepLines w:val="0"/>
        <w:numPr>
          <w:ilvl w:val="0"/>
          <w:numId w:val="30"/>
        </w:numPr>
        <w:snapToGrid/>
        <w:spacing w:after="240" w:line="276" w:lineRule="auto"/>
        <w:outlineLvl w:val="9"/>
        <w:rPr>
          <w:rFonts w:ascii="Lato" w:hAnsi="Lato" w:cstheme="minorHAnsi"/>
          <w:b/>
          <w:bCs/>
          <w:sz w:val="22"/>
          <w:szCs w:val="22"/>
          <w:lang w:val="en-US"/>
        </w:rPr>
      </w:pPr>
      <w:r w:rsidRPr="007B0511">
        <w:rPr>
          <w:rFonts w:ascii="Lato" w:hAnsi="Lato" w:cstheme="minorHAnsi"/>
          <w:b/>
          <w:bCs/>
          <w:i/>
          <w:iCs/>
          <w:sz w:val="22"/>
          <w:szCs w:val="22"/>
          <w:lang w:val="en-US"/>
        </w:rPr>
        <w:t>Lessons Learned</w:t>
      </w:r>
    </w:p>
    <w:p w14:paraId="79EBEB49" w14:textId="77777777" w:rsidR="007D234C" w:rsidRPr="007B0511" w:rsidRDefault="007D234C" w:rsidP="007D234C">
      <w:pPr>
        <w:pStyle w:val="NoSpacing"/>
        <w:spacing w:line="276" w:lineRule="auto"/>
        <w:rPr>
          <w:rFonts w:ascii="Lato" w:hAnsi="Lato"/>
          <w:lang w:val="en-US"/>
        </w:rPr>
      </w:pPr>
      <w:r w:rsidRPr="007B0511">
        <w:rPr>
          <w:rFonts w:ascii="Lato" w:hAnsi="Lato"/>
          <w:lang w:val="en-US"/>
        </w:rPr>
        <w:t xml:space="preserve">Below are key reflections from the Technical Consultation on CVA for Nutrition Outcomes Workshop. </w:t>
      </w:r>
    </w:p>
    <w:p w14:paraId="6AAE3951" w14:textId="77777777" w:rsidR="007D234C" w:rsidRPr="007B0511" w:rsidRDefault="007D234C" w:rsidP="009B3816">
      <w:pPr>
        <w:pStyle w:val="NoSpacing"/>
        <w:numPr>
          <w:ilvl w:val="0"/>
          <w:numId w:val="31"/>
        </w:numPr>
        <w:spacing w:after="240" w:line="276" w:lineRule="auto"/>
        <w:jc w:val="both"/>
        <w:rPr>
          <w:rFonts w:ascii="Lato" w:hAnsi="Lato" w:cstheme="minorHAnsi"/>
          <w:lang w:val="en-US"/>
        </w:rPr>
      </w:pPr>
      <w:r w:rsidRPr="007B0511">
        <w:rPr>
          <w:rFonts w:ascii="Lato" w:hAnsi="Lato" w:cstheme="minorHAnsi"/>
          <w:lang w:val="en-US"/>
        </w:rPr>
        <w:t xml:space="preserve">CVA allows households or individuals to purchase goods and access services that can have a positive impact on maternal and child nutrition. These include nutritious foods, items to prepare food, hygiene and sanitation items, safe water, health services and medication, transportation, and productive inputs. </w:t>
      </w:r>
    </w:p>
    <w:p w14:paraId="38D9C48C" w14:textId="77777777" w:rsidR="007D234C" w:rsidRPr="007B0511" w:rsidRDefault="007D234C" w:rsidP="009B3816">
      <w:pPr>
        <w:pStyle w:val="ListParagraph"/>
        <w:keepNext w:val="0"/>
        <w:keepLines w:val="0"/>
        <w:numPr>
          <w:ilvl w:val="0"/>
          <w:numId w:val="31"/>
        </w:numPr>
        <w:snapToGrid/>
        <w:spacing w:before="240" w:after="160" w:line="259" w:lineRule="auto"/>
        <w:jc w:val="both"/>
        <w:outlineLvl w:val="9"/>
        <w:rPr>
          <w:rFonts w:ascii="Lato" w:hAnsi="Lato" w:cstheme="minorHAnsi"/>
          <w:sz w:val="22"/>
          <w:szCs w:val="22"/>
          <w:lang w:val="en-US"/>
        </w:rPr>
      </w:pPr>
      <w:r w:rsidRPr="007B0511">
        <w:rPr>
          <w:rFonts w:ascii="Lato" w:hAnsi="Lato" w:cstheme="minorHAnsi"/>
          <w:sz w:val="22"/>
          <w:szCs w:val="22"/>
          <w:lang w:val="en-US"/>
        </w:rPr>
        <w:t xml:space="preserve">CVA can promote participation in nutrition social and behavioral change (SBC) activities and attendance to priority health services. The temporary increase in household budget can have additional positive or negative consequences which can impact child and maternal nutrition. Reduced or increased household tensions, reduced economic pressure within households which can increase time available for caregiving, improved decision-making power of women, improved psychological well-being of caregivers, etc. Empowering women in their access and control over dietary decisions can facilitate better and informed decisions over what they want to eat without thinking of the economic pressures. However, this is dependent on the primary recipient of assistance and HH dynamics in terms of who spends the money. </w:t>
      </w:r>
    </w:p>
    <w:p w14:paraId="5B4909C5" w14:textId="77777777" w:rsidR="00711D6F" w:rsidRPr="007B0511" w:rsidRDefault="00711D6F" w:rsidP="00711D6F">
      <w:pPr>
        <w:pStyle w:val="ListParagraph"/>
        <w:keepNext w:val="0"/>
        <w:keepLines w:val="0"/>
        <w:snapToGrid/>
        <w:spacing w:before="240" w:after="160" w:line="259" w:lineRule="auto"/>
        <w:ind w:left="360"/>
        <w:jc w:val="both"/>
        <w:outlineLvl w:val="9"/>
        <w:rPr>
          <w:rFonts w:ascii="Lato" w:hAnsi="Lato" w:cstheme="minorHAnsi"/>
          <w:sz w:val="22"/>
          <w:szCs w:val="22"/>
          <w:lang w:val="en-US"/>
        </w:rPr>
      </w:pPr>
    </w:p>
    <w:p w14:paraId="15560CD3" w14:textId="77777777" w:rsidR="007D234C" w:rsidRPr="007B0511" w:rsidRDefault="007D234C" w:rsidP="009B3816">
      <w:pPr>
        <w:pStyle w:val="ListParagraph"/>
        <w:keepNext w:val="0"/>
        <w:keepLines w:val="0"/>
        <w:numPr>
          <w:ilvl w:val="0"/>
          <w:numId w:val="31"/>
        </w:numPr>
        <w:snapToGrid/>
        <w:spacing w:before="240" w:after="160" w:line="259" w:lineRule="auto"/>
        <w:jc w:val="both"/>
        <w:outlineLvl w:val="9"/>
        <w:rPr>
          <w:rFonts w:ascii="Lato" w:eastAsia="Arial" w:hAnsi="Lato" w:cstheme="minorHAnsi"/>
          <w:color w:val="auto"/>
          <w:sz w:val="22"/>
          <w:szCs w:val="22"/>
          <w:lang w:val="en-US"/>
        </w:rPr>
      </w:pPr>
      <w:r w:rsidRPr="007B0511">
        <w:rPr>
          <w:rFonts w:ascii="Lato" w:eastAsia="Open Sans" w:hAnsi="Lato" w:cstheme="minorHAnsi"/>
          <w:sz w:val="22"/>
          <w:szCs w:val="22"/>
          <w:lang w:val="en-US"/>
        </w:rPr>
        <w:t xml:space="preserve">CVA modalities can be part of preventative and treatment strategies but are generally more suited for preventative approaches due to the fact that for treatment of MAM and SAM children rely more heavily on RUSF and RUTF respectively. CVA is appropriate only for individual nutrition top-up and </w:t>
      </w:r>
      <w:r w:rsidRPr="007B0511">
        <w:rPr>
          <w:rFonts w:ascii="Lato" w:hAnsi="Lato" w:cstheme="minorHAnsi"/>
          <w:sz w:val="22"/>
          <w:szCs w:val="22"/>
          <w:lang w:val="en-US"/>
        </w:rPr>
        <w:t xml:space="preserve">to facilitate access to treatment services/ </w:t>
      </w:r>
      <w:r w:rsidRPr="007B0511">
        <w:rPr>
          <w:rFonts w:ascii="Lato" w:eastAsia="Open Sans" w:hAnsi="Lato" w:cstheme="minorHAnsi"/>
          <w:sz w:val="22"/>
          <w:szCs w:val="22"/>
          <w:lang w:val="en-US"/>
        </w:rPr>
        <w:t>increase the attendance to priority health services.</w:t>
      </w:r>
    </w:p>
    <w:p w14:paraId="635F48BD" w14:textId="77777777" w:rsidR="00711D6F" w:rsidRPr="007B0511" w:rsidRDefault="00711D6F" w:rsidP="00711D6F">
      <w:pPr>
        <w:pStyle w:val="ListParagraph"/>
        <w:rPr>
          <w:rFonts w:ascii="Lato" w:eastAsia="Arial" w:hAnsi="Lato" w:cstheme="minorHAnsi"/>
          <w:color w:val="auto"/>
          <w:sz w:val="22"/>
          <w:szCs w:val="22"/>
          <w:lang w:val="en-US"/>
        </w:rPr>
      </w:pPr>
    </w:p>
    <w:p w14:paraId="14A0440C" w14:textId="77777777" w:rsidR="00711D6F" w:rsidRPr="007B0511" w:rsidRDefault="00711D6F" w:rsidP="00711D6F">
      <w:pPr>
        <w:pStyle w:val="ListParagraph"/>
        <w:keepNext w:val="0"/>
        <w:keepLines w:val="0"/>
        <w:snapToGrid/>
        <w:spacing w:before="240" w:after="160" w:line="259" w:lineRule="auto"/>
        <w:ind w:left="360"/>
        <w:jc w:val="both"/>
        <w:outlineLvl w:val="9"/>
        <w:rPr>
          <w:rFonts w:ascii="Lato" w:eastAsia="Arial" w:hAnsi="Lato" w:cstheme="minorHAnsi"/>
          <w:color w:val="auto"/>
          <w:sz w:val="22"/>
          <w:szCs w:val="22"/>
          <w:lang w:val="en-US"/>
        </w:rPr>
      </w:pPr>
    </w:p>
    <w:p w14:paraId="2136A597" w14:textId="22F955C1" w:rsidR="007D234C" w:rsidRPr="007B0511" w:rsidRDefault="007D234C" w:rsidP="009B3816">
      <w:pPr>
        <w:pStyle w:val="ListParagraph"/>
        <w:keepNext w:val="0"/>
        <w:keepLines w:val="0"/>
        <w:numPr>
          <w:ilvl w:val="0"/>
          <w:numId w:val="31"/>
        </w:numPr>
        <w:snapToGrid/>
        <w:spacing w:after="160" w:line="259" w:lineRule="auto"/>
        <w:jc w:val="both"/>
        <w:outlineLvl w:val="9"/>
        <w:rPr>
          <w:rFonts w:ascii="Lato" w:hAnsi="Lato" w:cstheme="minorHAnsi"/>
          <w:sz w:val="22"/>
          <w:szCs w:val="22"/>
          <w:lang w:val="en-US"/>
        </w:rPr>
      </w:pPr>
      <w:r w:rsidRPr="007B0511">
        <w:rPr>
          <w:rFonts w:ascii="Lato" w:hAnsi="Lato" w:cstheme="minorHAnsi"/>
          <w:sz w:val="22"/>
          <w:szCs w:val="22"/>
          <w:lang w:val="en-US"/>
        </w:rPr>
        <w:t xml:space="preserve">Cash transfers aiming to benefit nutritional outcomes of young children must be combined with frequent and salient SBC activities to improve and sustain nutrition behaviours as cash transfer alone will have limited impact. </w:t>
      </w:r>
    </w:p>
    <w:p w14:paraId="2560A8E1" w14:textId="77777777" w:rsidR="00711D6F" w:rsidRPr="007B0511" w:rsidRDefault="00711D6F" w:rsidP="00711D6F">
      <w:pPr>
        <w:pStyle w:val="ListParagraph"/>
        <w:keepNext w:val="0"/>
        <w:keepLines w:val="0"/>
        <w:snapToGrid/>
        <w:spacing w:after="160" w:line="259" w:lineRule="auto"/>
        <w:ind w:left="360"/>
        <w:jc w:val="both"/>
        <w:outlineLvl w:val="9"/>
        <w:rPr>
          <w:rFonts w:ascii="Lato" w:hAnsi="Lato" w:cstheme="minorHAnsi"/>
          <w:sz w:val="22"/>
          <w:szCs w:val="22"/>
          <w:lang w:val="en-US"/>
        </w:rPr>
      </w:pPr>
    </w:p>
    <w:p w14:paraId="4B841860" w14:textId="25DAA995" w:rsidR="00711D6F" w:rsidRPr="007B0511" w:rsidRDefault="007D234C" w:rsidP="009B3816">
      <w:pPr>
        <w:pStyle w:val="ListParagraph"/>
        <w:keepNext w:val="0"/>
        <w:keepLines w:val="0"/>
        <w:numPr>
          <w:ilvl w:val="0"/>
          <w:numId w:val="31"/>
        </w:numPr>
        <w:snapToGrid/>
        <w:spacing w:after="160" w:line="259" w:lineRule="auto"/>
        <w:jc w:val="both"/>
        <w:outlineLvl w:val="9"/>
        <w:rPr>
          <w:rFonts w:ascii="Lato" w:eastAsia="Arial" w:hAnsi="Lato" w:cstheme="minorHAnsi"/>
          <w:sz w:val="22"/>
          <w:szCs w:val="22"/>
          <w:lang w:val="en-US"/>
        </w:rPr>
      </w:pPr>
      <w:r w:rsidRPr="007B0511">
        <w:rPr>
          <w:rFonts w:ascii="Lato" w:eastAsia="Times New Roman" w:hAnsi="Lato" w:cstheme="minorHAnsi"/>
          <w:sz w:val="22"/>
          <w:szCs w:val="22"/>
          <w:lang w:val="en-US"/>
        </w:rPr>
        <w:t>Digital cash transfer attached with SBC (in-person and IVR, remote counselling) seem to be one of the best solution to support the most vulnerable family especially in areas where there is mobile-phone coverage. Transferring lesser amount of cash but more frequently ensure improved control by women / accumulating larger amounts for several months of transfers cause loss of control over funds by women in number of cases – learning from previous government-led implementation especially in Rakhine.</w:t>
      </w:r>
    </w:p>
    <w:p w14:paraId="6B40E69D" w14:textId="77777777" w:rsidR="00711D6F" w:rsidRPr="007B0511" w:rsidRDefault="00711D6F" w:rsidP="00711D6F">
      <w:pPr>
        <w:jc w:val="both"/>
        <w:rPr>
          <w:rFonts w:eastAsia="Arial" w:cstheme="minorHAnsi"/>
        </w:rPr>
      </w:pPr>
    </w:p>
    <w:p w14:paraId="411A12A1" w14:textId="77777777" w:rsidR="00E44E8A" w:rsidRPr="007B0511" w:rsidRDefault="007D234C" w:rsidP="009B3816">
      <w:pPr>
        <w:pStyle w:val="ListParagraph"/>
        <w:keepNext w:val="0"/>
        <w:keepLines w:val="0"/>
        <w:numPr>
          <w:ilvl w:val="0"/>
          <w:numId w:val="31"/>
        </w:numPr>
        <w:snapToGrid/>
        <w:spacing w:after="160" w:line="259" w:lineRule="auto"/>
        <w:jc w:val="both"/>
        <w:outlineLvl w:val="9"/>
        <w:rPr>
          <w:rFonts w:ascii="Lato" w:eastAsia="Arial" w:hAnsi="Lato" w:cstheme="minorHAnsi"/>
          <w:color w:val="auto"/>
          <w:sz w:val="22"/>
          <w:szCs w:val="22"/>
          <w:lang w:val="en-US"/>
        </w:rPr>
      </w:pPr>
      <w:r w:rsidRPr="007B0511">
        <w:rPr>
          <w:rFonts w:ascii="Lato" w:hAnsi="Lato" w:cstheme="minorHAnsi"/>
          <w:sz w:val="22"/>
          <w:szCs w:val="22"/>
          <w:lang w:val="en-US"/>
        </w:rPr>
        <w:t xml:space="preserve">Length of exposure to programme is important when considering impacts. Best results shown among participants with longest exposure (30 months). </w:t>
      </w:r>
      <w:r w:rsidRPr="007B0511">
        <w:rPr>
          <w:rFonts w:ascii="Lato" w:eastAsia="Times New Roman" w:hAnsi="Lato" w:cstheme="minorHAnsi"/>
          <w:sz w:val="22"/>
          <w:szCs w:val="22"/>
          <w:lang w:val="en-US"/>
        </w:rPr>
        <w:t>The longer the CVA, the more changes in nutrition status are observed. Challenge to secure multi-year funding so 0-24 months is prioritized.</w:t>
      </w:r>
    </w:p>
    <w:p w14:paraId="204985AE" w14:textId="77777777" w:rsidR="00E44E8A" w:rsidRPr="007B0511" w:rsidRDefault="00E44E8A" w:rsidP="00E44E8A">
      <w:pPr>
        <w:pStyle w:val="ListParagraph"/>
        <w:rPr>
          <w:rFonts w:ascii="Lato" w:eastAsia="Times New Roman" w:hAnsi="Lato" w:cstheme="minorHAnsi"/>
          <w:sz w:val="22"/>
          <w:szCs w:val="22"/>
          <w:lang w:val="en-US"/>
        </w:rPr>
      </w:pPr>
    </w:p>
    <w:p w14:paraId="4D7FB321" w14:textId="2E0641E1" w:rsidR="007D234C" w:rsidRPr="007B0511" w:rsidRDefault="007D234C" w:rsidP="009B3816">
      <w:pPr>
        <w:pStyle w:val="ListParagraph"/>
        <w:keepNext w:val="0"/>
        <w:keepLines w:val="0"/>
        <w:numPr>
          <w:ilvl w:val="0"/>
          <w:numId w:val="31"/>
        </w:numPr>
        <w:snapToGrid/>
        <w:spacing w:after="160" w:line="259" w:lineRule="auto"/>
        <w:jc w:val="both"/>
        <w:outlineLvl w:val="9"/>
        <w:rPr>
          <w:rFonts w:ascii="Lato" w:eastAsia="Arial" w:hAnsi="Lato" w:cstheme="minorHAnsi"/>
          <w:color w:val="auto"/>
          <w:sz w:val="22"/>
          <w:szCs w:val="22"/>
          <w:lang w:val="en-US"/>
        </w:rPr>
      </w:pPr>
      <w:r w:rsidRPr="007B0511">
        <w:rPr>
          <w:rFonts w:ascii="Lato" w:eastAsia="Times New Roman" w:hAnsi="Lato" w:cstheme="minorHAnsi"/>
          <w:sz w:val="22"/>
          <w:szCs w:val="22"/>
          <w:lang w:val="en-US"/>
        </w:rPr>
        <w:t>Combined form of assistance – transportation, meal and investigation provided for referral cases. Hybrid (cash and food basket) is thought to be most beneficial considering regional availability and use of cash for most appropriate nutrition. Antenatal care up to 4 visits and post-natal services up to 45 days after delivery. Clean delivery kit and WASH kits for mother and children alongside CVA assistance is also provided. Disability inclusion – early detection and identification to promote early access to treatment as well as equipment such as feeding kits for children with special needs.</w:t>
      </w:r>
    </w:p>
    <w:p w14:paraId="27AA059D" w14:textId="77777777" w:rsidR="00E44E8A" w:rsidRPr="007B0511" w:rsidRDefault="00E44E8A" w:rsidP="00E44E8A">
      <w:pPr>
        <w:jc w:val="both"/>
        <w:rPr>
          <w:rFonts w:eastAsia="Arial" w:cstheme="minorHAnsi"/>
        </w:rPr>
      </w:pPr>
    </w:p>
    <w:p w14:paraId="3643DDFE" w14:textId="07F4778F" w:rsidR="00E44E8A" w:rsidRPr="007B0511" w:rsidRDefault="007D234C" w:rsidP="009B3816">
      <w:pPr>
        <w:pStyle w:val="ListParagraph"/>
        <w:keepNext w:val="0"/>
        <w:keepLines w:val="0"/>
        <w:numPr>
          <w:ilvl w:val="0"/>
          <w:numId w:val="31"/>
        </w:numPr>
        <w:snapToGrid/>
        <w:spacing w:after="160" w:line="259" w:lineRule="auto"/>
        <w:jc w:val="both"/>
        <w:outlineLvl w:val="9"/>
        <w:rPr>
          <w:rFonts w:ascii="Lato" w:eastAsia="Arial" w:hAnsi="Lato" w:cstheme="minorHAnsi"/>
          <w:sz w:val="22"/>
          <w:szCs w:val="22"/>
          <w:lang w:val="en-US"/>
        </w:rPr>
      </w:pPr>
      <w:r w:rsidRPr="007B0511">
        <w:rPr>
          <w:rFonts w:ascii="Lato" w:eastAsia="Times New Roman" w:hAnsi="Lato" w:cstheme="minorHAnsi"/>
          <w:sz w:val="22"/>
          <w:szCs w:val="22"/>
          <w:lang w:val="en-US"/>
        </w:rPr>
        <w:t>Cash is still preferred by both men and women. Despite many advantages in cash, still need to consider gender issues within vulnerable HHs which could lead to misuse and not achieving nutrition outcomes. The majority of cash assistance is through cash in envelope, and unconditional, due to beneficiary identity issues. The cash transfer value is mostly based on the SMEB which is rarely enough to meet needs. Much of the cash assistance is under sectoral cash (not MPCA).</w:t>
      </w:r>
    </w:p>
    <w:p w14:paraId="608B4287" w14:textId="77777777" w:rsidR="00E44E8A" w:rsidRPr="007B0511" w:rsidRDefault="00E44E8A" w:rsidP="00E44E8A">
      <w:pPr>
        <w:pStyle w:val="ListParagraph"/>
        <w:rPr>
          <w:rFonts w:ascii="Lato" w:eastAsia="Arial" w:hAnsi="Lato" w:cstheme="minorHAnsi"/>
          <w:sz w:val="22"/>
          <w:szCs w:val="22"/>
          <w:lang w:val="en-US"/>
        </w:rPr>
      </w:pPr>
    </w:p>
    <w:p w14:paraId="0A46FE02" w14:textId="77777777" w:rsidR="00E44E8A" w:rsidRPr="007B0511" w:rsidRDefault="00E44E8A" w:rsidP="00E44E8A">
      <w:pPr>
        <w:pStyle w:val="ListParagraph"/>
        <w:keepNext w:val="0"/>
        <w:keepLines w:val="0"/>
        <w:snapToGrid/>
        <w:spacing w:after="160" w:line="259" w:lineRule="auto"/>
        <w:ind w:left="360"/>
        <w:jc w:val="both"/>
        <w:outlineLvl w:val="9"/>
        <w:rPr>
          <w:rFonts w:ascii="Lato" w:eastAsia="Arial" w:hAnsi="Lato" w:cstheme="minorHAnsi"/>
          <w:sz w:val="22"/>
          <w:szCs w:val="22"/>
          <w:lang w:val="en-US"/>
        </w:rPr>
      </w:pPr>
    </w:p>
    <w:p w14:paraId="42BF9A39" w14:textId="77777777" w:rsidR="007D234C" w:rsidRPr="007B0511" w:rsidRDefault="007D234C" w:rsidP="009B3816">
      <w:pPr>
        <w:pStyle w:val="ListParagraph"/>
        <w:keepNext w:val="0"/>
        <w:keepLines w:val="0"/>
        <w:numPr>
          <w:ilvl w:val="0"/>
          <w:numId w:val="31"/>
        </w:numPr>
        <w:snapToGrid/>
        <w:spacing w:after="160" w:line="259" w:lineRule="auto"/>
        <w:jc w:val="both"/>
        <w:outlineLvl w:val="9"/>
        <w:rPr>
          <w:rFonts w:ascii="Lato" w:eastAsia="Arial" w:hAnsi="Lato" w:cstheme="minorHAnsi"/>
          <w:sz w:val="22"/>
          <w:szCs w:val="22"/>
          <w:lang w:val="en-US"/>
        </w:rPr>
      </w:pPr>
      <w:r w:rsidRPr="007B0511">
        <w:rPr>
          <w:rFonts w:ascii="Lato" w:eastAsia="Times New Roman" w:hAnsi="Lato" w:cstheme="minorHAnsi"/>
          <w:sz w:val="22"/>
          <w:szCs w:val="22"/>
          <w:lang w:val="en-US"/>
        </w:rPr>
        <w:t xml:space="preserve">Nutrition-sensitive need assessment &amp; nutritional analysis is needed to enhance </w:t>
      </w:r>
      <w:r w:rsidRPr="007B0511">
        <w:rPr>
          <w:rFonts w:ascii="Lato" w:hAnsi="Lato" w:cstheme="minorHAnsi"/>
          <w:sz w:val="22"/>
          <w:szCs w:val="22"/>
          <w:lang w:val="en-US"/>
        </w:rPr>
        <w:t xml:space="preserve">understanding of the market (particularly where vouchers are used to achieve nutritional objectives); food consumption patterns; causes of poor diets; </w:t>
      </w:r>
      <w:r w:rsidRPr="007B0511">
        <w:rPr>
          <w:rFonts w:ascii="Lato" w:eastAsia="Times New Roman" w:hAnsi="Lato" w:cstheme="minorHAnsi"/>
          <w:sz w:val="22"/>
          <w:szCs w:val="22"/>
          <w:lang w:val="en-US"/>
        </w:rPr>
        <w:t>cultural and social barriers; care practices including IYCF.</w:t>
      </w:r>
    </w:p>
    <w:p w14:paraId="217038ED" w14:textId="77777777" w:rsidR="00E44E8A" w:rsidRPr="007B0511" w:rsidRDefault="00E44E8A" w:rsidP="00E44E8A">
      <w:pPr>
        <w:pStyle w:val="ListParagraph"/>
        <w:keepNext w:val="0"/>
        <w:keepLines w:val="0"/>
        <w:snapToGrid/>
        <w:spacing w:after="160" w:line="259" w:lineRule="auto"/>
        <w:ind w:left="360"/>
        <w:jc w:val="both"/>
        <w:outlineLvl w:val="9"/>
        <w:rPr>
          <w:rFonts w:ascii="Lato" w:eastAsia="Arial" w:hAnsi="Lato" w:cstheme="minorHAnsi"/>
          <w:sz w:val="22"/>
          <w:szCs w:val="22"/>
          <w:lang w:val="en-US"/>
        </w:rPr>
      </w:pPr>
    </w:p>
    <w:p w14:paraId="4B8C47DC" w14:textId="77777777" w:rsidR="007D234C" w:rsidRPr="007B0511" w:rsidRDefault="007D234C" w:rsidP="009B3816">
      <w:pPr>
        <w:pStyle w:val="ListParagraph"/>
        <w:keepNext w:val="0"/>
        <w:keepLines w:val="0"/>
        <w:numPr>
          <w:ilvl w:val="0"/>
          <w:numId w:val="31"/>
        </w:numPr>
        <w:snapToGrid/>
        <w:spacing w:after="160" w:line="259" w:lineRule="auto"/>
        <w:jc w:val="both"/>
        <w:outlineLvl w:val="9"/>
        <w:rPr>
          <w:rFonts w:ascii="Lato" w:eastAsia="Arial" w:hAnsi="Lato" w:cstheme="minorHAnsi"/>
          <w:color w:val="auto"/>
          <w:sz w:val="22"/>
          <w:szCs w:val="22"/>
          <w:lang w:val="en-US"/>
        </w:rPr>
      </w:pPr>
      <w:r w:rsidRPr="007B0511">
        <w:rPr>
          <w:rFonts w:ascii="Lato" w:eastAsia="Times New Roman" w:hAnsi="Lato" w:cstheme="minorHAnsi"/>
          <w:sz w:val="22"/>
          <w:szCs w:val="22"/>
          <w:lang w:val="en-US"/>
        </w:rPr>
        <w:t>Partnership and coordination: At national level, coordination began between the Nutrition cluster and CWG and Rakhine among the sub-national level. More needs to be done to strengthen the coordination and partnership at other regions as well as at Rakhine. Specifically, capacity-strengthening community health workers is suggested, as they are frontline workers and provide information swiftly to relevant responders. However, working with CHWs is subject to government/authority approval. Community volunteers is another option to go. More coordination and better integration between FSC and Nutrition, as well as within Are ICCGs, sharing information and updates to and from the sub-national/national level.</w:t>
      </w:r>
    </w:p>
    <w:p w14:paraId="0A13403D" w14:textId="77777777" w:rsidR="00E44E8A" w:rsidRPr="007B0511" w:rsidRDefault="00E44E8A" w:rsidP="00E44E8A">
      <w:pPr>
        <w:jc w:val="both"/>
        <w:rPr>
          <w:rFonts w:eastAsia="Arial" w:cstheme="minorHAnsi"/>
        </w:rPr>
      </w:pPr>
    </w:p>
    <w:p w14:paraId="5FADA3E1" w14:textId="77777777" w:rsidR="007D234C" w:rsidRPr="007B0511" w:rsidRDefault="007D234C" w:rsidP="009B3816">
      <w:pPr>
        <w:pStyle w:val="ListParagraph"/>
        <w:keepNext w:val="0"/>
        <w:keepLines w:val="0"/>
        <w:numPr>
          <w:ilvl w:val="0"/>
          <w:numId w:val="31"/>
        </w:numPr>
        <w:snapToGrid/>
        <w:spacing w:line="276" w:lineRule="auto"/>
        <w:jc w:val="both"/>
        <w:outlineLvl w:val="9"/>
        <w:rPr>
          <w:rFonts w:ascii="Lato" w:hAnsi="Lato" w:cstheme="minorHAnsi"/>
          <w:sz w:val="22"/>
          <w:szCs w:val="22"/>
          <w:lang w:val="en-US"/>
        </w:rPr>
      </w:pPr>
      <w:r w:rsidRPr="007B0511">
        <w:rPr>
          <w:rFonts w:ascii="Lato" w:hAnsi="Lato" w:cstheme="minorHAnsi"/>
          <w:sz w:val="22"/>
          <w:szCs w:val="22"/>
          <w:lang w:val="en-US"/>
        </w:rPr>
        <w:t xml:space="preserve">Myanmar has the highest maternal mortality rate in the world 250 deaths per 100,000 live births which is almost twice as the regional 137 deaths per 100,000 live births.  The rate is higher in rural areas at 310 deaths per 100,000 live births compared to urban communities at 139 deaths per 100,000 live births. From 2021, due to the Civil Disobedience Movement, most of the government health facilities have collapsed and in other areas non-existent. This further increases the risk of </w:t>
      </w:r>
      <w:r w:rsidRPr="007B0511">
        <w:rPr>
          <w:rFonts w:ascii="Lato" w:hAnsi="Lato" w:cstheme="minorHAnsi"/>
          <w:sz w:val="22"/>
          <w:szCs w:val="22"/>
          <w:lang w:val="en-US"/>
        </w:rPr>
        <w:lastRenderedPageBreak/>
        <w:t>maternal and child mortality, especially in hard-to-reach areas where private health service providers are limited.</w:t>
      </w:r>
    </w:p>
    <w:p w14:paraId="3BDEE7CE" w14:textId="77777777" w:rsidR="00E44E8A" w:rsidRPr="007B0511" w:rsidRDefault="00E44E8A" w:rsidP="00E44E8A">
      <w:pPr>
        <w:spacing w:line="276" w:lineRule="auto"/>
        <w:jc w:val="both"/>
        <w:rPr>
          <w:rFonts w:cstheme="minorHAnsi"/>
        </w:rPr>
      </w:pPr>
    </w:p>
    <w:p w14:paraId="2374CA3A" w14:textId="77777777" w:rsidR="007D234C" w:rsidRPr="007B0511" w:rsidRDefault="007D234C" w:rsidP="009B3816">
      <w:pPr>
        <w:pStyle w:val="ListParagraph"/>
        <w:keepNext w:val="0"/>
        <w:keepLines w:val="0"/>
        <w:numPr>
          <w:ilvl w:val="0"/>
          <w:numId w:val="31"/>
        </w:numPr>
        <w:pBdr>
          <w:top w:val="nil"/>
          <w:left w:val="nil"/>
          <w:bottom w:val="nil"/>
          <w:right w:val="nil"/>
          <w:between w:val="nil"/>
        </w:pBdr>
        <w:snapToGrid/>
        <w:spacing w:line="276" w:lineRule="auto"/>
        <w:jc w:val="both"/>
        <w:outlineLvl w:val="9"/>
        <w:rPr>
          <w:rFonts w:ascii="Lato" w:eastAsia="Open Sans" w:hAnsi="Lato" w:cstheme="minorHAnsi"/>
          <w:sz w:val="22"/>
          <w:szCs w:val="22"/>
          <w:lang w:val="en-US"/>
        </w:rPr>
      </w:pPr>
      <w:bookmarkStart w:id="2" w:name="_Hlk145083577"/>
      <w:r w:rsidRPr="007B0511">
        <w:rPr>
          <w:rFonts w:ascii="Lato" w:eastAsia="Open Sans" w:hAnsi="Lato" w:cstheme="minorHAnsi"/>
          <w:sz w:val="22"/>
          <w:szCs w:val="22"/>
          <w:lang w:val="en-US"/>
        </w:rPr>
        <w:t>Targeting CVA based only on the nutritional status of children in a treatment response may tempt caregivers to slow down their children's recovery in order to prolong the treatment period, or in some cases there have been experiences of certain strategies to make children lose weight in order to meet the admission criteria. For this reason, CVA for treatment response should be accompanied by a risk analysis and strong monitoring and accountability system.</w:t>
      </w:r>
    </w:p>
    <w:p w14:paraId="25219EB8" w14:textId="77777777" w:rsidR="00E44E8A" w:rsidRPr="007B0511" w:rsidRDefault="00E44E8A" w:rsidP="00E44E8A">
      <w:pPr>
        <w:pBdr>
          <w:top w:val="nil"/>
          <w:left w:val="nil"/>
          <w:bottom w:val="nil"/>
          <w:right w:val="nil"/>
          <w:between w:val="nil"/>
        </w:pBdr>
        <w:spacing w:line="276" w:lineRule="auto"/>
        <w:jc w:val="both"/>
        <w:rPr>
          <w:rFonts w:eastAsia="Open Sans" w:cstheme="minorHAnsi"/>
        </w:rPr>
      </w:pPr>
    </w:p>
    <w:bookmarkEnd w:id="2"/>
    <w:p w14:paraId="527EE497" w14:textId="77777777" w:rsidR="007D234C" w:rsidRPr="007B0511" w:rsidRDefault="007D234C" w:rsidP="009B3816">
      <w:pPr>
        <w:pStyle w:val="ListParagraph"/>
        <w:keepNext w:val="0"/>
        <w:keepLines w:val="0"/>
        <w:numPr>
          <w:ilvl w:val="0"/>
          <w:numId w:val="31"/>
        </w:numPr>
        <w:snapToGrid/>
        <w:spacing w:after="160" w:line="259" w:lineRule="auto"/>
        <w:outlineLvl w:val="9"/>
        <w:rPr>
          <w:rFonts w:ascii="Lato" w:eastAsia="Arial" w:hAnsi="Lato" w:cstheme="minorHAnsi"/>
          <w:sz w:val="22"/>
          <w:szCs w:val="22"/>
          <w:lang w:val="en-US"/>
        </w:rPr>
      </w:pPr>
      <w:r w:rsidRPr="007B0511">
        <w:rPr>
          <w:rFonts w:ascii="Lato" w:eastAsia="Arial" w:hAnsi="Lato" w:cstheme="minorHAnsi"/>
          <w:sz w:val="22"/>
          <w:szCs w:val="22"/>
          <w:lang w:val="en-US"/>
        </w:rPr>
        <w:t>The implementation and functionality of one of the flagship program - the provision of Cash allowance for pregnant women and children to age two years (Maternal and Child Cash Transfer with SBC for Nutrition) is in question.</w:t>
      </w:r>
    </w:p>
    <w:p w14:paraId="691466AB" w14:textId="77777777" w:rsidR="007D234C" w:rsidRPr="007B0511" w:rsidRDefault="007D234C" w:rsidP="007D234C">
      <w:pPr>
        <w:rPr>
          <w:rFonts w:cstheme="minorHAnsi"/>
          <w:b/>
          <w:bCs/>
        </w:rPr>
      </w:pPr>
    </w:p>
    <w:p w14:paraId="4EB3AAF3" w14:textId="77777777" w:rsidR="007D234C" w:rsidRPr="007B0511" w:rsidRDefault="007D234C" w:rsidP="009B3816">
      <w:pPr>
        <w:pStyle w:val="ListParagraph"/>
        <w:keepNext w:val="0"/>
        <w:keepLines w:val="0"/>
        <w:numPr>
          <w:ilvl w:val="0"/>
          <w:numId w:val="30"/>
        </w:numPr>
        <w:snapToGrid/>
        <w:spacing w:line="276" w:lineRule="auto"/>
        <w:outlineLvl w:val="9"/>
        <w:rPr>
          <w:rFonts w:ascii="Lato" w:hAnsi="Lato" w:cstheme="minorHAnsi"/>
          <w:b/>
          <w:bCs/>
          <w:i/>
          <w:iCs/>
          <w:sz w:val="22"/>
          <w:szCs w:val="22"/>
          <w:lang w:val="en-US"/>
        </w:rPr>
      </w:pPr>
      <w:r w:rsidRPr="007B0511">
        <w:rPr>
          <w:rFonts w:ascii="Lato" w:hAnsi="Lato" w:cstheme="minorHAnsi"/>
          <w:b/>
          <w:bCs/>
          <w:i/>
          <w:iCs/>
          <w:sz w:val="22"/>
          <w:szCs w:val="22"/>
          <w:lang w:val="en-US"/>
        </w:rPr>
        <w:t>Challenges</w:t>
      </w:r>
    </w:p>
    <w:p w14:paraId="5DB21DA4" w14:textId="77777777" w:rsidR="007D234C" w:rsidRPr="007B0511" w:rsidRDefault="007D234C" w:rsidP="007D234C">
      <w:pPr>
        <w:rPr>
          <w:rFonts w:cstheme="minorHAnsi"/>
        </w:rPr>
      </w:pPr>
      <w:r w:rsidRPr="007B0511">
        <w:rPr>
          <w:rFonts w:cstheme="minorHAnsi"/>
        </w:rPr>
        <w:t>The following challenges were identified by the participants.</w:t>
      </w:r>
    </w:p>
    <w:p w14:paraId="152815F7" w14:textId="77777777" w:rsidR="007D234C" w:rsidRPr="007B0511" w:rsidRDefault="007D234C" w:rsidP="009B3816">
      <w:pPr>
        <w:pStyle w:val="xmsonormal"/>
        <w:numPr>
          <w:ilvl w:val="0"/>
          <w:numId w:val="32"/>
        </w:numPr>
        <w:rPr>
          <w:rFonts w:ascii="Lato" w:hAnsi="Lato"/>
        </w:rPr>
      </w:pPr>
      <w:r w:rsidRPr="007B0511">
        <w:rPr>
          <w:rFonts w:ascii="Lato" w:hAnsi="Lato"/>
        </w:rPr>
        <w:t>Cash transfer challenges – increased control over cash transfers across country</w:t>
      </w:r>
    </w:p>
    <w:p w14:paraId="3DDF6219" w14:textId="77777777" w:rsidR="007D234C" w:rsidRPr="007B0511" w:rsidRDefault="007D234C" w:rsidP="009B3816">
      <w:pPr>
        <w:pStyle w:val="xmsonormal"/>
        <w:numPr>
          <w:ilvl w:val="0"/>
          <w:numId w:val="32"/>
        </w:numPr>
        <w:rPr>
          <w:rFonts w:ascii="Lato" w:hAnsi="Lato"/>
        </w:rPr>
      </w:pPr>
      <w:r w:rsidRPr="007B0511">
        <w:rPr>
          <w:rFonts w:ascii="Lato" w:hAnsi="Lato"/>
        </w:rPr>
        <w:t>Pressing socio-economic conditions cause use of funds for debt repayment and basic needs – prioritizing caloric quantity over quality of foods</w:t>
      </w:r>
    </w:p>
    <w:p w14:paraId="3DC329DB" w14:textId="525BA048" w:rsidR="007D234C" w:rsidRPr="007B0511" w:rsidRDefault="007D234C" w:rsidP="009B3816">
      <w:pPr>
        <w:pStyle w:val="xmsonormal"/>
        <w:numPr>
          <w:ilvl w:val="0"/>
          <w:numId w:val="32"/>
        </w:numPr>
        <w:rPr>
          <w:rFonts w:ascii="Lato" w:hAnsi="Lato"/>
        </w:rPr>
      </w:pPr>
      <w:r w:rsidRPr="007B0511">
        <w:rPr>
          <w:rFonts w:ascii="Lato" w:hAnsi="Lato"/>
        </w:rPr>
        <w:t xml:space="preserve">Access challenges can hamper SBC interventions and limit the time with beneficiaries / need to further advance digital elements </w:t>
      </w:r>
    </w:p>
    <w:p w14:paraId="0329890F" w14:textId="77777777" w:rsidR="007D234C" w:rsidRPr="007B0511" w:rsidRDefault="007D234C" w:rsidP="009B3816">
      <w:pPr>
        <w:pStyle w:val="xmsonormal"/>
        <w:numPr>
          <w:ilvl w:val="0"/>
          <w:numId w:val="32"/>
        </w:numPr>
        <w:rPr>
          <w:rFonts w:ascii="Lato" w:hAnsi="Lato"/>
        </w:rPr>
      </w:pPr>
      <w:r w:rsidRPr="007B0511">
        <w:rPr>
          <w:rFonts w:ascii="Lato" w:hAnsi="Lato"/>
        </w:rPr>
        <w:t>Health system challenges – both screening, AN care and treatment affected by the challenges of the health system</w:t>
      </w:r>
    </w:p>
    <w:p w14:paraId="6B7BB766" w14:textId="77777777" w:rsidR="007D234C" w:rsidRPr="007B0511" w:rsidRDefault="007D234C" w:rsidP="009B3816">
      <w:pPr>
        <w:pStyle w:val="xmsonormal"/>
        <w:numPr>
          <w:ilvl w:val="0"/>
          <w:numId w:val="32"/>
        </w:numPr>
        <w:rPr>
          <w:rFonts w:ascii="Lato" w:hAnsi="Lato"/>
        </w:rPr>
      </w:pPr>
      <w:r w:rsidRPr="007B0511">
        <w:rPr>
          <w:rFonts w:ascii="Lato" w:hAnsi="Lato"/>
        </w:rPr>
        <w:t xml:space="preserve">Funding constraints – restrictions on geography and modality (food or cash) </w:t>
      </w:r>
    </w:p>
    <w:p w14:paraId="0437B1AE" w14:textId="77777777" w:rsidR="007D234C" w:rsidRPr="007B0511" w:rsidRDefault="007D234C" w:rsidP="009B3816">
      <w:pPr>
        <w:pStyle w:val="xmsonormal"/>
        <w:numPr>
          <w:ilvl w:val="0"/>
          <w:numId w:val="32"/>
        </w:numPr>
        <w:rPr>
          <w:rFonts w:ascii="Lato" w:hAnsi="Lato"/>
        </w:rPr>
      </w:pPr>
      <w:r w:rsidRPr="007B0511">
        <w:rPr>
          <w:rFonts w:ascii="Lato" w:hAnsi="Lato"/>
        </w:rPr>
        <w:t>Inflation and economic instability. </w:t>
      </w:r>
    </w:p>
    <w:p w14:paraId="67A820B9" w14:textId="77777777" w:rsidR="007D234C" w:rsidRPr="007B0511" w:rsidRDefault="007D234C" w:rsidP="009B3816">
      <w:pPr>
        <w:pStyle w:val="xmsonormal"/>
        <w:numPr>
          <w:ilvl w:val="0"/>
          <w:numId w:val="32"/>
        </w:numPr>
        <w:rPr>
          <w:rFonts w:ascii="Lato" w:hAnsi="Lato"/>
        </w:rPr>
      </w:pPr>
      <w:r w:rsidRPr="007B0511">
        <w:rPr>
          <w:rFonts w:ascii="Lato" w:hAnsi="Lato"/>
        </w:rPr>
        <w:t>Restrictions from authorities and central bank</w:t>
      </w:r>
    </w:p>
    <w:p w14:paraId="37FC421C" w14:textId="77777777" w:rsidR="007D234C" w:rsidRPr="007B0511" w:rsidRDefault="007D234C" w:rsidP="009B3816">
      <w:pPr>
        <w:pStyle w:val="xmsonormal"/>
        <w:numPr>
          <w:ilvl w:val="0"/>
          <w:numId w:val="32"/>
        </w:numPr>
        <w:rPr>
          <w:rFonts w:ascii="Lato" w:hAnsi="Lato"/>
        </w:rPr>
      </w:pPr>
      <w:r w:rsidRPr="007B0511">
        <w:rPr>
          <w:rFonts w:ascii="Lato" w:hAnsi="Lato"/>
        </w:rPr>
        <w:t>Lack of formal agreements between partners and authorities</w:t>
      </w:r>
    </w:p>
    <w:p w14:paraId="6380EB09" w14:textId="77777777" w:rsidR="007D234C" w:rsidRPr="007B0511" w:rsidRDefault="007D234C" w:rsidP="009B3816">
      <w:pPr>
        <w:pStyle w:val="xmsonormal"/>
        <w:numPr>
          <w:ilvl w:val="0"/>
          <w:numId w:val="32"/>
        </w:numPr>
        <w:rPr>
          <w:rFonts w:ascii="Lato" w:hAnsi="Lato"/>
        </w:rPr>
      </w:pPr>
      <w:r w:rsidRPr="007B0511">
        <w:rPr>
          <w:rFonts w:ascii="Lato" w:hAnsi="Lato"/>
        </w:rPr>
        <w:t>Restricted cash flow for cooperating partners. </w:t>
      </w:r>
    </w:p>
    <w:p w14:paraId="63C5A151" w14:textId="77777777" w:rsidR="007D234C" w:rsidRPr="007B0511" w:rsidRDefault="007D234C" w:rsidP="009B3816">
      <w:pPr>
        <w:pStyle w:val="xmsonormal"/>
        <w:numPr>
          <w:ilvl w:val="0"/>
          <w:numId w:val="32"/>
        </w:numPr>
        <w:rPr>
          <w:rFonts w:ascii="Lato" w:hAnsi="Lato"/>
        </w:rPr>
      </w:pPr>
      <w:r w:rsidRPr="007B0511">
        <w:rPr>
          <w:rFonts w:ascii="Lato" w:hAnsi="Lato"/>
        </w:rPr>
        <w:t>New KYC requirement - Data protection concerns + Displacement + Possession of NRC</w:t>
      </w:r>
    </w:p>
    <w:p w14:paraId="2FCA9398" w14:textId="77777777" w:rsidR="007D234C" w:rsidRPr="007B0511" w:rsidRDefault="007D234C" w:rsidP="009B3816">
      <w:pPr>
        <w:pStyle w:val="xmsonormal"/>
        <w:numPr>
          <w:ilvl w:val="0"/>
          <w:numId w:val="32"/>
        </w:numPr>
        <w:rPr>
          <w:rFonts w:ascii="Lato" w:hAnsi="Lato"/>
        </w:rPr>
      </w:pPr>
      <w:r w:rsidRPr="007B0511">
        <w:rPr>
          <w:rFonts w:ascii="Lato" w:hAnsi="Lato"/>
        </w:rPr>
        <w:t>Choice of Financial Service Provider (FSP) for E-cash </w:t>
      </w:r>
    </w:p>
    <w:p w14:paraId="098CE8AB" w14:textId="77777777" w:rsidR="007D234C" w:rsidRPr="007B0511" w:rsidRDefault="007D234C" w:rsidP="009B3816">
      <w:pPr>
        <w:pStyle w:val="xmsonormal"/>
        <w:numPr>
          <w:ilvl w:val="0"/>
          <w:numId w:val="32"/>
        </w:numPr>
        <w:rPr>
          <w:rFonts w:ascii="Lato" w:hAnsi="Lato"/>
        </w:rPr>
      </w:pPr>
      <w:r w:rsidRPr="007B0511">
        <w:rPr>
          <w:rFonts w:ascii="Lato" w:hAnsi="Lato"/>
        </w:rPr>
        <w:t>Beneficiary sensitization, mobile phone ownership etc.</w:t>
      </w:r>
    </w:p>
    <w:p w14:paraId="7DC68F4E" w14:textId="77777777" w:rsidR="007D234C" w:rsidRPr="007B0511" w:rsidRDefault="007D234C" w:rsidP="009B3816">
      <w:pPr>
        <w:pStyle w:val="xmsonormal"/>
        <w:numPr>
          <w:ilvl w:val="0"/>
          <w:numId w:val="32"/>
        </w:numPr>
        <w:rPr>
          <w:rFonts w:ascii="Lato" w:hAnsi="Lato"/>
        </w:rPr>
      </w:pPr>
      <w:r w:rsidRPr="007B0511">
        <w:rPr>
          <w:rFonts w:ascii="Lato" w:hAnsi="Lato"/>
        </w:rPr>
        <w:t>In case of Cash-in-Envelop modality, banking services and security situation</w:t>
      </w:r>
    </w:p>
    <w:p w14:paraId="4574A377" w14:textId="77777777" w:rsidR="007D234C" w:rsidRPr="007B0511" w:rsidRDefault="007D234C" w:rsidP="009B3816">
      <w:pPr>
        <w:pStyle w:val="xmsonormal"/>
        <w:numPr>
          <w:ilvl w:val="0"/>
          <w:numId w:val="32"/>
        </w:numPr>
        <w:rPr>
          <w:rFonts w:ascii="Lato" w:hAnsi="Lato"/>
        </w:rPr>
      </w:pPr>
      <w:r w:rsidRPr="007B0511">
        <w:rPr>
          <w:rFonts w:ascii="Lato" w:eastAsia="Times New Roman" w:hAnsi="Lato" w:cstheme="minorHAnsi"/>
          <w:color w:val="000000"/>
        </w:rPr>
        <w:t>Referral system – No functioning government services for nutrition services in Myanmar.</w:t>
      </w:r>
    </w:p>
    <w:p w14:paraId="79F16C9A" w14:textId="77777777" w:rsidR="00070738" w:rsidRPr="007B0511" w:rsidRDefault="00070738" w:rsidP="007D234C">
      <w:pPr>
        <w:rPr>
          <w:rFonts w:cstheme="minorHAnsi"/>
        </w:rPr>
      </w:pPr>
    </w:p>
    <w:p w14:paraId="7DC6E97E" w14:textId="77777777" w:rsidR="00A6621D" w:rsidRPr="007B0511" w:rsidRDefault="00A6621D" w:rsidP="007D234C">
      <w:pPr>
        <w:rPr>
          <w:rFonts w:cstheme="minorHAnsi"/>
        </w:rPr>
      </w:pPr>
    </w:p>
    <w:p w14:paraId="3D80E662" w14:textId="77777777" w:rsidR="007D234C" w:rsidRPr="007B0511" w:rsidRDefault="007D234C" w:rsidP="009B3816">
      <w:pPr>
        <w:pStyle w:val="xmsonormal"/>
        <w:numPr>
          <w:ilvl w:val="0"/>
          <w:numId w:val="30"/>
        </w:numPr>
        <w:rPr>
          <w:rFonts w:ascii="Lato" w:hAnsi="Lato"/>
          <w:b/>
          <w:bCs/>
          <w:i/>
          <w:iCs/>
        </w:rPr>
      </w:pPr>
      <w:r w:rsidRPr="007B0511">
        <w:rPr>
          <w:rFonts w:ascii="Lato" w:hAnsi="Lato"/>
          <w:b/>
          <w:bCs/>
          <w:i/>
          <w:iCs/>
        </w:rPr>
        <w:t>Risks and Mitigation Measures </w:t>
      </w:r>
    </w:p>
    <w:p w14:paraId="1513011D" w14:textId="77777777" w:rsidR="007D234C" w:rsidRPr="007B0511" w:rsidRDefault="007D234C" w:rsidP="007D234C">
      <w:r w:rsidRPr="007B0511">
        <w:t>Below table provides few CVA risk areas relating specifically to Myanmar context.</w:t>
      </w:r>
    </w:p>
    <w:tbl>
      <w:tblPr>
        <w:tblW w:w="9890" w:type="dxa"/>
        <w:tblCellMar>
          <w:left w:w="0" w:type="dxa"/>
          <w:right w:w="0" w:type="dxa"/>
        </w:tblCellMar>
        <w:tblLook w:val="04A0" w:firstRow="1" w:lastRow="0" w:firstColumn="1" w:lastColumn="0" w:noHBand="0" w:noVBand="1"/>
      </w:tblPr>
      <w:tblGrid>
        <w:gridCol w:w="3691"/>
        <w:gridCol w:w="6199"/>
      </w:tblGrid>
      <w:tr w:rsidR="007D234C" w:rsidRPr="007B0511" w14:paraId="712A9C61" w14:textId="77777777" w:rsidTr="00A6621D">
        <w:trPr>
          <w:trHeight w:val="741"/>
        </w:trPr>
        <w:tc>
          <w:tcPr>
            <w:tcW w:w="3691" w:type="dxa"/>
            <w:tcBorders>
              <w:top w:val="single" w:sz="8" w:space="0" w:color="0077AF"/>
              <w:left w:val="single" w:sz="8" w:space="0" w:color="0077AF"/>
              <w:bottom w:val="single" w:sz="8" w:space="0" w:color="0077AF"/>
              <w:right w:val="single" w:sz="8" w:space="0" w:color="0077AF"/>
            </w:tcBorders>
            <w:shd w:val="clear" w:color="auto" w:fill="ED7D31" w:themeFill="accent2"/>
            <w:tcMar>
              <w:top w:w="15" w:type="dxa"/>
              <w:left w:w="15" w:type="dxa"/>
              <w:bottom w:w="0" w:type="dxa"/>
              <w:right w:w="15" w:type="dxa"/>
            </w:tcMar>
            <w:vAlign w:val="center"/>
            <w:hideMark/>
          </w:tcPr>
          <w:p w14:paraId="151E8244" w14:textId="77777777" w:rsidR="007D234C" w:rsidRPr="007B0511" w:rsidRDefault="007D234C" w:rsidP="00FE16FE">
            <w:pPr>
              <w:pStyle w:val="xmsonormal"/>
              <w:rPr>
                <w:rFonts w:ascii="Lato" w:hAnsi="Lato"/>
              </w:rPr>
            </w:pPr>
            <w:r w:rsidRPr="007B0511">
              <w:rPr>
                <w:rFonts w:ascii="Lato" w:hAnsi="Lato"/>
                <w:b/>
                <w:bCs/>
                <w:color w:val="000000"/>
              </w:rPr>
              <w:t>Risk and potential implications</w:t>
            </w:r>
          </w:p>
        </w:tc>
        <w:tc>
          <w:tcPr>
            <w:tcW w:w="6199" w:type="dxa"/>
            <w:tcBorders>
              <w:top w:val="single" w:sz="8" w:space="0" w:color="0077AF"/>
              <w:left w:val="nil"/>
              <w:bottom w:val="single" w:sz="8" w:space="0" w:color="0077AF"/>
              <w:right w:val="single" w:sz="8" w:space="0" w:color="0077AF"/>
            </w:tcBorders>
            <w:shd w:val="clear" w:color="auto" w:fill="ED7D31" w:themeFill="accent2"/>
            <w:tcMar>
              <w:top w:w="15" w:type="dxa"/>
              <w:left w:w="15" w:type="dxa"/>
              <w:bottom w:w="0" w:type="dxa"/>
              <w:right w:w="15" w:type="dxa"/>
            </w:tcMar>
            <w:vAlign w:val="center"/>
            <w:hideMark/>
          </w:tcPr>
          <w:p w14:paraId="4E781E2E" w14:textId="77777777" w:rsidR="007D234C" w:rsidRPr="007B0511" w:rsidRDefault="007D234C" w:rsidP="00FE16FE">
            <w:pPr>
              <w:pStyle w:val="xmsonormal"/>
              <w:rPr>
                <w:rFonts w:ascii="Lato" w:hAnsi="Lato"/>
              </w:rPr>
            </w:pPr>
            <w:r w:rsidRPr="007B0511">
              <w:rPr>
                <w:rFonts w:ascii="Lato" w:hAnsi="Lato"/>
                <w:b/>
                <w:bCs/>
                <w:color w:val="000000"/>
              </w:rPr>
              <w:t>Mitigation Measures</w:t>
            </w:r>
          </w:p>
        </w:tc>
      </w:tr>
      <w:tr w:rsidR="007D234C" w:rsidRPr="007B0511" w14:paraId="4745AAF1" w14:textId="77777777" w:rsidTr="00A6621D">
        <w:trPr>
          <w:trHeight w:val="731"/>
        </w:trPr>
        <w:tc>
          <w:tcPr>
            <w:tcW w:w="3691" w:type="dxa"/>
            <w:tcBorders>
              <w:top w:val="nil"/>
              <w:left w:val="single" w:sz="8" w:space="0" w:color="0077AF"/>
              <w:bottom w:val="single" w:sz="8" w:space="0" w:color="0077AF"/>
              <w:right w:val="single" w:sz="8" w:space="0" w:color="0077AF"/>
            </w:tcBorders>
            <w:tcMar>
              <w:top w:w="15" w:type="dxa"/>
              <w:left w:w="15" w:type="dxa"/>
              <w:bottom w:w="0" w:type="dxa"/>
              <w:right w:w="15" w:type="dxa"/>
            </w:tcMar>
            <w:vAlign w:val="center"/>
            <w:hideMark/>
          </w:tcPr>
          <w:p w14:paraId="0ABE34FF" w14:textId="77777777" w:rsidR="007D234C" w:rsidRPr="007B0511" w:rsidRDefault="007D234C" w:rsidP="009B3816">
            <w:pPr>
              <w:pStyle w:val="xmsonormal"/>
              <w:numPr>
                <w:ilvl w:val="0"/>
                <w:numId w:val="33"/>
              </w:numPr>
              <w:rPr>
                <w:rFonts w:ascii="Lato" w:eastAsia="Times New Roman" w:hAnsi="Lato"/>
              </w:rPr>
            </w:pPr>
            <w:r w:rsidRPr="007B0511">
              <w:rPr>
                <w:rFonts w:ascii="Lato" w:eastAsia="Times New Roman" w:hAnsi="Lato"/>
              </w:rPr>
              <w:t>Staff safety (carrying cash insecurity)</w:t>
            </w:r>
            <w:r w:rsidRPr="007B0511">
              <w:rPr>
                <w:rFonts w:ascii="Lato" w:eastAsia="Times New Roman" w:hAnsi="Lato"/>
              </w:rPr>
              <w:br/>
              <w:t xml:space="preserve">Transfers are not received </w:t>
            </w:r>
            <w:r w:rsidRPr="007B0511">
              <w:rPr>
                <w:rFonts w:ascii="Lato" w:eastAsia="Times New Roman" w:hAnsi="Lato"/>
              </w:rPr>
              <w:br/>
              <w:t>Loss of cash</w:t>
            </w:r>
          </w:p>
        </w:tc>
        <w:tc>
          <w:tcPr>
            <w:tcW w:w="6199" w:type="dxa"/>
            <w:tcBorders>
              <w:top w:val="nil"/>
              <w:left w:val="nil"/>
              <w:bottom w:val="single" w:sz="8" w:space="0" w:color="0077AF"/>
              <w:right w:val="single" w:sz="8" w:space="0" w:color="0077AF"/>
            </w:tcBorders>
            <w:tcMar>
              <w:top w:w="15" w:type="dxa"/>
              <w:left w:w="15" w:type="dxa"/>
              <w:bottom w:w="0" w:type="dxa"/>
              <w:right w:w="15" w:type="dxa"/>
            </w:tcMar>
            <w:vAlign w:val="center"/>
            <w:hideMark/>
          </w:tcPr>
          <w:p w14:paraId="3E03C293" w14:textId="77777777" w:rsidR="007D234C" w:rsidRPr="007B0511" w:rsidRDefault="007D234C" w:rsidP="009B3816">
            <w:pPr>
              <w:pStyle w:val="xmsonormal"/>
              <w:numPr>
                <w:ilvl w:val="0"/>
                <w:numId w:val="34"/>
              </w:numPr>
              <w:rPr>
                <w:rFonts w:ascii="Lato" w:eastAsia="Times New Roman" w:hAnsi="Lato"/>
              </w:rPr>
            </w:pPr>
            <w:r w:rsidRPr="007B0511">
              <w:rPr>
                <w:rFonts w:ascii="Lato" w:eastAsia="Times New Roman" w:hAnsi="Lato"/>
              </w:rPr>
              <w:t>Cash insurance                                                                              </w:t>
            </w:r>
          </w:p>
          <w:p w14:paraId="314C5420" w14:textId="77777777" w:rsidR="007D234C" w:rsidRPr="007B0511" w:rsidRDefault="007D234C" w:rsidP="009B3816">
            <w:pPr>
              <w:pStyle w:val="xmsonormal"/>
              <w:numPr>
                <w:ilvl w:val="0"/>
                <w:numId w:val="34"/>
              </w:numPr>
              <w:rPr>
                <w:rFonts w:ascii="Lato" w:eastAsia="Times New Roman" w:hAnsi="Lato"/>
              </w:rPr>
            </w:pPr>
            <w:r w:rsidRPr="007B0511">
              <w:rPr>
                <w:rFonts w:ascii="Lato" w:eastAsia="Times New Roman" w:hAnsi="Lato"/>
              </w:rPr>
              <w:t>Regular security briefings and safety training </w:t>
            </w:r>
          </w:p>
          <w:p w14:paraId="7DA5FFE6" w14:textId="77777777" w:rsidR="007D234C" w:rsidRPr="007B0511" w:rsidRDefault="007D234C" w:rsidP="009B3816">
            <w:pPr>
              <w:pStyle w:val="xmsonormal"/>
              <w:numPr>
                <w:ilvl w:val="0"/>
                <w:numId w:val="34"/>
              </w:numPr>
              <w:rPr>
                <w:rFonts w:ascii="Lato" w:eastAsia="Times New Roman" w:hAnsi="Lato"/>
              </w:rPr>
            </w:pPr>
            <w:r w:rsidRPr="007B0511">
              <w:rPr>
                <w:rFonts w:ascii="Lato" w:eastAsia="Times New Roman" w:hAnsi="Lato"/>
              </w:rPr>
              <w:t>Develop Business Continuity Plan (BCP) for the project as needed.    </w:t>
            </w:r>
          </w:p>
          <w:p w14:paraId="5844177B" w14:textId="77777777" w:rsidR="00A6621D" w:rsidRPr="007B0511" w:rsidRDefault="00A6621D" w:rsidP="00A6621D">
            <w:pPr>
              <w:pStyle w:val="xmsonormal"/>
              <w:rPr>
                <w:rFonts w:ascii="Lato" w:eastAsia="Times New Roman" w:hAnsi="Lato"/>
              </w:rPr>
            </w:pPr>
          </w:p>
        </w:tc>
      </w:tr>
      <w:tr w:rsidR="00A6621D" w:rsidRPr="007B0511" w14:paraId="74324BC0" w14:textId="77777777" w:rsidTr="00A6621D">
        <w:trPr>
          <w:trHeight w:val="741"/>
        </w:trPr>
        <w:tc>
          <w:tcPr>
            <w:tcW w:w="3691" w:type="dxa"/>
            <w:tcBorders>
              <w:top w:val="single" w:sz="8" w:space="0" w:color="0077AF"/>
              <w:left w:val="single" w:sz="8" w:space="0" w:color="0077AF"/>
              <w:bottom w:val="single" w:sz="8" w:space="0" w:color="0077AF"/>
              <w:right w:val="single" w:sz="8" w:space="0" w:color="0077AF"/>
            </w:tcBorders>
            <w:shd w:val="clear" w:color="auto" w:fill="ED7D31" w:themeFill="accent2"/>
            <w:tcMar>
              <w:top w:w="15" w:type="dxa"/>
              <w:left w:w="15" w:type="dxa"/>
              <w:bottom w:w="0" w:type="dxa"/>
              <w:right w:w="15" w:type="dxa"/>
            </w:tcMar>
            <w:vAlign w:val="center"/>
            <w:hideMark/>
          </w:tcPr>
          <w:p w14:paraId="6003F438" w14:textId="77777777" w:rsidR="00A6621D" w:rsidRPr="007B0511" w:rsidRDefault="00A6621D" w:rsidP="00CF26E5">
            <w:pPr>
              <w:pStyle w:val="xmsonormal"/>
              <w:rPr>
                <w:rFonts w:ascii="Lato" w:hAnsi="Lato"/>
              </w:rPr>
            </w:pPr>
            <w:r w:rsidRPr="007B0511">
              <w:rPr>
                <w:rFonts w:ascii="Lato" w:hAnsi="Lato"/>
                <w:b/>
                <w:bCs/>
                <w:color w:val="000000"/>
              </w:rPr>
              <w:lastRenderedPageBreak/>
              <w:t>Risk and potential implications</w:t>
            </w:r>
          </w:p>
        </w:tc>
        <w:tc>
          <w:tcPr>
            <w:tcW w:w="6199" w:type="dxa"/>
            <w:tcBorders>
              <w:top w:val="single" w:sz="8" w:space="0" w:color="0077AF"/>
              <w:left w:val="nil"/>
              <w:bottom w:val="single" w:sz="8" w:space="0" w:color="0077AF"/>
              <w:right w:val="single" w:sz="8" w:space="0" w:color="0077AF"/>
            </w:tcBorders>
            <w:shd w:val="clear" w:color="auto" w:fill="ED7D31" w:themeFill="accent2"/>
            <w:tcMar>
              <w:top w:w="15" w:type="dxa"/>
              <w:left w:w="15" w:type="dxa"/>
              <w:bottom w:w="0" w:type="dxa"/>
              <w:right w:w="15" w:type="dxa"/>
            </w:tcMar>
            <w:vAlign w:val="center"/>
            <w:hideMark/>
          </w:tcPr>
          <w:p w14:paraId="12BCE88E" w14:textId="77777777" w:rsidR="00A6621D" w:rsidRPr="007B0511" w:rsidRDefault="00A6621D" w:rsidP="00CF26E5">
            <w:pPr>
              <w:pStyle w:val="xmsonormal"/>
              <w:rPr>
                <w:rFonts w:ascii="Lato" w:hAnsi="Lato"/>
              </w:rPr>
            </w:pPr>
            <w:r w:rsidRPr="007B0511">
              <w:rPr>
                <w:rFonts w:ascii="Lato" w:hAnsi="Lato"/>
                <w:b/>
                <w:bCs/>
                <w:color w:val="000000"/>
              </w:rPr>
              <w:t>Mitigation Measures</w:t>
            </w:r>
          </w:p>
        </w:tc>
      </w:tr>
      <w:tr w:rsidR="007D234C" w:rsidRPr="007B0511" w14:paraId="278D7FBF" w14:textId="77777777" w:rsidTr="00A6621D">
        <w:trPr>
          <w:trHeight w:val="1184"/>
        </w:trPr>
        <w:tc>
          <w:tcPr>
            <w:tcW w:w="3691" w:type="dxa"/>
            <w:tcBorders>
              <w:top w:val="nil"/>
              <w:left w:val="single" w:sz="8" w:space="0" w:color="0077AF"/>
              <w:bottom w:val="single" w:sz="8" w:space="0" w:color="0077AF"/>
              <w:right w:val="single" w:sz="8" w:space="0" w:color="0077AF"/>
            </w:tcBorders>
            <w:tcMar>
              <w:top w:w="15" w:type="dxa"/>
              <w:left w:w="15" w:type="dxa"/>
              <w:bottom w:w="0" w:type="dxa"/>
              <w:right w:w="15" w:type="dxa"/>
            </w:tcMar>
            <w:vAlign w:val="center"/>
            <w:hideMark/>
          </w:tcPr>
          <w:p w14:paraId="56BBB08C" w14:textId="77777777" w:rsidR="007D234C" w:rsidRPr="007B0511" w:rsidRDefault="007D234C" w:rsidP="009B3816">
            <w:pPr>
              <w:pStyle w:val="xmsonormal"/>
              <w:numPr>
                <w:ilvl w:val="0"/>
                <w:numId w:val="35"/>
              </w:numPr>
              <w:rPr>
                <w:rFonts w:ascii="Lato" w:eastAsia="Times New Roman" w:hAnsi="Lato"/>
              </w:rPr>
            </w:pPr>
            <w:r w:rsidRPr="007B0511">
              <w:rPr>
                <w:rFonts w:ascii="Lato" w:eastAsia="Times New Roman" w:hAnsi="Lato"/>
              </w:rPr>
              <w:t>Delays in delivery of emergency cash grants. Issues with programme quality. Misappropriation of funds</w:t>
            </w:r>
          </w:p>
        </w:tc>
        <w:tc>
          <w:tcPr>
            <w:tcW w:w="6199" w:type="dxa"/>
            <w:tcBorders>
              <w:top w:val="nil"/>
              <w:left w:val="nil"/>
              <w:bottom w:val="single" w:sz="8" w:space="0" w:color="0077AF"/>
              <w:right w:val="single" w:sz="8" w:space="0" w:color="0077AF"/>
            </w:tcBorders>
            <w:tcMar>
              <w:top w:w="15" w:type="dxa"/>
              <w:left w:w="15" w:type="dxa"/>
              <w:bottom w:w="0" w:type="dxa"/>
              <w:right w:w="15" w:type="dxa"/>
            </w:tcMar>
            <w:vAlign w:val="center"/>
            <w:hideMark/>
          </w:tcPr>
          <w:p w14:paraId="7970D242" w14:textId="77777777" w:rsidR="007D234C" w:rsidRPr="007B0511" w:rsidRDefault="007D234C" w:rsidP="009B3816">
            <w:pPr>
              <w:pStyle w:val="xmsonormal"/>
              <w:numPr>
                <w:ilvl w:val="0"/>
                <w:numId w:val="36"/>
              </w:numPr>
              <w:rPr>
                <w:rFonts w:ascii="Lato" w:eastAsia="Times New Roman" w:hAnsi="Lato"/>
              </w:rPr>
            </w:pPr>
            <w:r w:rsidRPr="007B0511">
              <w:rPr>
                <w:rFonts w:ascii="Lato" w:eastAsia="Times New Roman" w:hAnsi="Lato"/>
              </w:rPr>
              <w:t>Capacity-building of cooperation partners for beneficiary identification, verification, and distribution          </w:t>
            </w:r>
          </w:p>
          <w:p w14:paraId="783F214A" w14:textId="77777777" w:rsidR="007D234C" w:rsidRPr="007B0511" w:rsidRDefault="007D234C" w:rsidP="009B3816">
            <w:pPr>
              <w:pStyle w:val="xmsonormal"/>
              <w:numPr>
                <w:ilvl w:val="0"/>
                <w:numId w:val="36"/>
              </w:numPr>
              <w:rPr>
                <w:rFonts w:ascii="Lato" w:eastAsia="Times New Roman" w:hAnsi="Lato"/>
              </w:rPr>
            </w:pPr>
            <w:r w:rsidRPr="007B0511">
              <w:rPr>
                <w:rFonts w:ascii="Lato" w:eastAsia="Times New Roman" w:hAnsi="Lato"/>
              </w:rPr>
              <w:t>Strengthen Community Engagement Mechanism (CEM) system for effective communication.           </w:t>
            </w:r>
          </w:p>
          <w:p w14:paraId="28ED02B4" w14:textId="77777777" w:rsidR="007D234C" w:rsidRPr="007B0511" w:rsidRDefault="007D234C" w:rsidP="009B3816">
            <w:pPr>
              <w:pStyle w:val="xmsonormal"/>
              <w:numPr>
                <w:ilvl w:val="0"/>
                <w:numId w:val="36"/>
              </w:numPr>
              <w:rPr>
                <w:rFonts w:ascii="Lato" w:eastAsia="Times New Roman" w:hAnsi="Lato"/>
              </w:rPr>
            </w:pPr>
            <w:r w:rsidRPr="007B0511">
              <w:rPr>
                <w:rFonts w:ascii="Lato" w:eastAsia="Times New Roman" w:hAnsi="Lato"/>
              </w:rPr>
              <w:t>Beneficiary monitoring to ensure receive entitlement through timely and accurate ration delivery</w:t>
            </w:r>
          </w:p>
        </w:tc>
      </w:tr>
      <w:tr w:rsidR="007D234C" w:rsidRPr="007B0511" w14:paraId="0282CA52" w14:textId="77777777" w:rsidTr="00A6621D">
        <w:trPr>
          <w:trHeight w:val="1166"/>
        </w:trPr>
        <w:tc>
          <w:tcPr>
            <w:tcW w:w="3691" w:type="dxa"/>
            <w:tcBorders>
              <w:top w:val="nil"/>
              <w:left w:val="single" w:sz="8" w:space="0" w:color="0077AF"/>
              <w:bottom w:val="single" w:sz="8" w:space="0" w:color="0077AF"/>
              <w:right w:val="single" w:sz="8" w:space="0" w:color="0077AF"/>
            </w:tcBorders>
            <w:tcMar>
              <w:top w:w="15" w:type="dxa"/>
              <w:left w:w="15" w:type="dxa"/>
              <w:bottom w:w="0" w:type="dxa"/>
              <w:right w:w="15" w:type="dxa"/>
            </w:tcMar>
            <w:vAlign w:val="center"/>
            <w:hideMark/>
          </w:tcPr>
          <w:p w14:paraId="7A6A7961" w14:textId="77777777" w:rsidR="007D234C" w:rsidRPr="007B0511" w:rsidRDefault="007D234C" w:rsidP="009B3816">
            <w:pPr>
              <w:pStyle w:val="xmsonormal"/>
              <w:numPr>
                <w:ilvl w:val="0"/>
                <w:numId w:val="37"/>
              </w:numPr>
              <w:rPr>
                <w:rFonts w:ascii="Lato" w:eastAsia="Times New Roman" w:hAnsi="Lato"/>
              </w:rPr>
            </w:pPr>
            <w:r w:rsidRPr="007B0511">
              <w:rPr>
                <w:rFonts w:ascii="Lato" w:eastAsia="Times New Roman" w:hAnsi="Lato"/>
              </w:rPr>
              <w:t>Political instability</w:t>
            </w:r>
          </w:p>
        </w:tc>
        <w:tc>
          <w:tcPr>
            <w:tcW w:w="6199" w:type="dxa"/>
            <w:tcBorders>
              <w:top w:val="nil"/>
              <w:left w:val="nil"/>
              <w:bottom w:val="single" w:sz="8" w:space="0" w:color="0077AF"/>
              <w:right w:val="single" w:sz="8" w:space="0" w:color="0077AF"/>
            </w:tcBorders>
            <w:tcMar>
              <w:top w:w="15" w:type="dxa"/>
              <w:left w:w="15" w:type="dxa"/>
              <w:bottom w:w="0" w:type="dxa"/>
              <w:right w:w="15" w:type="dxa"/>
            </w:tcMar>
            <w:vAlign w:val="center"/>
            <w:hideMark/>
          </w:tcPr>
          <w:p w14:paraId="61BF8AE1" w14:textId="77777777" w:rsidR="007D234C" w:rsidRPr="007B0511" w:rsidRDefault="007D234C" w:rsidP="009B3816">
            <w:pPr>
              <w:pStyle w:val="xmsonormal"/>
              <w:numPr>
                <w:ilvl w:val="0"/>
                <w:numId w:val="38"/>
              </w:numPr>
              <w:rPr>
                <w:rFonts w:ascii="Lato" w:eastAsia="Times New Roman" w:hAnsi="Lato"/>
              </w:rPr>
            </w:pPr>
            <w:r w:rsidRPr="007B0511">
              <w:rPr>
                <w:rFonts w:ascii="Lato" w:eastAsia="Times New Roman" w:hAnsi="Lato"/>
              </w:rPr>
              <w:t>Coordination with various sectors to provide nutrition assistance  to vulnerable individual                                                  </w:t>
            </w:r>
          </w:p>
          <w:p w14:paraId="0C3FB155" w14:textId="77777777" w:rsidR="007D234C" w:rsidRPr="007B0511" w:rsidRDefault="007D234C" w:rsidP="009B3816">
            <w:pPr>
              <w:pStyle w:val="xmsonormal"/>
              <w:numPr>
                <w:ilvl w:val="0"/>
                <w:numId w:val="38"/>
              </w:numPr>
              <w:rPr>
                <w:rFonts w:ascii="Lato" w:eastAsia="Times New Roman" w:hAnsi="Lato"/>
              </w:rPr>
            </w:pPr>
            <w:r w:rsidRPr="007B0511">
              <w:rPr>
                <w:rFonts w:ascii="Lato" w:eastAsia="Times New Roman" w:hAnsi="Lato"/>
              </w:rPr>
              <w:t>Maintaining the constant communication with local partners (CBOs/ CSOs) should be performed to adapt to changes and ensure continuity. </w:t>
            </w:r>
          </w:p>
        </w:tc>
      </w:tr>
      <w:tr w:rsidR="007D234C" w:rsidRPr="007B0511" w14:paraId="173D5089" w14:textId="77777777" w:rsidTr="00A6621D">
        <w:trPr>
          <w:trHeight w:val="505"/>
        </w:trPr>
        <w:tc>
          <w:tcPr>
            <w:tcW w:w="3691" w:type="dxa"/>
            <w:tcBorders>
              <w:top w:val="nil"/>
              <w:left w:val="single" w:sz="8" w:space="0" w:color="0077AF"/>
              <w:bottom w:val="single" w:sz="8" w:space="0" w:color="0077AF"/>
              <w:right w:val="single" w:sz="8" w:space="0" w:color="0077AF"/>
            </w:tcBorders>
            <w:tcMar>
              <w:top w:w="15" w:type="dxa"/>
              <w:left w:w="15" w:type="dxa"/>
              <w:bottom w:w="0" w:type="dxa"/>
              <w:right w:w="15" w:type="dxa"/>
            </w:tcMar>
            <w:vAlign w:val="center"/>
            <w:hideMark/>
          </w:tcPr>
          <w:p w14:paraId="6E98675B" w14:textId="77777777" w:rsidR="007D234C" w:rsidRPr="007B0511" w:rsidRDefault="007D234C" w:rsidP="009B3816">
            <w:pPr>
              <w:pStyle w:val="xmsonormal"/>
              <w:numPr>
                <w:ilvl w:val="0"/>
                <w:numId w:val="39"/>
              </w:numPr>
              <w:rPr>
                <w:rFonts w:ascii="Lato" w:eastAsia="Times New Roman" w:hAnsi="Lato"/>
              </w:rPr>
            </w:pPr>
            <w:r w:rsidRPr="007B0511">
              <w:rPr>
                <w:rFonts w:ascii="Lato" w:eastAsia="Times New Roman" w:hAnsi="Lato"/>
              </w:rPr>
              <w:t>Internet connection problem affecting online payment or wave money for cash support</w:t>
            </w:r>
          </w:p>
        </w:tc>
        <w:tc>
          <w:tcPr>
            <w:tcW w:w="6199" w:type="dxa"/>
            <w:tcBorders>
              <w:top w:val="nil"/>
              <w:left w:val="nil"/>
              <w:bottom w:val="single" w:sz="8" w:space="0" w:color="0077AF"/>
              <w:right w:val="single" w:sz="8" w:space="0" w:color="0077AF"/>
            </w:tcBorders>
            <w:tcMar>
              <w:top w:w="15" w:type="dxa"/>
              <w:left w:w="15" w:type="dxa"/>
              <w:bottom w:w="0" w:type="dxa"/>
              <w:right w:w="15" w:type="dxa"/>
            </w:tcMar>
            <w:vAlign w:val="center"/>
            <w:hideMark/>
          </w:tcPr>
          <w:p w14:paraId="67C1F768" w14:textId="77777777" w:rsidR="007D234C" w:rsidRPr="007B0511" w:rsidRDefault="007D234C" w:rsidP="009B3816">
            <w:pPr>
              <w:pStyle w:val="xmsonormal"/>
              <w:numPr>
                <w:ilvl w:val="0"/>
                <w:numId w:val="40"/>
              </w:numPr>
              <w:rPr>
                <w:rFonts w:ascii="Lato" w:eastAsia="Times New Roman" w:hAnsi="Lato"/>
              </w:rPr>
            </w:pPr>
            <w:r w:rsidRPr="007B0511">
              <w:rPr>
                <w:rFonts w:ascii="Lato" w:eastAsia="Times New Roman" w:hAnsi="Lato"/>
              </w:rPr>
              <w:t>Develop Business Continuity Plan (BCP) for the project as needed.   </w:t>
            </w:r>
          </w:p>
        </w:tc>
      </w:tr>
      <w:tr w:rsidR="007D234C" w:rsidRPr="007B0511" w14:paraId="2D8ECF4F" w14:textId="77777777" w:rsidTr="00A6621D">
        <w:trPr>
          <w:trHeight w:val="557"/>
        </w:trPr>
        <w:tc>
          <w:tcPr>
            <w:tcW w:w="3691" w:type="dxa"/>
            <w:tcBorders>
              <w:top w:val="nil"/>
              <w:left w:val="single" w:sz="8" w:space="0" w:color="0077AF"/>
              <w:bottom w:val="single" w:sz="8" w:space="0" w:color="0077AF"/>
              <w:right w:val="single" w:sz="8" w:space="0" w:color="0077AF"/>
            </w:tcBorders>
            <w:tcMar>
              <w:top w:w="15" w:type="dxa"/>
              <w:left w:w="15" w:type="dxa"/>
              <w:bottom w:w="0" w:type="dxa"/>
              <w:right w:w="15" w:type="dxa"/>
            </w:tcMar>
            <w:vAlign w:val="center"/>
            <w:hideMark/>
          </w:tcPr>
          <w:p w14:paraId="264765FF" w14:textId="77777777" w:rsidR="007D234C" w:rsidRPr="007B0511" w:rsidRDefault="007D234C" w:rsidP="009B3816">
            <w:pPr>
              <w:pStyle w:val="xmsonormal"/>
              <w:numPr>
                <w:ilvl w:val="0"/>
                <w:numId w:val="41"/>
              </w:numPr>
              <w:rPr>
                <w:rFonts w:ascii="Lato" w:eastAsia="Times New Roman" w:hAnsi="Lato"/>
              </w:rPr>
            </w:pPr>
            <w:r w:rsidRPr="007B0511">
              <w:rPr>
                <w:rFonts w:ascii="Lato" w:eastAsia="Times New Roman" w:hAnsi="Lato"/>
              </w:rPr>
              <w:t>Some missing appointments and loss to follow up during crisis situation</w:t>
            </w:r>
          </w:p>
        </w:tc>
        <w:tc>
          <w:tcPr>
            <w:tcW w:w="6199" w:type="dxa"/>
            <w:tcBorders>
              <w:top w:val="nil"/>
              <w:left w:val="nil"/>
              <w:bottom w:val="single" w:sz="8" w:space="0" w:color="0077AF"/>
              <w:right w:val="single" w:sz="8" w:space="0" w:color="0077AF"/>
            </w:tcBorders>
            <w:tcMar>
              <w:top w:w="15" w:type="dxa"/>
              <w:left w:w="15" w:type="dxa"/>
              <w:bottom w:w="0" w:type="dxa"/>
              <w:right w:w="15" w:type="dxa"/>
            </w:tcMar>
            <w:vAlign w:val="center"/>
            <w:hideMark/>
          </w:tcPr>
          <w:p w14:paraId="1C20B364" w14:textId="77777777" w:rsidR="007D234C" w:rsidRPr="007B0511" w:rsidRDefault="007D234C" w:rsidP="009B3816">
            <w:pPr>
              <w:pStyle w:val="xmsonormal"/>
              <w:numPr>
                <w:ilvl w:val="0"/>
                <w:numId w:val="42"/>
              </w:numPr>
              <w:rPr>
                <w:rFonts w:ascii="Lato" w:eastAsia="Times New Roman" w:hAnsi="Lato"/>
              </w:rPr>
            </w:pPr>
            <w:r w:rsidRPr="007B0511">
              <w:rPr>
                <w:rFonts w:ascii="Lato" w:eastAsia="Times New Roman" w:hAnsi="Lato"/>
              </w:rPr>
              <w:t>Strengthen Community Engagement Mechanism (CEM) system for effective communication </w:t>
            </w:r>
          </w:p>
        </w:tc>
      </w:tr>
      <w:tr w:rsidR="007D234C" w:rsidRPr="007B0511" w14:paraId="430C2FEE" w14:textId="77777777" w:rsidTr="00A6621D">
        <w:trPr>
          <w:trHeight w:val="557"/>
        </w:trPr>
        <w:tc>
          <w:tcPr>
            <w:tcW w:w="3691" w:type="dxa"/>
            <w:tcBorders>
              <w:top w:val="nil"/>
              <w:left w:val="single" w:sz="8" w:space="0" w:color="0077AF"/>
              <w:bottom w:val="single" w:sz="8" w:space="0" w:color="0077AF"/>
              <w:right w:val="single" w:sz="8" w:space="0" w:color="0077AF"/>
            </w:tcBorders>
            <w:tcMar>
              <w:top w:w="15" w:type="dxa"/>
              <w:left w:w="15" w:type="dxa"/>
              <w:bottom w:w="0" w:type="dxa"/>
              <w:right w:w="15" w:type="dxa"/>
            </w:tcMar>
            <w:vAlign w:val="center"/>
            <w:hideMark/>
          </w:tcPr>
          <w:p w14:paraId="5AB3C438" w14:textId="77777777" w:rsidR="007D234C" w:rsidRPr="007B0511" w:rsidRDefault="007D234C" w:rsidP="009B3816">
            <w:pPr>
              <w:pStyle w:val="xmsolistparagraph"/>
              <w:numPr>
                <w:ilvl w:val="0"/>
                <w:numId w:val="43"/>
              </w:numPr>
              <w:rPr>
                <w:rFonts w:ascii="Lato" w:eastAsia="Times New Roman" w:hAnsi="Lato"/>
              </w:rPr>
            </w:pPr>
            <w:r w:rsidRPr="007B0511">
              <w:rPr>
                <w:rFonts w:ascii="Lato" w:eastAsia="Times New Roman" w:hAnsi="Lato"/>
              </w:rPr>
              <w:t>Carrying physical cash (No significant issues, but distribution points are a security risk)</w:t>
            </w:r>
          </w:p>
        </w:tc>
        <w:tc>
          <w:tcPr>
            <w:tcW w:w="6199" w:type="dxa"/>
            <w:tcBorders>
              <w:top w:val="nil"/>
              <w:left w:val="nil"/>
              <w:bottom w:val="single" w:sz="8" w:space="0" w:color="0077AF"/>
              <w:right w:val="single" w:sz="8" w:space="0" w:color="0077AF"/>
            </w:tcBorders>
            <w:tcMar>
              <w:top w:w="15" w:type="dxa"/>
              <w:left w:w="15" w:type="dxa"/>
              <w:bottom w:w="0" w:type="dxa"/>
              <w:right w:w="15" w:type="dxa"/>
            </w:tcMar>
            <w:vAlign w:val="center"/>
            <w:hideMark/>
          </w:tcPr>
          <w:p w14:paraId="3D7B6CDD" w14:textId="77777777" w:rsidR="007D234C" w:rsidRPr="007B0511" w:rsidRDefault="007D234C" w:rsidP="009B3816">
            <w:pPr>
              <w:pStyle w:val="xmsolistparagraph"/>
              <w:numPr>
                <w:ilvl w:val="0"/>
                <w:numId w:val="44"/>
              </w:numPr>
              <w:rPr>
                <w:rFonts w:ascii="Lato" w:eastAsia="Times New Roman" w:hAnsi="Lato"/>
              </w:rPr>
            </w:pPr>
            <w:r w:rsidRPr="007B0511">
              <w:rPr>
                <w:rFonts w:ascii="Lato" w:eastAsia="Times New Roman" w:hAnsi="Lato"/>
              </w:rPr>
              <w:t>moving to digital cash, including over the counter</w:t>
            </w:r>
          </w:p>
        </w:tc>
      </w:tr>
    </w:tbl>
    <w:p w14:paraId="615DF01F" w14:textId="074B324D" w:rsidR="007D234C" w:rsidRPr="007B0511" w:rsidRDefault="007D234C" w:rsidP="007D234C">
      <w:pPr>
        <w:rPr>
          <w:rFonts w:cstheme="minorHAnsi"/>
          <w:b/>
          <w:bCs/>
        </w:rPr>
      </w:pPr>
    </w:p>
    <w:p w14:paraId="6BD1B4DE" w14:textId="63D3D4B2" w:rsidR="007D234C" w:rsidRPr="007B0511" w:rsidRDefault="007D234C" w:rsidP="009B3816">
      <w:pPr>
        <w:pStyle w:val="ListParagraph"/>
        <w:keepNext w:val="0"/>
        <w:keepLines w:val="0"/>
        <w:numPr>
          <w:ilvl w:val="0"/>
          <w:numId w:val="30"/>
        </w:numPr>
        <w:snapToGrid/>
        <w:spacing w:line="276" w:lineRule="auto"/>
        <w:outlineLvl w:val="9"/>
        <w:rPr>
          <w:rFonts w:ascii="Lato" w:hAnsi="Lato" w:cstheme="minorHAnsi"/>
          <w:b/>
          <w:bCs/>
          <w:i/>
          <w:iCs/>
          <w:sz w:val="22"/>
          <w:szCs w:val="22"/>
          <w:lang w:val="en-US"/>
        </w:rPr>
      </w:pPr>
      <w:r w:rsidRPr="007B0511">
        <w:rPr>
          <w:rFonts w:ascii="Lato" w:hAnsi="Lato" w:cstheme="minorHAnsi"/>
          <w:b/>
          <w:bCs/>
          <w:i/>
          <w:iCs/>
          <w:sz w:val="22"/>
          <w:szCs w:val="22"/>
          <w:lang w:val="en-US"/>
        </w:rPr>
        <w:t>Cash Readiness and Appropriateness</w:t>
      </w:r>
    </w:p>
    <w:p w14:paraId="6714A028" w14:textId="34C84792" w:rsidR="007D234C" w:rsidRPr="007B0511" w:rsidRDefault="00A6621D" w:rsidP="00C048DB">
      <w:pPr>
        <w:jc w:val="center"/>
        <w:rPr>
          <w:rFonts w:cstheme="minorHAnsi"/>
          <w:b/>
          <w:bCs/>
        </w:rPr>
      </w:pPr>
      <w:r w:rsidRPr="007B0511">
        <w:rPr>
          <w:b/>
          <w:bCs/>
          <w:noProof/>
        </w:rPr>
        <w:drawing>
          <wp:anchor distT="0" distB="0" distL="114300" distR="114300" simplePos="0" relativeHeight="251805696" behindDoc="0" locked="0" layoutInCell="1" allowOverlap="1" wp14:anchorId="26B43BC7" wp14:editId="58639A14">
            <wp:simplePos x="0" y="0"/>
            <wp:positionH relativeFrom="margin">
              <wp:posOffset>601842</wp:posOffset>
            </wp:positionH>
            <wp:positionV relativeFrom="page">
              <wp:posOffset>5746722</wp:posOffset>
            </wp:positionV>
            <wp:extent cx="5480972" cy="3469311"/>
            <wp:effectExtent l="0" t="0" r="5715" b="0"/>
            <wp:wrapNone/>
            <wp:docPr id="1534599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80972" cy="34693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5113F2" w14:textId="1B1FFA0B" w:rsidR="007D234C" w:rsidRPr="007B0511" w:rsidRDefault="007D234C" w:rsidP="007D234C">
      <w:pPr>
        <w:rPr>
          <w:rFonts w:cstheme="minorHAnsi"/>
          <w:b/>
          <w:bCs/>
        </w:rPr>
      </w:pPr>
    </w:p>
    <w:p w14:paraId="0B4271FB" w14:textId="792260B2" w:rsidR="007D234C" w:rsidRPr="007B0511" w:rsidRDefault="007D234C" w:rsidP="007D234C"/>
    <w:p w14:paraId="3F195084" w14:textId="77777777" w:rsidR="005A1D90" w:rsidRPr="007B0511" w:rsidRDefault="005A1D90" w:rsidP="00B933A1">
      <w:pPr>
        <w:pStyle w:val="Heading3"/>
        <w:rPr>
          <w:rStyle w:val="A1"/>
          <w:rFonts w:ascii="Lato" w:hAnsi="Lato"/>
          <w:b/>
          <w:bCs/>
          <w:color w:val="ED7D31" w:themeColor="accent2"/>
          <w:sz w:val="28"/>
          <w:szCs w:val="28"/>
        </w:rPr>
        <w:sectPr w:rsidR="005A1D90" w:rsidRPr="007B0511" w:rsidSect="003C2176">
          <w:headerReference w:type="default" r:id="rId13"/>
          <w:pgSz w:w="11906" w:h="16838" w:code="9"/>
          <w:pgMar w:top="1440" w:right="1080" w:bottom="1440" w:left="1080" w:header="720" w:footer="720" w:gutter="0"/>
          <w:cols w:space="720"/>
          <w:docGrid w:linePitch="360"/>
        </w:sectPr>
      </w:pPr>
    </w:p>
    <w:p w14:paraId="49C29506" w14:textId="70B69AA3" w:rsidR="00274630" w:rsidRPr="007B0511" w:rsidRDefault="00703724" w:rsidP="00274630">
      <w:pPr>
        <w:jc w:val="center"/>
        <w:rPr>
          <w:rFonts w:eastAsia="Open Sans" w:cs="Open Sans"/>
          <w:b/>
          <w:sz w:val="28"/>
          <w:szCs w:val="28"/>
        </w:rPr>
      </w:pPr>
      <w:r w:rsidRPr="007B0511">
        <w:rPr>
          <w:rFonts w:eastAsia="Open Sans" w:cs="Open Sans"/>
          <w:b/>
          <w:sz w:val="28"/>
          <w:szCs w:val="28"/>
        </w:rPr>
        <w:lastRenderedPageBreak/>
        <w:t xml:space="preserve">Workshop </w:t>
      </w:r>
      <w:r w:rsidR="00F932E1" w:rsidRPr="007B0511">
        <w:rPr>
          <w:rFonts w:eastAsia="Open Sans" w:cs="Open Sans"/>
          <w:b/>
          <w:sz w:val="28"/>
          <w:szCs w:val="28"/>
        </w:rPr>
        <w:t xml:space="preserve">Annex 1. </w:t>
      </w:r>
      <w:r w:rsidR="00274630" w:rsidRPr="007B0511">
        <w:rPr>
          <w:rFonts w:eastAsia="Open Sans" w:cs="Open Sans"/>
          <w:b/>
          <w:sz w:val="28"/>
          <w:szCs w:val="28"/>
        </w:rPr>
        <w:t>MYANMAR INCEPTION WORKSHOP FOR OPERATIONAL GUIDANCE</w:t>
      </w:r>
    </w:p>
    <w:p w14:paraId="48DBDB2D" w14:textId="77777777" w:rsidR="00274630" w:rsidRPr="007B0511" w:rsidRDefault="00274630" w:rsidP="00274630">
      <w:pPr>
        <w:jc w:val="center"/>
        <w:rPr>
          <w:rFonts w:eastAsia="Open Sans" w:cs="Open Sans"/>
          <w:i/>
          <w:color w:val="000000"/>
          <w:highlight w:val="white"/>
        </w:rPr>
      </w:pPr>
      <w:r w:rsidRPr="007B0511">
        <w:rPr>
          <w:rFonts w:eastAsia="Open Sans" w:cs="Open Sans"/>
          <w:i/>
          <w:color w:val="000000"/>
          <w:highlight w:val="white"/>
        </w:rPr>
        <w:t xml:space="preserve">Date: 23rd – 25th August 2023 </w:t>
      </w:r>
    </w:p>
    <w:p w14:paraId="35741894" w14:textId="34D75DD2" w:rsidR="00274630" w:rsidRPr="007B0511" w:rsidRDefault="00274630" w:rsidP="00274630">
      <w:pPr>
        <w:jc w:val="center"/>
        <w:rPr>
          <w:rFonts w:eastAsia="Open Sans" w:cs="Open Sans"/>
          <w:i/>
        </w:rPr>
      </w:pPr>
      <w:r w:rsidRPr="007B0511">
        <w:rPr>
          <w:rFonts w:eastAsia="Open Sans" w:cs="Open Sans"/>
          <w:i/>
          <w:color w:val="000000"/>
          <w:highlight w:val="white"/>
        </w:rPr>
        <w:t xml:space="preserve">Venue: </w:t>
      </w:r>
      <w:r w:rsidRPr="007B0511">
        <w:rPr>
          <w:rFonts w:eastAsia="Open Sans" w:cs="Open Sans"/>
          <w:i/>
          <w:color w:val="000000"/>
        </w:rPr>
        <w:t>UNICEF Yangon Office</w:t>
      </w:r>
      <w:r w:rsidR="00703724" w:rsidRPr="007B0511">
        <w:rPr>
          <w:rFonts w:eastAsia="Open Sans" w:cs="Open Sans"/>
          <w:i/>
          <w:color w:val="000000"/>
        </w:rPr>
        <w:t xml:space="preserve"> (and Zoom)</w:t>
      </w:r>
    </w:p>
    <w:p w14:paraId="41DFA754" w14:textId="77777777" w:rsidR="00274630" w:rsidRPr="007B0511" w:rsidRDefault="00274630" w:rsidP="00274630">
      <w:pPr>
        <w:rPr>
          <w:rFonts w:eastAsia="Open Sans" w:cs="Open Sans"/>
          <w:b/>
        </w:rPr>
      </w:pPr>
    </w:p>
    <w:p w14:paraId="3C2318E2" w14:textId="77777777" w:rsidR="00274630" w:rsidRPr="007B0511" w:rsidRDefault="00274630" w:rsidP="00274630">
      <w:pPr>
        <w:rPr>
          <w:rFonts w:eastAsia="Open Sans" w:cs="Open Sans"/>
          <w:b/>
        </w:rPr>
      </w:pPr>
      <w:r w:rsidRPr="007B0511">
        <w:rPr>
          <w:rFonts w:eastAsia="Open Sans" w:cs="Open Sans"/>
          <w:b/>
        </w:rPr>
        <w:t>AGENDA</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5108"/>
        <w:gridCol w:w="2267"/>
      </w:tblGrid>
      <w:tr w:rsidR="00CA174F" w:rsidRPr="007B0511" w14:paraId="536685AF" w14:textId="77777777" w:rsidTr="00CA174F">
        <w:tc>
          <w:tcPr>
            <w:tcW w:w="9350" w:type="dxa"/>
            <w:gridSpan w:val="3"/>
            <w:shd w:val="clear" w:color="auto" w:fill="92D050"/>
          </w:tcPr>
          <w:p w14:paraId="297E6800" w14:textId="77777777" w:rsidR="00CA174F" w:rsidRPr="007B0511" w:rsidRDefault="00CA174F">
            <w:pPr>
              <w:jc w:val="center"/>
              <w:rPr>
                <w:rFonts w:eastAsia="Open Sans" w:cs="Open Sans"/>
                <w:b/>
                <w:sz w:val="20"/>
                <w:szCs w:val="20"/>
              </w:rPr>
            </w:pPr>
            <w:r w:rsidRPr="007B0511">
              <w:rPr>
                <w:rFonts w:eastAsia="Open Sans" w:cs="Open Sans"/>
                <w:b/>
                <w:sz w:val="20"/>
                <w:szCs w:val="20"/>
              </w:rPr>
              <w:t>Day 1</w:t>
            </w:r>
          </w:p>
        </w:tc>
      </w:tr>
      <w:tr w:rsidR="00CA174F" w:rsidRPr="007B0511" w14:paraId="497DF8B2" w14:textId="77777777" w:rsidTr="00CA174F">
        <w:tc>
          <w:tcPr>
            <w:tcW w:w="1975" w:type="dxa"/>
          </w:tcPr>
          <w:p w14:paraId="1F237DE4" w14:textId="77777777" w:rsidR="00CA174F" w:rsidRPr="007B0511" w:rsidRDefault="00CA174F">
            <w:pPr>
              <w:rPr>
                <w:rFonts w:eastAsia="Open Sans" w:cs="Open Sans"/>
                <w:b/>
                <w:sz w:val="20"/>
                <w:szCs w:val="20"/>
              </w:rPr>
            </w:pPr>
            <w:r w:rsidRPr="007B0511">
              <w:rPr>
                <w:rFonts w:eastAsia="Open Sans" w:cs="Open Sans"/>
                <w:b/>
                <w:sz w:val="20"/>
                <w:szCs w:val="20"/>
              </w:rPr>
              <w:t xml:space="preserve">Time </w:t>
            </w:r>
          </w:p>
        </w:tc>
        <w:tc>
          <w:tcPr>
            <w:tcW w:w="5108" w:type="dxa"/>
          </w:tcPr>
          <w:p w14:paraId="2FA15C36" w14:textId="77777777" w:rsidR="00CA174F" w:rsidRPr="007B0511" w:rsidRDefault="00CA174F">
            <w:pPr>
              <w:rPr>
                <w:rFonts w:eastAsia="Open Sans" w:cs="Open Sans"/>
                <w:b/>
                <w:sz w:val="20"/>
                <w:szCs w:val="20"/>
              </w:rPr>
            </w:pPr>
            <w:r w:rsidRPr="007B0511">
              <w:rPr>
                <w:rFonts w:eastAsia="Open Sans" w:cs="Open Sans"/>
                <w:b/>
                <w:sz w:val="20"/>
                <w:szCs w:val="20"/>
              </w:rPr>
              <w:t>Topic</w:t>
            </w:r>
          </w:p>
        </w:tc>
        <w:tc>
          <w:tcPr>
            <w:tcW w:w="2267" w:type="dxa"/>
          </w:tcPr>
          <w:p w14:paraId="5C5B48ED" w14:textId="77777777" w:rsidR="00CA174F" w:rsidRPr="007B0511" w:rsidRDefault="00CA174F">
            <w:pPr>
              <w:rPr>
                <w:rFonts w:eastAsia="Open Sans" w:cs="Open Sans"/>
                <w:b/>
                <w:sz w:val="20"/>
                <w:szCs w:val="20"/>
              </w:rPr>
            </w:pPr>
            <w:r w:rsidRPr="007B0511">
              <w:rPr>
                <w:rFonts w:eastAsia="Open Sans" w:cs="Open Sans"/>
                <w:b/>
                <w:sz w:val="20"/>
                <w:szCs w:val="20"/>
              </w:rPr>
              <w:t>Facilitator</w:t>
            </w:r>
          </w:p>
        </w:tc>
      </w:tr>
      <w:tr w:rsidR="00CA174F" w:rsidRPr="007B0511" w14:paraId="41B81A39" w14:textId="77777777" w:rsidTr="00CA174F">
        <w:trPr>
          <w:trHeight w:val="257"/>
        </w:trPr>
        <w:tc>
          <w:tcPr>
            <w:tcW w:w="1975" w:type="dxa"/>
          </w:tcPr>
          <w:p w14:paraId="00BA9F55" w14:textId="77777777" w:rsidR="00CA174F" w:rsidRPr="007B0511" w:rsidRDefault="00CA174F">
            <w:pPr>
              <w:rPr>
                <w:rFonts w:eastAsia="Open Sans" w:cs="Open Sans"/>
                <w:sz w:val="20"/>
                <w:szCs w:val="20"/>
              </w:rPr>
            </w:pPr>
            <w:r w:rsidRPr="007B0511">
              <w:rPr>
                <w:rFonts w:eastAsia="Open Sans" w:cs="Open Sans"/>
                <w:sz w:val="20"/>
                <w:szCs w:val="20"/>
              </w:rPr>
              <w:t>09:00 – 09:15</w:t>
            </w:r>
          </w:p>
        </w:tc>
        <w:tc>
          <w:tcPr>
            <w:tcW w:w="5108" w:type="dxa"/>
          </w:tcPr>
          <w:p w14:paraId="127F2B1E" w14:textId="77777777" w:rsidR="00CA174F" w:rsidRPr="007B0511" w:rsidRDefault="00CA174F">
            <w:pPr>
              <w:rPr>
                <w:rFonts w:eastAsia="Open Sans" w:cs="Open Sans"/>
                <w:sz w:val="20"/>
                <w:szCs w:val="20"/>
              </w:rPr>
            </w:pPr>
            <w:r w:rsidRPr="007B0511">
              <w:rPr>
                <w:rFonts w:eastAsia="Open Sans" w:cs="Open Sans"/>
                <w:sz w:val="20"/>
                <w:szCs w:val="20"/>
              </w:rPr>
              <w:t>Self Introductions</w:t>
            </w:r>
          </w:p>
        </w:tc>
        <w:tc>
          <w:tcPr>
            <w:tcW w:w="2267" w:type="dxa"/>
          </w:tcPr>
          <w:p w14:paraId="33A5C9F5" w14:textId="77777777" w:rsidR="00CA174F" w:rsidRPr="007B0511" w:rsidRDefault="00CA174F">
            <w:pPr>
              <w:rPr>
                <w:rFonts w:eastAsia="Open Sans" w:cs="Open Sans"/>
                <w:sz w:val="20"/>
                <w:szCs w:val="20"/>
              </w:rPr>
            </w:pPr>
            <w:r w:rsidRPr="007B0511">
              <w:rPr>
                <w:rFonts w:eastAsia="Open Sans" w:cs="Open Sans"/>
                <w:sz w:val="20"/>
                <w:szCs w:val="20"/>
              </w:rPr>
              <w:t>All</w:t>
            </w:r>
          </w:p>
        </w:tc>
      </w:tr>
      <w:tr w:rsidR="00CA174F" w:rsidRPr="007B0511" w14:paraId="1B58BE4A" w14:textId="77777777" w:rsidTr="00CA174F">
        <w:trPr>
          <w:trHeight w:val="257"/>
        </w:trPr>
        <w:tc>
          <w:tcPr>
            <w:tcW w:w="1975" w:type="dxa"/>
          </w:tcPr>
          <w:p w14:paraId="4ED2CCA8" w14:textId="77777777" w:rsidR="00CA174F" w:rsidRPr="007B0511" w:rsidRDefault="00CA174F">
            <w:pPr>
              <w:rPr>
                <w:rFonts w:eastAsia="Open Sans" w:cs="Open Sans"/>
                <w:sz w:val="20"/>
                <w:szCs w:val="20"/>
              </w:rPr>
            </w:pPr>
            <w:r w:rsidRPr="007B0511">
              <w:rPr>
                <w:rFonts w:eastAsia="Open Sans" w:cs="Open Sans"/>
                <w:sz w:val="20"/>
                <w:szCs w:val="20"/>
              </w:rPr>
              <w:t>09:15 - 09:30</w:t>
            </w:r>
          </w:p>
        </w:tc>
        <w:tc>
          <w:tcPr>
            <w:tcW w:w="5108" w:type="dxa"/>
          </w:tcPr>
          <w:p w14:paraId="08021B9B" w14:textId="77777777" w:rsidR="00CA174F" w:rsidRPr="007B0511" w:rsidRDefault="00CA174F">
            <w:pPr>
              <w:rPr>
                <w:rFonts w:eastAsia="Open Sans" w:cs="Open Sans"/>
                <w:sz w:val="20"/>
                <w:szCs w:val="20"/>
              </w:rPr>
            </w:pPr>
            <w:r w:rsidRPr="007B0511">
              <w:rPr>
                <w:rFonts w:eastAsia="Open Sans" w:cs="Open Sans"/>
                <w:sz w:val="20"/>
                <w:szCs w:val="20"/>
              </w:rPr>
              <w:t xml:space="preserve">Agenda, </w:t>
            </w:r>
            <w:r w:rsidRPr="007B0511">
              <w:rPr>
                <w:rFonts w:eastAsia="Calibri" w:cs="Calibri"/>
              </w:rPr>
              <w:t>Objectives &amp; Expected Outcomes of the Workshop</w:t>
            </w:r>
          </w:p>
        </w:tc>
        <w:tc>
          <w:tcPr>
            <w:tcW w:w="2267" w:type="dxa"/>
          </w:tcPr>
          <w:p w14:paraId="53E9C33A" w14:textId="77777777" w:rsidR="00CA174F" w:rsidRPr="007B0511" w:rsidRDefault="00CA174F">
            <w:pPr>
              <w:rPr>
                <w:rFonts w:eastAsia="Open Sans" w:cs="Open Sans"/>
                <w:sz w:val="20"/>
                <w:szCs w:val="20"/>
              </w:rPr>
            </w:pPr>
            <w:r w:rsidRPr="007B0511">
              <w:rPr>
                <w:rFonts w:eastAsia="Open Sans" w:cs="Open Sans"/>
                <w:sz w:val="20"/>
                <w:szCs w:val="20"/>
              </w:rPr>
              <w:t>Kom and SLM</w:t>
            </w:r>
          </w:p>
        </w:tc>
      </w:tr>
      <w:tr w:rsidR="00CA174F" w:rsidRPr="007B0511" w14:paraId="6F908BB4" w14:textId="77777777" w:rsidTr="00CA174F">
        <w:tc>
          <w:tcPr>
            <w:tcW w:w="1975" w:type="dxa"/>
            <w:tcBorders>
              <w:top w:val="single" w:sz="4" w:space="0" w:color="000000"/>
              <w:left w:val="single" w:sz="4" w:space="0" w:color="000000"/>
              <w:bottom w:val="nil"/>
              <w:right w:val="single" w:sz="4" w:space="0" w:color="000000"/>
            </w:tcBorders>
          </w:tcPr>
          <w:p w14:paraId="3688E4F7" w14:textId="77777777" w:rsidR="00CA174F" w:rsidRPr="007B0511" w:rsidRDefault="00CA174F">
            <w:pPr>
              <w:rPr>
                <w:rFonts w:eastAsia="Open Sans" w:cs="Open Sans"/>
                <w:bCs/>
                <w:sz w:val="20"/>
                <w:szCs w:val="20"/>
              </w:rPr>
            </w:pPr>
            <w:r w:rsidRPr="007B0511">
              <w:rPr>
                <w:rFonts w:eastAsia="Open Sans" w:cs="Open Sans"/>
                <w:bCs/>
                <w:sz w:val="20"/>
                <w:szCs w:val="20"/>
              </w:rPr>
              <w:t>09:30 – 10:30</w:t>
            </w:r>
          </w:p>
          <w:p w14:paraId="3CC4A788" w14:textId="77777777" w:rsidR="00CA174F" w:rsidRPr="007B0511" w:rsidRDefault="00CA174F">
            <w:pPr>
              <w:rPr>
                <w:rFonts w:eastAsia="Open Sans" w:cs="Open Sans"/>
                <w:sz w:val="20"/>
                <w:szCs w:val="20"/>
              </w:rPr>
            </w:pPr>
          </w:p>
        </w:tc>
        <w:tc>
          <w:tcPr>
            <w:tcW w:w="5108" w:type="dxa"/>
            <w:tcBorders>
              <w:top w:val="single" w:sz="4" w:space="0" w:color="000000"/>
              <w:left w:val="single" w:sz="4" w:space="0" w:color="000000"/>
              <w:bottom w:val="nil"/>
              <w:right w:val="single" w:sz="4" w:space="0" w:color="000000"/>
            </w:tcBorders>
          </w:tcPr>
          <w:p w14:paraId="5F5BD10A" w14:textId="77777777" w:rsidR="00CA174F" w:rsidRPr="007B0511" w:rsidRDefault="00CA174F">
            <w:pPr>
              <w:rPr>
                <w:rFonts w:eastAsia="Open Sans" w:cs="Open Sans"/>
                <w:b/>
                <w:sz w:val="20"/>
                <w:szCs w:val="20"/>
              </w:rPr>
            </w:pPr>
            <w:r w:rsidRPr="007B0511">
              <w:rPr>
                <w:rFonts w:eastAsia="Open Sans" w:cs="Open Sans"/>
                <w:b/>
                <w:sz w:val="20"/>
                <w:szCs w:val="20"/>
              </w:rPr>
              <w:t>Session 1: Myanmar Nutrition Situation Analysis with CVA Lens</w:t>
            </w:r>
          </w:p>
        </w:tc>
        <w:tc>
          <w:tcPr>
            <w:tcW w:w="2267" w:type="dxa"/>
            <w:tcBorders>
              <w:top w:val="single" w:sz="4" w:space="0" w:color="000000"/>
              <w:left w:val="single" w:sz="4" w:space="0" w:color="000000"/>
              <w:bottom w:val="nil"/>
              <w:right w:val="single" w:sz="4" w:space="0" w:color="000000"/>
            </w:tcBorders>
          </w:tcPr>
          <w:p w14:paraId="606F5528" w14:textId="77777777" w:rsidR="00CA174F" w:rsidRPr="007B0511" w:rsidRDefault="00CA174F">
            <w:pPr>
              <w:rPr>
                <w:rFonts w:eastAsia="Open Sans" w:cs="Open Sans"/>
                <w:sz w:val="20"/>
                <w:szCs w:val="20"/>
              </w:rPr>
            </w:pPr>
          </w:p>
          <w:p w14:paraId="2A22C848" w14:textId="77777777" w:rsidR="00CA174F" w:rsidRPr="007B0511" w:rsidRDefault="00CA174F">
            <w:pPr>
              <w:rPr>
                <w:rFonts w:eastAsia="Open Sans" w:cs="Open Sans"/>
                <w:sz w:val="20"/>
                <w:szCs w:val="20"/>
              </w:rPr>
            </w:pPr>
          </w:p>
        </w:tc>
      </w:tr>
      <w:tr w:rsidR="00CA174F" w:rsidRPr="007B0511" w14:paraId="2427FA4F" w14:textId="77777777" w:rsidTr="00CA174F">
        <w:tc>
          <w:tcPr>
            <w:tcW w:w="1975" w:type="dxa"/>
            <w:tcBorders>
              <w:top w:val="nil"/>
              <w:left w:val="single" w:sz="4" w:space="0" w:color="000000"/>
              <w:bottom w:val="nil"/>
              <w:right w:val="single" w:sz="4" w:space="0" w:color="000000"/>
            </w:tcBorders>
          </w:tcPr>
          <w:p w14:paraId="174C6ACF" w14:textId="77777777" w:rsidR="00CA174F" w:rsidRPr="007B0511" w:rsidRDefault="00CA174F">
            <w:pPr>
              <w:rPr>
                <w:rFonts w:eastAsia="Open Sans" w:cs="Open Sans"/>
                <w:sz w:val="20"/>
                <w:szCs w:val="20"/>
              </w:rPr>
            </w:pPr>
          </w:p>
        </w:tc>
        <w:tc>
          <w:tcPr>
            <w:tcW w:w="5108" w:type="dxa"/>
            <w:tcBorders>
              <w:top w:val="nil"/>
              <w:left w:val="single" w:sz="4" w:space="0" w:color="000000"/>
              <w:bottom w:val="nil"/>
              <w:right w:val="single" w:sz="4" w:space="0" w:color="000000"/>
            </w:tcBorders>
          </w:tcPr>
          <w:p w14:paraId="69AA48C2" w14:textId="77777777" w:rsidR="00CA174F" w:rsidRPr="007B0511" w:rsidRDefault="00CA174F">
            <w:pPr>
              <w:rPr>
                <w:rFonts w:eastAsia="Open Sans" w:cs="Open Sans"/>
                <w:sz w:val="20"/>
                <w:szCs w:val="20"/>
              </w:rPr>
            </w:pPr>
            <w:r w:rsidRPr="007B0511">
              <w:rPr>
                <w:rFonts w:eastAsia="Open Sans" w:cs="Open Sans"/>
                <w:sz w:val="20"/>
                <w:szCs w:val="20"/>
              </w:rPr>
              <w:t>a) Snapshot of Nutrition Situation Analysis</w:t>
            </w:r>
          </w:p>
        </w:tc>
        <w:tc>
          <w:tcPr>
            <w:tcW w:w="2267" w:type="dxa"/>
            <w:tcBorders>
              <w:top w:val="nil"/>
              <w:left w:val="single" w:sz="4" w:space="0" w:color="000000"/>
              <w:bottom w:val="nil"/>
              <w:right w:val="single" w:sz="4" w:space="0" w:color="000000"/>
            </w:tcBorders>
          </w:tcPr>
          <w:p w14:paraId="44B63835" w14:textId="77777777" w:rsidR="00CA174F" w:rsidRPr="007B0511" w:rsidRDefault="00CA174F">
            <w:pPr>
              <w:rPr>
                <w:rFonts w:eastAsia="Open Sans" w:cs="Open Sans"/>
                <w:sz w:val="20"/>
                <w:szCs w:val="20"/>
              </w:rPr>
            </w:pPr>
            <w:r w:rsidRPr="007B0511">
              <w:rPr>
                <w:rFonts w:eastAsia="Open Sans" w:cs="Open Sans"/>
                <w:sz w:val="20"/>
                <w:szCs w:val="20"/>
              </w:rPr>
              <w:t xml:space="preserve"> </w:t>
            </w:r>
            <w:r w:rsidRPr="007B0511">
              <w:rPr>
                <w:rFonts w:eastAsia="Calibri" w:cs="Calibri"/>
              </w:rPr>
              <w:t xml:space="preserve">UNICEF </w:t>
            </w:r>
          </w:p>
          <w:p w14:paraId="1D971B27" w14:textId="77777777" w:rsidR="00CA174F" w:rsidRPr="007B0511" w:rsidRDefault="00CA174F">
            <w:pPr>
              <w:rPr>
                <w:rFonts w:eastAsia="Open Sans" w:cs="Open Sans"/>
                <w:sz w:val="20"/>
                <w:szCs w:val="20"/>
              </w:rPr>
            </w:pPr>
          </w:p>
        </w:tc>
      </w:tr>
      <w:tr w:rsidR="00CA174F" w:rsidRPr="007B0511" w14:paraId="36729A25" w14:textId="77777777" w:rsidTr="00CA174F">
        <w:tc>
          <w:tcPr>
            <w:tcW w:w="1975" w:type="dxa"/>
            <w:tcBorders>
              <w:top w:val="nil"/>
              <w:left w:val="single" w:sz="4" w:space="0" w:color="000000"/>
              <w:bottom w:val="single" w:sz="4" w:space="0" w:color="000000"/>
              <w:right w:val="single" w:sz="4" w:space="0" w:color="000000"/>
            </w:tcBorders>
          </w:tcPr>
          <w:p w14:paraId="2CBA7594" w14:textId="77777777" w:rsidR="00CA174F" w:rsidRPr="007B0511" w:rsidRDefault="00CA174F">
            <w:pPr>
              <w:rPr>
                <w:rFonts w:eastAsia="Open Sans" w:cs="Open Sans"/>
                <w:b/>
                <w:sz w:val="20"/>
                <w:szCs w:val="20"/>
              </w:rPr>
            </w:pPr>
          </w:p>
        </w:tc>
        <w:tc>
          <w:tcPr>
            <w:tcW w:w="5108" w:type="dxa"/>
            <w:tcBorders>
              <w:top w:val="nil"/>
              <w:left w:val="single" w:sz="4" w:space="0" w:color="000000"/>
              <w:bottom w:val="single" w:sz="4" w:space="0" w:color="000000"/>
              <w:right w:val="single" w:sz="4" w:space="0" w:color="000000"/>
            </w:tcBorders>
          </w:tcPr>
          <w:p w14:paraId="083D702F" w14:textId="77777777" w:rsidR="00CA174F" w:rsidRPr="007B0511" w:rsidRDefault="00CA174F">
            <w:pPr>
              <w:rPr>
                <w:rFonts w:eastAsia="Open Sans" w:cs="Open Sans"/>
                <w:sz w:val="20"/>
                <w:szCs w:val="20"/>
              </w:rPr>
            </w:pPr>
            <w:r w:rsidRPr="007B0511">
              <w:rPr>
                <w:rFonts w:eastAsia="Open Sans" w:cs="Open Sans"/>
                <w:sz w:val="20"/>
                <w:szCs w:val="20"/>
              </w:rPr>
              <w:t>b) Lessons learnt on CVA modalities, delivery mechanism, associated risks and mitigation measures Cash Working Group (CWG)</w:t>
            </w:r>
          </w:p>
          <w:p w14:paraId="38055E24" w14:textId="77777777" w:rsidR="00CA174F" w:rsidRPr="007B0511" w:rsidRDefault="00CA174F">
            <w:pPr>
              <w:rPr>
                <w:rFonts w:eastAsia="Open Sans" w:cs="Open Sans"/>
                <w:sz w:val="20"/>
                <w:szCs w:val="20"/>
              </w:rPr>
            </w:pPr>
          </w:p>
          <w:p w14:paraId="40F96538" w14:textId="77777777" w:rsidR="00CA174F" w:rsidRPr="007B0511" w:rsidRDefault="00CA174F">
            <w:pPr>
              <w:rPr>
                <w:rFonts w:eastAsia="Open Sans" w:cs="Open Sans"/>
                <w:sz w:val="20"/>
                <w:szCs w:val="20"/>
              </w:rPr>
            </w:pPr>
            <w:r w:rsidRPr="007B0511">
              <w:rPr>
                <w:rFonts w:eastAsia="Open Sans" w:cs="Open Sans"/>
                <w:sz w:val="20"/>
                <w:szCs w:val="20"/>
              </w:rPr>
              <w:t xml:space="preserve">c) Plenary Discussion on the need of Feasibility and Risk Assessment  </w:t>
            </w:r>
          </w:p>
          <w:p w14:paraId="3AACDC87" w14:textId="77777777" w:rsidR="00CA174F" w:rsidRPr="007B0511" w:rsidRDefault="00CA174F">
            <w:pPr>
              <w:rPr>
                <w:rFonts w:eastAsia="Open Sans" w:cs="Open Sans"/>
                <w:sz w:val="20"/>
                <w:szCs w:val="20"/>
              </w:rPr>
            </w:pPr>
          </w:p>
        </w:tc>
        <w:tc>
          <w:tcPr>
            <w:tcW w:w="2267" w:type="dxa"/>
            <w:tcBorders>
              <w:top w:val="nil"/>
              <w:left w:val="single" w:sz="4" w:space="0" w:color="000000"/>
              <w:bottom w:val="single" w:sz="4" w:space="0" w:color="000000"/>
              <w:right w:val="single" w:sz="4" w:space="0" w:color="000000"/>
            </w:tcBorders>
          </w:tcPr>
          <w:p w14:paraId="1494EFF4" w14:textId="77777777" w:rsidR="00CA174F" w:rsidRPr="007B0511" w:rsidRDefault="00CA174F">
            <w:pPr>
              <w:rPr>
                <w:rFonts w:eastAsia="Open Sans" w:cs="Open Sans"/>
                <w:sz w:val="20"/>
                <w:szCs w:val="20"/>
              </w:rPr>
            </w:pPr>
            <w:r w:rsidRPr="007B0511">
              <w:rPr>
                <w:rFonts w:eastAsia="Open Sans" w:cs="Open Sans"/>
                <w:sz w:val="20"/>
                <w:szCs w:val="20"/>
              </w:rPr>
              <w:t xml:space="preserve">CWG </w:t>
            </w:r>
          </w:p>
          <w:p w14:paraId="30C60D01" w14:textId="77777777" w:rsidR="00CA174F" w:rsidRPr="007B0511" w:rsidRDefault="00CA174F">
            <w:pPr>
              <w:rPr>
                <w:rFonts w:eastAsia="Open Sans" w:cs="Open Sans"/>
                <w:sz w:val="20"/>
                <w:szCs w:val="20"/>
              </w:rPr>
            </w:pPr>
          </w:p>
          <w:p w14:paraId="38ED9D08" w14:textId="77777777" w:rsidR="00CA174F" w:rsidRPr="007B0511" w:rsidRDefault="00CA174F">
            <w:pPr>
              <w:rPr>
                <w:rFonts w:eastAsia="Open Sans" w:cs="Open Sans"/>
                <w:sz w:val="20"/>
                <w:szCs w:val="20"/>
              </w:rPr>
            </w:pPr>
          </w:p>
          <w:p w14:paraId="0EAE0231" w14:textId="77777777" w:rsidR="00CA174F" w:rsidRPr="007B0511" w:rsidRDefault="00CA174F">
            <w:pPr>
              <w:rPr>
                <w:rFonts w:eastAsia="Open Sans" w:cs="Open Sans"/>
                <w:sz w:val="20"/>
                <w:szCs w:val="20"/>
              </w:rPr>
            </w:pPr>
          </w:p>
          <w:p w14:paraId="4496D3D0" w14:textId="77777777" w:rsidR="00CA174F" w:rsidRPr="007B0511" w:rsidRDefault="00CA174F">
            <w:pPr>
              <w:rPr>
                <w:rFonts w:eastAsia="Open Sans" w:cs="Open Sans"/>
                <w:sz w:val="20"/>
                <w:szCs w:val="20"/>
              </w:rPr>
            </w:pPr>
            <w:r w:rsidRPr="007B0511">
              <w:rPr>
                <w:rFonts w:eastAsia="Open Sans" w:cs="Open Sans"/>
                <w:sz w:val="20"/>
                <w:szCs w:val="20"/>
              </w:rPr>
              <w:t>All</w:t>
            </w:r>
          </w:p>
        </w:tc>
      </w:tr>
      <w:tr w:rsidR="00CA174F" w:rsidRPr="007B0511" w14:paraId="02DB4B2B" w14:textId="77777777" w:rsidTr="00CA174F">
        <w:tc>
          <w:tcPr>
            <w:tcW w:w="1975" w:type="dxa"/>
            <w:tcBorders>
              <w:bottom w:val="single" w:sz="4" w:space="0" w:color="000000"/>
            </w:tcBorders>
          </w:tcPr>
          <w:p w14:paraId="6590504F" w14:textId="77777777" w:rsidR="00CA174F" w:rsidRPr="007B0511" w:rsidRDefault="00CA174F">
            <w:pPr>
              <w:rPr>
                <w:rFonts w:eastAsia="Open Sans" w:cs="Open Sans"/>
                <w:bCs/>
                <w:sz w:val="20"/>
                <w:szCs w:val="20"/>
              </w:rPr>
            </w:pPr>
            <w:r w:rsidRPr="007B0511">
              <w:rPr>
                <w:rFonts w:eastAsia="Open Sans" w:cs="Open Sans"/>
                <w:bCs/>
                <w:sz w:val="20"/>
                <w:szCs w:val="20"/>
              </w:rPr>
              <w:t>10:30 – 10:50</w:t>
            </w:r>
          </w:p>
        </w:tc>
        <w:tc>
          <w:tcPr>
            <w:tcW w:w="5108" w:type="dxa"/>
            <w:tcBorders>
              <w:bottom w:val="single" w:sz="4" w:space="0" w:color="000000"/>
            </w:tcBorders>
          </w:tcPr>
          <w:p w14:paraId="6C65E2DA" w14:textId="77777777" w:rsidR="00CA174F" w:rsidRPr="007B0511" w:rsidRDefault="00CA174F">
            <w:pPr>
              <w:rPr>
                <w:rFonts w:eastAsia="Open Sans" w:cs="Open Sans"/>
                <w:b/>
                <w:sz w:val="20"/>
                <w:szCs w:val="20"/>
              </w:rPr>
            </w:pPr>
            <w:r w:rsidRPr="007B0511">
              <w:rPr>
                <w:rFonts w:eastAsia="Open Sans" w:cs="Open Sans"/>
                <w:b/>
                <w:sz w:val="20"/>
                <w:szCs w:val="20"/>
              </w:rPr>
              <w:t>Coffee Break</w:t>
            </w:r>
          </w:p>
        </w:tc>
        <w:tc>
          <w:tcPr>
            <w:tcW w:w="2267" w:type="dxa"/>
            <w:tcBorders>
              <w:bottom w:val="single" w:sz="4" w:space="0" w:color="000000"/>
            </w:tcBorders>
          </w:tcPr>
          <w:p w14:paraId="1BBCC493" w14:textId="77777777" w:rsidR="00CA174F" w:rsidRPr="007B0511" w:rsidRDefault="00CA174F">
            <w:pPr>
              <w:rPr>
                <w:rFonts w:eastAsia="Open Sans" w:cs="Open Sans"/>
                <w:b/>
                <w:sz w:val="20"/>
                <w:szCs w:val="20"/>
              </w:rPr>
            </w:pPr>
          </w:p>
        </w:tc>
      </w:tr>
      <w:tr w:rsidR="00CA174F" w:rsidRPr="007B0511" w14:paraId="4EFBA397" w14:textId="77777777" w:rsidTr="00CA174F">
        <w:tc>
          <w:tcPr>
            <w:tcW w:w="1975" w:type="dxa"/>
            <w:tcBorders>
              <w:bottom w:val="single" w:sz="4" w:space="0" w:color="000000"/>
            </w:tcBorders>
          </w:tcPr>
          <w:p w14:paraId="31DF545D" w14:textId="77777777" w:rsidR="00CA174F" w:rsidRPr="007B0511" w:rsidRDefault="00CA174F">
            <w:pPr>
              <w:rPr>
                <w:rFonts w:eastAsia="Open Sans" w:cs="Open Sans"/>
                <w:bCs/>
                <w:sz w:val="20"/>
                <w:szCs w:val="20"/>
              </w:rPr>
            </w:pPr>
            <w:r w:rsidRPr="007B0511">
              <w:rPr>
                <w:rFonts w:eastAsia="Open Sans" w:cs="Open Sans"/>
                <w:bCs/>
                <w:sz w:val="20"/>
                <w:szCs w:val="20"/>
              </w:rPr>
              <w:t>10:50 – 12:00</w:t>
            </w:r>
          </w:p>
        </w:tc>
        <w:tc>
          <w:tcPr>
            <w:tcW w:w="5108" w:type="dxa"/>
            <w:tcBorders>
              <w:bottom w:val="single" w:sz="4" w:space="0" w:color="000000"/>
            </w:tcBorders>
          </w:tcPr>
          <w:p w14:paraId="5FB43FEA" w14:textId="77777777" w:rsidR="00CA174F" w:rsidRPr="007B0511" w:rsidRDefault="00CA174F">
            <w:pPr>
              <w:rPr>
                <w:rFonts w:eastAsia="Open Sans" w:cs="Open Sans"/>
                <w:b/>
                <w:sz w:val="20"/>
                <w:szCs w:val="20"/>
              </w:rPr>
            </w:pPr>
            <w:r w:rsidRPr="007B0511">
              <w:rPr>
                <w:rFonts w:eastAsia="Open Sans" w:cs="Open Sans"/>
                <w:b/>
                <w:sz w:val="20"/>
                <w:szCs w:val="20"/>
              </w:rPr>
              <w:t>Session 2: Lessons Learned on CVA Programme for Nutrition in Myanmar</w:t>
            </w:r>
          </w:p>
          <w:p w14:paraId="2104D378" w14:textId="77777777" w:rsidR="00CA174F" w:rsidRPr="007B0511" w:rsidRDefault="00CA174F">
            <w:pPr>
              <w:rPr>
                <w:rFonts w:eastAsia="Open Sans" w:cs="Open Sans"/>
                <w:bCs/>
                <w:sz w:val="20"/>
                <w:szCs w:val="20"/>
              </w:rPr>
            </w:pPr>
          </w:p>
          <w:p w14:paraId="513165CE" w14:textId="77777777" w:rsidR="00CA174F" w:rsidRPr="007B0511" w:rsidRDefault="00CA174F">
            <w:pPr>
              <w:rPr>
                <w:rFonts w:eastAsia="Open Sans" w:cs="Open Sans"/>
                <w:bCs/>
                <w:sz w:val="20"/>
                <w:szCs w:val="20"/>
              </w:rPr>
            </w:pPr>
            <w:r w:rsidRPr="007B0511">
              <w:rPr>
                <w:rFonts w:eastAsia="Open Sans" w:cs="Open Sans"/>
                <w:bCs/>
                <w:sz w:val="20"/>
                <w:szCs w:val="20"/>
              </w:rPr>
              <w:t>i.</w:t>
            </w:r>
            <w:r w:rsidRPr="007B0511">
              <w:rPr>
                <w:rFonts w:eastAsia="Open Sans" w:cs="Open Sans"/>
                <w:bCs/>
                <w:sz w:val="20"/>
                <w:szCs w:val="20"/>
              </w:rPr>
              <w:tab/>
              <w:t>UN - WFP</w:t>
            </w:r>
          </w:p>
          <w:p w14:paraId="6F1B670D" w14:textId="77777777" w:rsidR="00CA174F" w:rsidRPr="007B0511" w:rsidRDefault="00CA174F">
            <w:pPr>
              <w:rPr>
                <w:rFonts w:eastAsia="Open Sans" w:cs="Open Sans"/>
                <w:bCs/>
                <w:sz w:val="20"/>
                <w:szCs w:val="20"/>
              </w:rPr>
            </w:pPr>
            <w:r w:rsidRPr="007B0511">
              <w:rPr>
                <w:rFonts w:eastAsia="Open Sans" w:cs="Open Sans"/>
                <w:bCs/>
                <w:sz w:val="20"/>
                <w:szCs w:val="20"/>
              </w:rPr>
              <w:t>iv.</w:t>
            </w:r>
            <w:r w:rsidRPr="007B0511">
              <w:rPr>
                <w:rFonts w:eastAsia="Open Sans" w:cs="Open Sans"/>
                <w:bCs/>
                <w:sz w:val="20"/>
                <w:szCs w:val="20"/>
              </w:rPr>
              <w:tab/>
              <w:t>INGO 1 – SC MMR</w:t>
            </w:r>
          </w:p>
          <w:p w14:paraId="094D480D" w14:textId="77777777" w:rsidR="00CA174F" w:rsidRPr="007B0511" w:rsidRDefault="00CA174F">
            <w:pPr>
              <w:rPr>
                <w:rFonts w:eastAsia="Open Sans" w:cs="Open Sans"/>
                <w:bCs/>
                <w:sz w:val="20"/>
                <w:szCs w:val="20"/>
              </w:rPr>
            </w:pPr>
            <w:r w:rsidRPr="007B0511">
              <w:rPr>
                <w:rFonts w:eastAsia="Open Sans" w:cs="Open Sans"/>
                <w:bCs/>
                <w:sz w:val="20"/>
                <w:szCs w:val="20"/>
              </w:rPr>
              <w:t>v.</w:t>
            </w:r>
            <w:r w:rsidRPr="007B0511">
              <w:rPr>
                <w:rFonts w:eastAsia="Open Sans" w:cs="Open Sans"/>
                <w:bCs/>
                <w:sz w:val="20"/>
                <w:szCs w:val="20"/>
              </w:rPr>
              <w:tab/>
              <w:t>INGO 2 - HPA</w:t>
            </w:r>
          </w:p>
          <w:p w14:paraId="74D1C49B" w14:textId="77777777" w:rsidR="00CA174F" w:rsidRPr="007B0511" w:rsidRDefault="00CA174F">
            <w:pPr>
              <w:rPr>
                <w:rFonts w:eastAsia="Open Sans" w:cs="Open Sans"/>
                <w:bCs/>
                <w:sz w:val="20"/>
                <w:szCs w:val="20"/>
              </w:rPr>
            </w:pPr>
            <w:r w:rsidRPr="007B0511">
              <w:rPr>
                <w:rFonts w:eastAsia="Open Sans" w:cs="Open Sans"/>
                <w:bCs/>
                <w:sz w:val="20"/>
                <w:szCs w:val="20"/>
              </w:rPr>
              <w:t>vi.</w:t>
            </w:r>
            <w:r w:rsidRPr="007B0511">
              <w:rPr>
                <w:rFonts w:eastAsia="Open Sans" w:cs="Open Sans"/>
                <w:bCs/>
                <w:sz w:val="20"/>
                <w:szCs w:val="20"/>
              </w:rPr>
              <w:tab/>
              <w:t>INGO 3 - Malteser</w:t>
            </w:r>
          </w:p>
          <w:p w14:paraId="2E705CC1" w14:textId="77777777" w:rsidR="00CA174F" w:rsidRPr="007B0511" w:rsidRDefault="00CA174F">
            <w:pPr>
              <w:rPr>
                <w:rFonts w:eastAsia="Open Sans" w:cs="Open Sans"/>
                <w:b/>
                <w:sz w:val="20"/>
                <w:szCs w:val="20"/>
              </w:rPr>
            </w:pPr>
          </w:p>
        </w:tc>
        <w:tc>
          <w:tcPr>
            <w:tcW w:w="2267" w:type="dxa"/>
            <w:tcBorders>
              <w:bottom w:val="single" w:sz="4" w:space="0" w:color="000000"/>
            </w:tcBorders>
          </w:tcPr>
          <w:p w14:paraId="27A32810" w14:textId="77777777" w:rsidR="00CA174F" w:rsidRPr="007B0511" w:rsidRDefault="00CA174F">
            <w:pPr>
              <w:rPr>
                <w:rFonts w:eastAsia="Open Sans" w:cs="Open Sans"/>
                <w:b/>
                <w:sz w:val="20"/>
                <w:szCs w:val="20"/>
              </w:rPr>
            </w:pPr>
          </w:p>
          <w:p w14:paraId="3944C062" w14:textId="77777777" w:rsidR="00CA174F" w:rsidRPr="007B0511" w:rsidRDefault="00CA174F">
            <w:pPr>
              <w:rPr>
                <w:rFonts w:eastAsia="Open Sans" w:cs="Open Sans"/>
                <w:b/>
                <w:sz w:val="20"/>
                <w:szCs w:val="20"/>
              </w:rPr>
            </w:pPr>
          </w:p>
          <w:p w14:paraId="1D954FE3" w14:textId="77777777" w:rsidR="00CA174F" w:rsidRPr="007B0511" w:rsidRDefault="00CA174F">
            <w:pPr>
              <w:rPr>
                <w:rFonts w:eastAsia="Open Sans" w:cs="Open Sans"/>
                <w:b/>
                <w:sz w:val="20"/>
                <w:szCs w:val="20"/>
              </w:rPr>
            </w:pPr>
          </w:p>
          <w:p w14:paraId="04267A9B" w14:textId="77777777" w:rsidR="00CA174F" w:rsidRPr="007B0511" w:rsidRDefault="00CA174F">
            <w:pPr>
              <w:rPr>
                <w:rFonts w:eastAsia="Open Sans" w:cs="Open Sans"/>
                <w:bCs/>
                <w:sz w:val="20"/>
                <w:szCs w:val="20"/>
              </w:rPr>
            </w:pPr>
            <w:r w:rsidRPr="007B0511">
              <w:rPr>
                <w:rFonts w:eastAsia="Open Sans" w:cs="Open Sans"/>
                <w:bCs/>
                <w:sz w:val="20"/>
                <w:szCs w:val="20"/>
              </w:rPr>
              <w:t>WFP</w:t>
            </w:r>
          </w:p>
          <w:p w14:paraId="533A3631" w14:textId="77777777" w:rsidR="00CA174F" w:rsidRPr="007B0511" w:rsidRDefault="00CA174F">
            <w:pPr>
              <w:rPr>
                <w:rFonts w:eastAsia="Open Sans" w:cs="Open Sans"/>
                <w:bCs/>
                <w:sz w:val="20"/>
                <w:szCs w:val="20"/>
              </w:rPr>
            </w:pPr>
            <w:r w:rsidRPr="007B0511">
              <w:rPr>
                <w:rFonts w:eastAsia="Open Sans" w:cs="Open Sans"/>
                <w:bCs/>
                <w:sz w:val="20"/>
                <w:szCs w:val="20"/>
              </w:rPr>
              <w:t>SC MMR</w:t>
            </w:r>
          </w:p>
          <w:p w14:paraId="7B3DE43E" w14:textId="77777777" w:rsidR="00CA174F" w:rsidRPr="007B0511" w:rsidRDefault="00CA174F">
            <w:pPr>
              <w:rPr>
                <w:rFonts w:eastAsia="Open Sans" w:cs="Open Sans"/>
                <w:bCs/>
                <w:sz w:val="20"/>
                <w:szCs w:val="20"/>
              </w:rPr>
            </w:pPr>
            <w:r w:rsidRPr="007B0511">
              <w:rPr>
                <w:rFonts w:eastAsia="Open Sans" w:cs="Open Sans"/>
                <w:bCs/>
                <w:sz w:val="20"/>
                <w:szCs w:val="20"/>
              </w:rPr>
              <w:t>HPA</w:t>
            </w:r>
          </w:p>
          <w:p w14:paraId="106A14B0" w14:textId="77777777" w:rsidR="00CA174F" w:rsidRPr="007B0511" w:rsidRDefault="00CA174F">
            <w:pPr>
              <w:rPr>
                <w:rFonts w:eastAsia="Open Sans" w:cs="Open Sans"/>
                <w:bCs/>
                <w:sz w:val="20"/>
                <w:szCs w:val="20"/>
              </w:rPr>
            </w:pPr>
            <w:r w:rsidRPr="007B0511">
              <w:rPr>
                <w:rFonts w:eastAsia="Open Sans" w:cs="Open Sans"/>
                <w:bCs/>
                <w:sz w:val="20"/>
                <w:szCs w:val="20"/>
              </w:rPr>
              <w:t>Malteser</w:t>
            </w:r>
          </w:p>
          <w:p w14:paraId="50A868A5" w14:textId="77777777" w:rsidR="00CA174F" w:rsidRPr="007B0511" w:rsidRDefault="00CA174F">
            <w:pPr>
              <w:rPr>
                <w:rFonts w:eastAsia="Open Sans" w:cs="Open Sans"/>
                <w:b/>
                <w:sz w:val="20"/>
                <w:szCs w:val="20"/>
              </w:rPr>
            </w:pPr>
          </w:p>
        </w:tc>
      </w:tr>
      <w:tr w:rsidR="00CA174F" w:rsidRPr="007B0511" w14:paraId="27C0B040" w14:textId="77777777" w:rsidTr="00CA174F">
        <w:tc>
          <w:tcPr>
            <w:tcW w:w="1975" w:type="dxa"/>
            <w:tcBorders>
              <w:top w:val="single" w:sz="4" w:space="0" w:color="000000"/>
              <w:left w:val="single" w:sz="4" w:space="0" w:color="000000"/>
              <w:bottom w:val="nil"/>
              <w:right w:val="single" w:sz="4" w:space="0" w:color="000000"/>
            </w:tcBorders>
          </w:tcPr>
          <w:p w14:paraId="26BFA8C8" w14:textId="77777777" w:rsidR="00CA174F" w:rsidRPr="007B0511" w:rsidRDefault="00CA174F">
            <w:pPr>
              <w:rPr>
                <w:rFonts w:eastAsia="Open Sans" w:cs="Open Sans"/>
                <w:bCs/>
                <w:sz w:val="20"/>
                <w:szCs w:val="20"/>
              </w:rPr>
            </w:pPr>
            <w:r w:rsidRPr="007B0511">
              <w:rPr>
                <w:rFonts w:eastAsia="Open Sans" w:cs="Open Sans"/>
                <w:bCs/>
                <w:sz w:val="20"/>
                <w:szCs w:val="20"/>
              </w:rPr>
              <w:t xml:space="preserve">12:00 – 13:00 </w:t>
            </w:r>
          </w:p>
        </w:tc>
        <w:tc>
          <w:tcPr>
            <w:tcW w:w="5108" w:type="dxa"/>
            <w:tcBorders>
              <w:top w:val="single" w:sz="4" w:space="0" w:color="000000"/>
              <w:left w:val="single" w:sz="4" w:space="0" w:color="000000"/>
              <w:bottom w:val="nil"/>
              <w:right w:val="single" w:sz="4" w:space="0" w:color="000000"/>
            </w:tcBorders>
          </w:tcPr>
          <w:p w14:paraId="21BABABA" w14:textId="77777777" w:rsidR="00CA174F" w:rsidRPr="007B0511" w:rsidRDefault="00CA174F">
            <w:pPr>
              <w:rPr>
                <w:rFonts w:eastAsia="Open Sans" w:cs="Open Sans"/>
                <w:sz w:val="20"/>
                <w:szCs w:val="20"/>
              </w:rPr>
            </w:pPr>
            <w:r w:rsidRPr="007B0511">
              <w:rPr>
                <w:rFonts w:eastAsia="Open Sans" w:cs="Open Sans"/>
                <w:b/>
                <w:sz w:val="20"/>
                <w:szCs w:val="20"/>
              </w:rPr>
              <w:t>Session 3: Catch Up/Get on the same page: CVA for Nutrition</w:t>
            </w:r>
            <w:r w:rsidRPr="007B0511">
              <w:rPr>
                <w:rFonts w:eastAsia="Open Sans" w:cs="Open Sans"/>
                <w:sz w:val="20"/>
                <w:szCs w:val="20"/>
              </w:rPr>
              <w:t>: What do we know so far?</w:t>
            </w:r>
          </w:p>
          <w:p w14:paraId="139A42A5" w14:textId="77777777" w:rsidR="00CA174F" w:rsidRPr="007B0511" w:rsidRDefault="00CA174F">
            <w:pPr>
              <w:rPr>
                <w:rFonts w:eastAsia="Open Sans" w:cs="Open Sans"/>
                <w:sz w:val="20"/>
                <w:szCs w:val="20"/>
              </w:rPr>
            </w:pPr>
            <w:r w:rsidRPr="007B0511">
              <w:rPr>
                <w:rFonts w:eastAsia="Open Sans" w:cs="Open Sans"/>
                <w:sz w:val="20"/>
                <w:szCs w:val="20"/>
              </w:rPr>
              <w:lastRenderedPageBreak/>
              <w:t>Quick overview of the current use cases for cash voucher assistance (CVA) for Nutrition, evidence/guidance, and relevant tools</w:t>
            </w:r>
          </w:p>
          <w:p w14:paraId="1FFB7BF3" w14:textId="77777777" w:rsidR="00CA174F" w:rsidRPr="007B0511" w:rsidRDefault="00CA174F">
            <w:pPr>
              <w:rPr>
                <w:rFonts w:eastAsia="Open Sans" w:cs="Open Sans"/>
                <w:b/>
                <w:sz w:val="20"/>
                <w:szCs w:val="20"/>
              </w:rPr>
            </w:pPr>
          </w:p>
        </w:tc>
        <w:tc>
          <w:tcPr>
            <w:tcW w:w="2267" w:type="dxa"/>
            <w:tcBorders>
              <w:top w:val="single" w:sz="4" w:space="0" w:color="000000"/>
              <w:left w:val="single" w:sz="4" w:space="0" w:color="000000"/>
              <w:bottom w:val="nil"/>
              <w:right w:val="single" w:sz="4" w:space="0" w:color="000000"/>
            </w:tcBorders>
          </w:tcPr>
          <w:p w14:paraId="0DCEE21C" w14:textId="77777777" w:rsidR="00CA174F" w:rsidRPr="007B0511" w:rsidRDefault="00CA174F">
            <w:pPr>
              <w:rPr>
                <w:rFonts w:eastAsia="Open Sans" w:cs="Open Sans"/>
                <w:sz w:val="20"/>
                <w:szCs w:val="20"/>
              </w:rPr>
            </w:pPr>
            <w:r w:rsidRPr="007B0511">
              <w:rPr>
                <w:rFonts w:eastAsia="Open Sans" w:cs="Open Sans"/>
                <w:sz w:val="20"/>
                <w:szCs w:val="20"/>
              </w:rPr>
              <w:lastRenderedPageBreak/>
              <w:t>GNC/ SCI</w:t>
            </w:r>
          </w:p>
        </w:tc>
      </w:tr>
      <w:tr w:rsidR="00CA174F" w:rsidRPr="007B0511" w14:paraId="270A0B53" w14:textId="77777777" w:rsidTr="00CA174F">
        <w:tc>
          <w:tcPr>
            <w:tcW w:w="1975" w:type="dxa"/>
            <w:tcBorders>
              <w:top w:val="single" w:sz="4" w:space="0" w:color="000000"/>
              <w:bottom w:val="single" w:sz="4" w:space="0" w:color="000000"/>
            </w:tcBorders>
          </w:tcPr>
          <w:p w14:paraId="26364D29" w14:textId="77777777" w:rsidR="00CA174F" w:rsidRPr="007B0511" w:rsidRDefault="00CA174F">
            <w:pPr>
              <w:rPr>
                <w:rFonts w:eastAsia="Open Sans" w:cs="Open Sans"/>
                <w:bCs/>
                <w:sz w:val="20"/>
                <w:szCs w:val="20"/>
              </w:rPr>
            </w:pPr>
            <w:r w:rsidRPr="007B0511">
              <w:rPr>
                <w:rFonts w:eastAsia="Open Sans" w:cs="Open Sans"/>
                <w:bCs/>
                <w:sz w:val="20"/>
                <w:szCs w:val="20"/>
              </w:rPr>
              <w:t>13:00-14:00</w:t>
            </w:r>
          </w:p>
        </w:tc>
        <w:tc>
          <w:tcPr>
            <w:tcW w:w="5108" w:type="dxa"/>
            <w:tcBorders>
              <w:top w:val="single" w:sz="4" w:space="0" w:color="000000"/>
              <w:bottom w:val="single" w:sz="4" w:space="0" w:color="000000"/>
            </w:tcBorders>
          </w:tcPr>
          <w:p w14:paraId="0C3AE36E" w14:textId="77777777" w:rsidR="00CA174F" w:rsidRPr="007B0511" w:rsidRDefault="00CA174F">
            <w:pPr>
              <w:rPr>
                <w:rFonts w:eastAsia="Open Sans" w:cs="Open Sans"/>
                <w:b/>
                <w:sz w:val="20"/>
                <w:szCs w:val="20"/>
              </w:rPr>
            </w:pPr>
            <w:r w:rsidRPr="007B0511">
              <w:rPr>
                <w:rFonts w:eastAsia="Open Sans" w:cs="Open Sans"/>
                <w:b/>
                <w:sz w:val="20"/>
                <w:szCs w:val="20"/>
              </w:rPr>
              <w:t>Lunch Break</w:t>
            </w:r>
          </w:p>
        </w:tc>
        <w:tc>
          <w:tcPr>
            <w:tcW w:w="2267" w:type="dxa"/>
            <w:tcBorders>
              <w:top w:val="single" w:sz="4" w:space="0" w:color="000000"/>
              <w:bottom w:val="single" w:sz="4" w:space="0" w:color="000000"/>
            </w:tcBorders>
          </w:tcPr>
          <w:p w14:paraId="4A33BC04" w14:textId="77777777" w:rsidR="00CA174F" w:rsidRPr="007B0511" w:rsidRDefault="00CA174F">
            <w:pPr>
              <w:rPr>
                <w:rFonts w:eastAsia="Open Sans" w:cs="Open Sans"/>
                <w:b/>
                <w:sz w:val="20"/>
                <w:szCs w:val="20"/>
              </w:rPr>
            </w:pPr>
          </w:p>
        </w:tc>
      </w:tr>
      <w:tr w:rsidR="00CA174F" w:rsidRPr="007B0511" w14:paraId="44FC89B0" w14:textId="77777777" w:rsidTr="00CA174F">
        <w:tc>
          <w:tcPr>
            <w:tcW w:w="1975" w:type="dxa"/>
            <w:tcBorders>
              <w:top w:val="single" w:sz="4" w:space="0" w:color="000000"/>
              <w:bottom w:val="single" w:sz="4" w:space="0" w:color="000000"/>
            </w:tcBorders>
          </w:tcPr>
          <w:p w14:paraId="4761362F" w14:textId="77777777" w:rsidR="00CA174F" w:rsidRPr="007B0511" w:rsidRDefault="00CA174F">
            <w:pPr>
              <w:rPr>
                <w:rFonts w:eastAsia="Open Sans" w:cs="Open Sans"/>
                <w:b/>
                <w:sz w:val="20"/>
                <w:szCs w:val="20"/>
              </w:rPr>
            </w:pPr>
            <w:r w:rsidRPr="007B0511">
              <w:rPr>
                <w:rFonts w:eastAsia="Calibri" w:cs="Calibri"/>
              </w:rPr>
              <w:t>14:00 – 15:30            </w:t>
            </w:r>
          </w:p>
        </w:tc>
        <w:tc>
          <w:tcPr>
            <w:tcW w:w="5108" w:type="dxa"/>
            <w:tcBorders>
              <w:top w:val="single" w:sz="4" w:space="0" w:color="000000"/>
              <w:bottom w:val="single" w:sz="4" w:space="0" w:color="000000"/>
            </w:tcBorders>
          </w:tcPr>
          <w:p w14:paraId="77688A67" w14:textId="77777777" w:rsidR="00CA174F" w:rsidRPr="007B0511" w:rsidRDefault="00CA174F">
            <w:pPr>
              <w:rPr>
                <w:rFonts w:eastAsia="Calibri" w:cs="Calibri"/>
                <w:b/>
              </w:rPr>
            </w:pPr>
            <w:r w:rsidRPr="007B0511">
              <w:rPr>
                <w:rFonts w:eastAsia="Open Sans" w:cs="Open Sans"/>
                <w:b/>
                <w:sz w:val="20"/>
                <w:szCs w:val="20"/>
              </w:rPr>
              <w:t xml:space="preserve">Session 4: </w:t>
            </w:r>
            <w:r w:rsidRPr="007B0511">
              <w:rPr>
                <w:rFonts w:eastAsia="Calibri" w:cs="Calibri"/>
                <w:b/>
              </w:rPr>
              <w:t>Setting CVA Transfer Value</w:t>
            </w:r>
          </w:p>
          <w:p w14:paraId="00928FC0" w14:textId="77777777" w:rsidR="00CA174F" w:rsidRPr="007B0511" w:rsidRDefault="00CA174F">
            <w:pPr>
              <w:rPr>
                <w:rFonts w:eastAsia="Open Sans" w:cs="Open Sans"/>
                <w:sz w:val="20"/>
                <w:szCs w:val="20"/>
              </w:rPr>
            </w:pPr>
            <w:r w:rsidRPr="007B0511">
              <w:rPr>
                <w:rFonts w:eastAsia="Open Sans" w:cs="Open Sans"/>
                <w:sz w:val="20"/>
                <w:szCs w:val="20"/>
              </w:rPr>
              <w:t>a)</w:t>
            </w:r>
            <w:r w:rsidRPr="007B0511">
              <w:rPr>
                <w:rFonts w:eastAsia="Open Sans" w:cs="Open Sans"/>
                <w:sz w:val="20"/>
                <w:szCs w:val="20"/>
              </w:rPr>
              <w:tab/>
              <w:t>Minimum Expenditure Basket (MEB)</w:t>
            </w:r>
          </w:p>
          <w:p w14:paraId="11A175D2" w14:textId="77777777" w:rsidR="00CA174F" w:rsidRPr="007B0511" w:rsidRDefault="00CA174F">
            <w:pPr>
              <w:rPr>
                <w:rFonts w:eastAsia="Open Sans" w:cs="Open Sans"/>
                <w:sz w:val="20"/>
                <w:szCs w:val="20"/>
              </w:rPr>
            </w:pPr>
            <w:r w:rsidRPr="007B0511">
              <w:rPr>
                <w:rFonts w:eastAsia="Open Sans" w:cs="Open Sans"/>
                <w:sz w:val="20"/>
                <w:szCs w:val="20"/>
              </w:rPr>
              <w:t>b)</w:t>
            </w:r>
            <w:r w:rsidRPr="007B0511">
              <w:rPr>
                <w:rFonts w:eastAsia="Open Sans" w:cs="Open Sans"/>
                <w:sz w:val="20"/>
                <w:szCs w:val="20"/>
              </w:rPr>
              <w:tab/>
              <w:t>Cost of Diet</w:t>
            </w:r>
          </w:p>
          <w:p w14:paraId="7A31AE30" w14:textId="77777777" w:rsidR="00CA174F" w:rsidRPr="007B0511" w:rsidRDefault="00CA174F">
            <w:pPr>
              <w:rPr>
                <w:rFonts w:eastAsia="Open Sans" w:cs="Open Sans"/>
                <w:sz w:val="20"/>
                <w:szCs w:val="20"/>
              </w:rPr>
            </w:pPr>
            <w:r w:rsidRPr="007B0511">
              <w:rPr>
                <w:rFonts w:eastAsia="Open Sans" w:cs="Open Sans"/>
                <w:sz w:val="20"/>
                <w:szCs w:val="20"/>
              </w:rPr>
              <w:t>c)</w:t>
            </w:r>
            <w:r w:rsidRPr="007B0511">
              <w:rPr>
                <w:rFonts w:eastAsia="Open Sans" w:cs="Open Sans"/>
                <w:sz w:val="20"/>
                <w:szCs w:val="20"/>
              </w:rPr>
              <w:tab/>
              <w:t>Nutrient Gap/ FNG</w:t>
            </w:r>
          </w:p>
          <w:p w14:paraId="5EF455EB" w14:textId="77777777" w:rsidR="00CA174F" w:rsidRPr="007B0511" w:rsidRDefault="00CA174F">
            <w:pPr>
              <w:rPr>
                <w:rFonts w:eastAsia="Open Sans" w:cs="Open Sans"/>
                <w:b/>
                <w:sz w:val="20"/>
                <w:szCs w:val="20"/>
              </w:rPr>
            </w:pPr>
            <w:r w:rsidRPr="007B0511">
              <w:rPr>
                <w:rFonts w:eastAsia="Open Sans" w:cs="Open Sans"/>
                <w:sz w:val="20"/>
                <w:szCs w:val="20"/>
              </w:rPr>
              <w:t>d)</w:t>
            </w:r>
            <w:r w:rsidRPr="007B0511">
              <w:rPr>
                <w:rFonts w:eastAsia="Open Sans" w:cs="Open Sans"/>
                <w:sz w:val="20"/>
                <w:szCs w:val="20"/>
              </w:rPr>
              <w:tab/>
              <w:t xml:space="preserve">Market Monitoring </w:t>
            </w:r>
          </w:p>
        </w:tc>
        <w:tc>
          <w:tcPr>
            <w:tcW w:w="2267" w:type="dxa"/>
            <w:tcBorders>
              <w:top w:val="single" w:sz="4" w:space="0" w:color="000000"/>
              <w:bottom w:val="single" w:sz="4" w:space="0" w:color="000000"/>
            </w:tcBorders>
          </w:tcPr>
          <w:p w14:paraId="5E90FEF2" w14:textId="77777777" w:rsidR="00CA174F" w:rsidRPr="007B0511" w:rsidRDefault="00CA174F">
            <w:pPr>
              <w:rPr>
                <w:rFonts w:eastAsia="Open Sans" w:cs="Open Sans"/>
                <w:b/>
                <w:sz w:val="20"/>
                <w:szCs w:val="20"/>
              </w:rPr>
            </w:pPr>
          </w:p>
          <w:p w14:paraId="7B917D4D" w14:textId="77777777" w:rsidR="00CA174F" w:rsidRPr="007B0511" w:rsidRDefault="00CA174F">
            <w:pPr>
              <w:rPr>
                <w:rFonts w:eastAsia="Open Sans" w:cs="Open Sans"/>
                <w:sz w:val="20"/>
                <w:szCs w:val="20"/>
              </w:rPr>
            </w:pPr>
            <w:r w:rsidRPr="007B0511">
              <w:rPr>
                <w:rFonts w:eastAsia="Open Sans" w:cs="Open Sans"/>
                <w:sz w:val="20"/>
                <w:szCs w:val="20"/>
              </w:rPr>
              <w:t>CWG</w:t>
            </w:r>
          </w:p>
          <w:p w14:paraId="1780E8B0" w14:textId="77777777" w:rsidR="00CA174F" w:rsidRPr="007B0511" w:rsidRDefault="00CA174F">
            <w:pPr>
              <w:rPr>
                <w:rFonts w:eastAsia="Open Sans" w:cs="Open Sans"/>
                <w:sz w:val="20"/>
                <w:szCs w:val="20"/>
              </w:rPr>
            </w:pPr>
            <w:r w:rsidRPr="007B0511">
              <w:rPr>
                <w:rFonts w:eastAsia="Open Sans" w:cs="Open Sans"/>
                <w:sz w:val="20"/>
                <w:szCs w:val="20"/>
              </w:rPr>
              <w:t>SC MMR</w:t>
            </w:r>
          </w:p>
          <w:p w14:paraId="476B6933" w14:textId="77777777" w:rsidR="00CA174F" w:rsidRPr="007B0511" w:rsidRDefault="00CA174F">
            <w:pPr>
              <w:rPr>
                <w:rFonts w:eastAsia="Open Sans" w:cs="Open Sans"/>
                <w:sz w:val="20"/>
                <w:szCs w:val="20"/>
              </w:rPr>
            </w:pPr>
            <w:r w:rsidRPr="007B0511">
              <w:rPr>
                <w:rFonts w:eastAsia="Open Sans" w:cs="Open Sans"/>
                <w:sz w:val="20"/>
                <w:szCs w:val="20"/>
              </w:rPr>
              <w:t>WFP</w:t>
            </w:r>
          </w:p>
          <w:p w14:paraId="7EAFAB61" w14:textId="77777777" w:rsidR="00CA174F" w:rsidRPr="007B0511" w:rsidRDefault="00CA174F">
            <w:pPr>
              <w:rPr>
                <w:rFonts w:eastAsia="Open Sans" w:cs="Open Sans"/>
                <w:b/>
                <w:sz w:val="20"/>
                <w:szCs w:val="20"/>
              </w:rPr>
            </w:pPr>
            <w:r w:rsidRPr="007B0511">
              <w:rPr>
                <w:rFonts w:eastAsia="Open Sans" w:cs="Open Sans"/>
                <w:sz w:val="20"/>
                <w:szCs w:val="20"/>
              </w:rPr>
              <w:t>WFP</w:t>
            </w:r>
          </w:p>
        </w:tc>
      </w:tr>
      <w:tr w:rsidR="00CA174F" w:rsidRPr="007B0511" w14:paraId="28E7B6CB" w14:textId="77777777" w:rsidTr="00CA174F">
        <w:tc>
          <w:tcPr>
            <w:tcW w:w="1975" w:type="dxa"/>
            <w:tcBorders>
              <w:top w:val="single" w:sz="4" w:space="0" w:color="000000"/>
              <w:bottom w:val="single" w:sz="4" w:space="0" w:color="000000"/>
            </w:tcBorders>
          </w:tcPr>
          <w:p w14:paraId="273AEF58" w14:textId="77777777" w:rsidR="00CA174F" w:rsidRPr="007B0511" w:rsidRDefault="00CA174F">
            <w:pPr>
              <w:rPr>
                <w:rFonts w:eastAsia="Calibri" w:cs="Calibri"/>
              </w:rPr>
            </w:pPr>
            <w:r w:rsidRPr="007B0511">
              <w:rPr>
                <w:rFonts w:eastAsia="Calibri" w:cs="Calibri"/>
              </w:rPr>
              <w:t>15:30 – 16:30           </w:t>
            </w:r>
          </w:p>
        </w:tc>
        <w:tc>
          <w:tcPr>
            <w:tcW w:w="5108" w:type="dxa"/>
            <w:tcBorders>
              <w:top w:val="single" w:sz="4" w:space="0" w:color="000000"/>
              <w:bottom w:val="single" w:sz="4" w:space="0" w:color="000000"/>
            </w:tcBorders>
          </w:tcPr>
          <w:p w14:paraId="1AFCC49C" w14:textId="77777777" w:rsidR="00CA174F" w:rsidRPr="007B0511" w:rsidRDefault="00CA174F">
            <w:pPr>
              <w:rPr>
                <w:rFonts w:eastAsia="Calibri" w:cs="Calibri"/>
                <w:b/>
              </w:rPr>
            </w:pPr>
            <w:r w:rsidRPr="007B0511">
              <w:rPr>
                <w:rFonts w:eastAsia="Open Sans" w:cs="Open Sans"/>
                <w:b/>
                <w:sz w:val="20"/>
                <w:szCs w:val="20"/>
              </w:rPr>
              <w:t>Session 5:</w:t>
            </w:r>
            <w:r w:rsidRPr="007B0511">
              <w:rPr>
                <w:rFonts w:eastAsia="Calibri" w:cs="Calibri"/>
                <w:b/>
              </w:rPr>
              <w:t>Guidelines for Nutrition in Emergencies CVA (Marina)</w:t>
            </w:r>
          </w:p>
          <w:p w14:paraId="6E0F4CA4" w14:textId="77777777" w:rsidR="00CA174F" w:rsidRPr="007B0511" w:rsidRDefault="00CA174F">
            <w:pPr>
              <w:rPr>
                <w:rFonts w:eastAsia="Calibri" w:cs="Calibri"/>
              </w:rPr>
            </w:pPr>
            <w:r w:rsidRPr="007B0511">
              <w:rPr>
                <w:rFonts w:eastAsia="Calibri" w:cs="Calibri"/>
              </w:rPr>
              <w:t>a)</w:t>
            </w:r>
            <w:r w:rsidRPr="007B0511">
              <w:rPr>
                <w:rFonts w:eastAsia="Calibri" w:cs="Calibri"/>
              </w:rPr>
              <w:tab/>
              <w:t>Presentation on samples from other countries</w:t>
            </w:r>
          </w:p>
          <w:p w14:paraId="5BFC23B7" w14:textId="77777777" w:rsidR="00CA174F" w:rsidRPr="007B0511" w:rsidRDefault="00CA174F">
            <w:pPr>
              <w:rPr>
                <w:rFonts w:eastAsia="Calibri" w:cs="Calibri"/>
              </w:rPr>
            </w:pPr>
            <w:r w:rsidRPr="007B0511">
              <w:rPr>
                <w:rFonts w:eastAsia="Calibri" w:cs="Calibri"/>
              </w:rPr>
              <w:t>b)</w:t>
            </w:r>
            <w:r w:rsidRPr="007B0511">
              <w:rPr>
                <w:rFonts w:eastAsia="Calibri" w:cs="Calibri"/>
              </w:rPr>
              <w:tab/>
              <w:t>Key factors and Structure for Nutrition Programmes’ - CVA guidelines</w:t>
            </w:r>
          </w:p>
          <w:p w14:paraId="72F3124C" w14:textId="77777777" w:rsidR="00CA174F" w:rsidRPr="007B0511" w:rsidRDefault="00CA174F">
            <w:pPr>
              <w:rPr>
                <w:rFonts w:eastAsia="Calibri" w:cs="Calibri"/>
              </w:rPr>
            </w:pPr>
          </w:p>
        </w:tc>
        <w:tc>
          <w:tcPr>
            <w:tcW w:w="2267" w:type="dxa"/>
            <w:tcBorders>
              <w:top w:val="single" w:sz="4" w:space="0" w:color="000000"/>
              <w:bottom w:val="single" w:sz="4" w:space="0" w:color="000000"/>
            </w:tcBorders>
          </w:tcPr>
          <w:p w14:paraId="7211E03F" w14:textId="77777777" w:rsidR="00CA174F" w:rsidRPr="007B0511" w:rsidRDefault="00CA174F">
            <w:pPr>
              <w:rPr>
                <w:rFonts w:eastAsia="Open Sans" w:cs="Open Sans"/>
                <w:bCs/>
                <w:sz w:val="20"/>
                <w:szCs w:val="20"/>
              </w:rPr>
            </w:pPr>
            <w:r w:rsidRPr="007B0511">
              <w:rPr>
                <w:rFonts w:eastAsia="Open Sans" w:cs="Open Sans"/>
                <w:bCs/>
                <w:sz w:val="20"/>
                <w:szCs w:val="20"/>
              </w:rPr>
              <w:t>GNC/ SCI</w:t>
            </w:r>
          </w:p>
        </w:tc>
      </w:tr>
      <w:tr w:rsidR="00CA174F" w:rsidRPr="007B0511" w14:paraId="00D154B5" w14:textId="77777777" w:rsidTr="00CA174F">
        <w:tc>
          <w:tcPr>
            <w:tcW w:w="1975" w:type="dxa"/>
            <w:tcBorders>
              <w:top w:val="single" w:sz="4" w:space="0" w:color="000000"/>
              <w:bottom w:val="single" w:sz="4" w:space="0" w:color="000000"/>
            </w:tcBorders>
          </w:tcPr>
          <w:p w14:paraId="5C5C5F9D" w14:textId="77777777" w:rsidR="00CA174F" w:rsidRPr="007B0511" w:rsidRDefault="00CA174F">
            <w:pPr>
              <w:rPr>
                <w:rFonts w:eastAsia="Open Sans" w:cs="Open Sans"/>
                <w:sz w:val="20"/>
                <w:szCs w:val="20"/>
              </w:rPr>
            </w:pPr>
            <w:r w:rsidRPr="007B0511">
              <w:rPr>
                <w:rFonts w:eastAsia="Calibri" w:cs="Calibri"/>
              </w:rPr>
              <w:t>16:30 – 17:00                       </w:t>
            </w:r>
          </w:p>
        </w:tc>
        <w:tc>
          <w:tcPr>
            <w:tcW w:w="5108" w:type="dxa"/>
            <w:tcBorders>
              <w:top w:val="single" w:sz="4" w:space="0" w:color="000000"/>
              <w:bottom w:val="single" w:sz="4" w:space="0" w:color="000000"/>
            </w:tcBorders>
          </w:tcPr>
          <w:p w14:paraId="5ECCEA04" w14:textId="77777777" w:rsidR="00CA174F" w:rsidRPr="007B0511" w:rsidRDefault="00CA174F">
            <w:pPr>
              <w:rPr>
                <w:rFonts w:eastAsia="Open Sans" w:cs="Open Sans"/>
                <w:sz w:val="20"/>
                <w:szCs w:val="20"/>
              </w:rPr>
            </w:pPr>
            <w:r w:rsidRPr="007B0511">
              <w:rPr>
                <w:rFonts w:eastAsia="Open Sans" w:cs="Open Sans"/>
                <w:sz w:val="20"/>
                <w:szCs w:val="20"/>
              </w:rPr>
              <w:t>Daily Wrap-Up and Preparations for Day 2</w:t>
            </w:r>
          </w:p>
          <w:p w14:paraId="763A8F70" w14:textId="77777777" w:rsidR="00CA174F" w:rsidRPr="007B0511" w:rsidRDefault="00CA174F">
            <w:pPr>
              <w:rPr>
                <w:rFonts w:eastAsia="Open Sans" w:cs="Open Sans"/>
                <w:b/>
                <w:sz w:val="20"/>
                <w:szCs w:val="20"/>
              </w:rPr>
            </w:pPr>
          </w:p>
        </w:tc>
        <w:tc>
          <w:tcPr>
            <w:tcW w:w="2267" w:type="dxa"/>
            <w:tcBorders>
              <w:top w:val="single" w:sz="4" w:space="0" w:color="000000"/>
              <w:bottom w:val="single" w:sz="4" w:space="0" w:color="000000"/>
            </w:tcBorders>
          </w:tcPr>
          <w:p w14:paraId="3F9DC2C9" w14:textId="77777777" w:rsidR="00CA174F" w:rsidRPr="007B0511" w:rsidRDefault="00CA174F">
            <w:pPr>
              <w:rPr>
                <w:rFonts w:eastAsia="Open Sans" w:cs="Open Sans"/>
                <w:b/>
                <w:sz w:val="20"/>
                <w:szCs w:val="20"/>
              </w:rPr>
            </w:pPr>
            <w:r w:rsidRPr="007B0511">
              <w:rPr>
                <w:rFonts w:eastAsia="Open Sans" w:cs="Open Sans"/>
                <w:sz w:val="20"/>
                <w:szCs w:val="20"/>
              </w:rPr>
              <w:t>Kom and SLM</w:t>
            </w:r>
          </w:p>
        </w:tc>
      </w:tr>
      <w:tr w:rsidR="00CA174F" w:rsidRPr="007B0511" w14:paraId="3CB74562" w14:textId="77777777" w:rsidTr="00CA174F">
        <w:tc>
          <w:tcPr>
            <w:tcW w:w="9350" w:type="dxa"/>
            <w:gridSpan w:val="3"/>
            <w:shd w:val="clear" w:color="auto" w:fill="92D050"/>
          </w:tcPr>
          <w:p w14:paraId="79AB4398" w14:textId="77777777" w:rsidR="00CA174F" w:rsidRPr="007B0511" w:rsidRDefault="00CA174F">
            <w:pPr>
              <w:jc w:val="center"/>
              <w:rPr>
                <w:rFonts w:eastAsia="Open Sans" w:cs="Open Sans"/>
                <w:b/>
                <w:sz w:val="20"/>
                <w:szCs w:val="20"/>
              </w:rPr>
            </w:pPr>
            <w:r w:rsidRPr="007B0511">
              <w:rPr>
                <w:rFonts w:eastAsia="Open Sans" w:cs="Open Sans"/>
                <w:b/>
                <w:sz w:val="20"/>
                <w:szCs w:val="20"/>
              </w:rPr>
              <w:t>DAY 2</w:t>
            </w:r>
          </w:p>
        </w:tc>
      </w:tr>
      <w:tr w:rsidR="00CA174F" w:rsidRPr="007B0511" w14:paraId="74E184EF" w14:textId="77777777" w:rsidTr="00CA174F">
        <w:tc>
          <w:tcPr>
            <w:tcW w:w="1975" w:type="dxa"/>
          </w:tcPr>
          <w:p w14:paraId="5DED9EB6" w14:textId="77777777" w:rsidR="00CA174F" w:rsidRPr="007B0511" w:rsidRDefault="00CA174F">
            <w:pPr>
              <w:rPr>
                <w:rFonts w:eastAsia="Open Sans" w:cs="Open Sans"/>
                <w:sz w:val="20"/>
                <w:szCs w:val="20"/>
              </w:rPr>
            </w:pPr>
            <w:bookmarkStart w:id="3" w:name="_heading=h.gjdgxs" w:colFirst="0" w:colLast="0"/>
            <w:bookmarkEnd w:id="3"/>
            <w:r w:rsidRPr="007B0511">
              <w:rPr>
                <w:rFonts w:eastAsia="Open Sans" w:cs="Open Sans"/>
                <w:sz w:val="20"/>
                <w:szCs w:val="20"/>
              </w:rPr>
              <w:t>09:00 - 09:30</w:t>
            </w:r>
          </w:p>
        </w:tc>
        <w:tc>
          <w:tcPr>
            <w:tcW w:w="5108" w:type="dxa"/>
          </w:tcPr>
          <w:p w14:paraId="7FEE8B59" w14:textId="77777777" w:rsidR="00CA174F" w:rsidRPr="007B0511" w:rsidRDefault="00CA174F">
            <w:pPr>
              <w:rPr>
                <w:rFonts w:eastAsia="Open Sans" w:cs="Open Sans"/>
                <w:sz w:val="20"/>
                <w:szCs w:val="20"/>
              </w:rPr>
            </w:pPr>
            <w:r w:rsidRPr="007B0511">
              <w:rPr>
                <w:rFonts w:eastAsia="Open Sans" w:cs="Open Sans"/>
                <w:sz w:val="20"/>
                <w:szCs w:val="20"/>
              </w:rPr>
              <w:t>Group works tools/ guidelines, groups formation and nominate faciltators</w:t>
            </w:r>
          </w:p>
        </w:tc>
        <w:tc>
          <w:tcPr>
            <w:tcW w:w="2267" w:type="dxa"/>
          </w:tcPr>
          <w:p w14:paraId="7D64D05C" w14:textId="77777777" w:rsidR="00CA174F" w:rsidRPr="007B0511" w:rsidRDefault="00CA174F">
            <w:pPr>
              <w:rPr>
                <w:rFonts w:eastAsia="Open Sans" w:cs="Open Sans"/>
                <w:sz w:val="20"/>
                <w:szCs w:val="20"/>
              </w:rPr>
            </w:pPr>
            <w:r w:rsidRPr="007B0511">
              <w:rPr>
                <w:rFonts w:eastAsia="Open Sans" w:cs="Open Sans"/>
                <w:sz w:val="20"/>
                <w:szCs w:val="20"/>
              </w:rPr>
              <w:t>Kom and SLM</w:t>
            </w:r>
          </w:p>
          <w:p w14:paraId="1F9A6384" w14:textId="77777777" w:rsidR="00CA174F" w:rsidRPr="007B0511" w:rsidRDefault="00CA174F">
            <w:pPr>
              <w:rPr>
                <w:rFonts w:eastAsia="Open Sans" w:cs="Open Sans"/>
                <w:sz w:val="20"/>
                <w:szCs w:val="20"/>
              </w:rPr>
            </w:pPr>
          </w:p>
        </w:tc>
      </w:tr>
      <w:tr w:rsidR="00CA174F" w:rsidRPr="007B0511" w14:paraId="60FD589B" w14:textId="77777777" w:rsidTr="00CA174F">
        <w:tc>
          <w:tcPr>
            <w:tcW w:w="1975" w:type="dxa"/>
            <w:tcBorders>
              <w:bottom w:val="single" w:sz="4" w:space="0" w:color="000000"/>
            </w:tcBorders>
          </w:tcPr>
          <w:p w14:paraId="0AB5C063" w14:textId="77777777" w:rsidR="00CA174F" w:rsidRPr="007B0511" w:rsidRDefault="00CA174F">
            <w:pPr>
              <w:rPr>
                <w:rFonts w:eastAsia="Open Sans" w:cs="Open Sans"/>
                <w:b/>
                <w:sz w:val="20"/>
                <w:szCs w:val="20"/>
              </w:rPr>
            </w:pPr>
            <w:r w:rsidRPr="007B0511">
              <w:rPr>
                <w:rFonts w:eastAsia="Open Sans" w:cs="Open Sans"/>
                <w:sz w:val="20"/>
                <w:szCs w:val="20"/>
              </w:rPr>
              <w:t>09:30 - 16:30</w:t>
            </w:r>
          </w:p>
        </w:tc>
        <w:tc>
          <w:tcPr>
            <w:tcW w:w="5108" w:type="dxa"/>
            <w:tcBorders>
              <w:bottom w:val="single" w:sz="4" w:space="0" w:color="000000"/>
            </w:tcBorders>
          </w:tcPr>
          <w:p w14:paraId="14E4D291" w14:textId="77777777" w:rsidR="00CA174F" w:rsidRPr="007B0511" w:rsidRDefault="00CA174F" w:rsidP="00CA174F">
            <w:pPr>
              <w:rPr>
                <w:rFonts w:eastAsia="Open Sans"/>
                <w:b/>
                <w:sz w:val="20"/>
                <w:szCs w:val="20"/>
              </w:rPr>
            </w:pPr>
            <w:r w:rsidRPr="007B0511">
              <w:rPr>
                <w:rFonts w:eastAsia="Open Sans" w:cs="Open Sans"/>
                <w:b/>
                <w:sz w:val="20"/>
                <w:szCs w:val="20"/>
              </w:rPr>
              <w:t xml:space="preserve">Session 6: </w:t>
            </w:r>
            <w:r w:rsidRPr="007B0511">
              <w:rPr>
                <w:rFonts w:eastAsia="Open Sans"/>
                <w:b/>
                <w:i/>
                <w:iCs/>
                <w:sz w:val="20"/>
                <w:szCs w:val="20"/>
              </w:rPr>
              <w:t>Defining of Myanmar CVA Use Cases</w:t>
            </w:r>
          </w:p>
          <w:p w14:paraId="79A242D8" w14:textId="2CD42D68" w:rsidR="00CA174F" w:rsidRPr="007B0511" w:rsidRDefault="00CA174F">
            <w:pPr>
              <w:spacing w:line="276" w:lineRule="auto"/>
              <w:rPr>
                <w:rFonts w:eastAsia="Open Sans" w:cs="Open Sans"/>
                <w:b/>
                <w:sz w:val="20"/>
                <w:szCs w:val="20"/>
              </w:rPr>
            </w:pPr>
            <w:r w:rsidRPr="007B0511">
              <w:rPr>
                <w:rFonts w:eastAsia="Open Sans" w:cs="Open Sans"/>
                <w:b/>
                <w:sz w:val="20"/>
                <w:szCs w:val="20"/>
              </w:rPr>
              <w:t xml:space="preserve">Group 1 - CVA for Nutritional Adequacy  </w:t>
            </w:r>
          </w:p>
          <w:p w14:paraId="3E933D5E" w14:textId="77777777" w:rsidR="00CA174F" w:rsidRPr="007B0511" w:rsidRDefault="00CA174F">
            <w:pPr>
              <w:rPr>
                <w:rFonts w:eastAsia="Calibri" w:cs="Calibri"/>
              </w:rPr>
            </w:pPr>
            <w:r w:rsidRPr="007B0511">
              <w:rPr>
                <w:rFonts w:eastAsia="Calibri" w:cs="Calibri"/>
              </w:rPr>
              <w:t xml:space="preserve">Group 2 - CVA </w:t>
            </w:r>
            <w:r w:rsidRPr="007B0511">
              <w:rPr>
                <w:color w:val="000000"/>
                <w:sz w:val="20"/>
                <w:szCs w:val="20"/>
              </w:rPr>
              <w:t xml:space="preserve">to facilitate access </w:t>
            </w:r>
            <w:r w:rsidRPr="007B0511">
              <w:rPr>
                <w:rFonts w:eastAsia="Calibri" w:cs="Calibri"/>
              </w:rPr>
              <w:t>to preventive health services</w:t>
            </w:r>
          </w:p>
          <w:p w14:paraId="74227C66" w14:textId="77777777" w:rsidR="00CA174F" w:rsidRPr="007B0511" w:rsidRDefault="00EB7760" w:rsidP="00EB7760">
            <w:pPr>
              <w:ind w:left="720" w:hanging="720"/>
              <w:rPr>
                <w:rFonts w:eastAsia="Calibri" w:cs="Calibri"/>
              </w:rPr>
            </w:pPr>
            <w:r w:rsidRPr="007B0511">
              <w:rPr>
                <w:rFonts w:eastAsia="Calibri" w:cs="Calibri"/>
              </w:rPr>
              <w:t>Group 3 – CVA to facilitate access to nutrition services for MAM children</w:t>
            </w:r>
          </w:p>
          <w:p w14:paraId="162358F1" w14:textId="0CAD6BF0" w:rsidR="00EB7760" w:rsidRPr="007B0511" w:rsidRDefault="00EB7760" w:rsidP="00EB7760">
            <w:pPr>
              <w:ind w:left="720" w:hanging="720"/>
              <w:rPr>
                <w:rFonts w:eastAsia="Calibri" w:cs="Calibri"/>
              </w:rPr>
            </w:pPr>
            <w:r w:rsidRPr="007B0511">
              <w:rPr>
                <w:rFonts w:eastAsia="Calibri" w:cs="Calibri"/>
              </w:rPr>
              <w:t>Group 4 - CVA to facilitate access to nutrition services for SAM children</w:t>
            </w:r>
          </w:p>
        </w:tc>
        <w:tc>
          <w:tcPr>
            <w:tcW w:w="2267" w:type="dxa"/>
            <w:tcBorders>
              <w:bottom w:val="single" w:sz="4" w:space="0" w:color="000000"/>
            </w:tcBorders>
          </w:tcPr>
          <w:p w14:paraId="6517C01C" w14:textId="77777777" w:rsidR="00CA174F" w:rsidRPr="007B0511" w:rsidRDefault="00CA174F">
            <w:pPr>
              <w:rPr>
                <w:rFonts w:eastAsia="Open Sans" w:cs="Open Sans"/>
                <w:sz w:val="20"/>
                <w:szCs w:val="20"/>
              </w:rPr>
            </w:pPr>
            <w:r w:rsidRPr="007B0511">
              <w:rPr>
                <w:rFonts w:eastAsia="Open Sans" w:cs="Open Sans"/>
                <w:sz w:val="20"/>
                <w:szCs w:val="20"/>
              </w:rPr>
              <w:t xml:space="preserve"> Group work co-facilitator</w:t>
            </w:r>
          </w:p>
          <w:p w14:paraId="5B31D29A" w14:textId="77777777" w:rsidR="00CA174F" w:rsidRPr="007B0511" w:rsidRDefault="00CA174F">
            <w:pPr>
              <w:rPr>
                <w:rFonts w:eastAsia="Open Sans" w:cs="Open Sans"/>
                <w:sz w:val="20"/>
                <w:szCs w:val="20"/>
              </w:rPr>
            </w:pPr>
          </w:p>
        </w:tc>
      </w:tr>
      <w:tr w:rsidR="00CA174F" w:rsidRPr="007B0511" w14:paraId="79C4E8B8" w14:textId="77777777" w:rsidTr="00CA174F">
        <w:tc>
          <w:tcPr>
            <w:tcW w:w="1975" w:type="dxa"/>
            <w:tcBorders>
              <w:top w:val="single" w:sz="4" w:space="0" w:color="000000"/>
              <w:bottom w:val="single" w:sz="4" w:space="0" w:color="000000"/>
            </w:tcBorders>
          </w:tcPr>
          <w:p w14:paraId="723D2180" w14:textId="77777777" w:rsidR="00CA174F" w:rsidRPr="007B0511" w:rsidRDefault="00CA174F">
            <w:pPr>
              <w:rPr>
                <w:rFonts w:eastAsia="Open Sans" w:cs="Open Sans"/>
                <w:sz w:val="20"/>
                <w:szCs w:val="20"/>
              </w:rPr>
            </w:pPr>
            <w:r w:rsidRPr="007B0511">
              <w:rPr>
                <w:rFonts w:eastAsia="Open Sans" w:cs="Open Sans"/>
                <w:sz w:val="20"/>
                <w:szCs w:val="20"/>
              </w:rPr>
              <w:t>16:30-17:00 PM</w:t>
            </w:r>
          </w:p>
        </w:tc>
        <w:tc>
          <w:tcPr>
            <w:tcW w:w="5108" w:type="dxa"/>
            <w:tcBorders>
              <w:top w:val="single" w:sz="4" w:space="0" w:color="000000"/>
              <w:bottom w:val="single" w:sz="4" w:space="0" w:color="000000"/>
            </w:tcBorders>
          </w:tcPr>
          <w:p w14:paraId="2E3B1A9F" w14:textId="77777777" w:rsidR="00CA174F" w:rsidRPr="007B0511" w:rsidRDefault="00CA174F">
            <w:pPr>
              <w:rPr>
                <w:rFonts w:eastAsia="Open Sans" w:cs="Open Sans"/>
                <w:sz w:val="20"/>
                <w:szCs w:val="20"/>
              </w:rPr>
            </w:pPr>
            <w:r w:rsidRPr="007B0511">
              <w:rPr>
                <w:rFonts w:eastAsia="Open Sans" w:cs="Open Sans"/>
                <w:sz w:val="20"/>
                <w:szCs w:val="20"/>
              </w:rPr>
              <w:t>Daily Wrap-Up and Preparations for Day 3</w:t>
            </w:r>
          </w:p>
          <w:p w14:paraId="2C7907A0" w14:textId="77777777" w:rsidR="00CA174F" w:rsidRPr="007B0511" w:rsidRDefault="00CA174F">
            <w:pPr>
              <w:rPr>
                <w:rFonts w:eastAsia="Open Sans" w:cs="Open Sans"/>
                <w:b/>
                <w:sz w:val="20"/>
                <w:szCs w:val="20"/>
              </w:rPr>
            </w:pPr>
          </w:p>
        </w:tc>
        <w:tc>
          <w:tcPr>
            <w:tcW w:w="2267" w:type="dxa"/>
            <w:tcBorders>
              <w:top w:val="single" w:sz="4" w:space="0" w:color="000000"/>
              <w:bottom w:val="single" w:sz="4" w:space="0" w:color="000000"/>
            </w:tcBorders>
          </w:tcPr>
          <w:p w14:paraId="3A265201" w14:textId="77777777" w:rsidR="00CA174F" w:rsidRPr="007B0511" w:rsidRDefault="00CA174F">
            <w:pPr>
              <w:rPr>
                <w:rFonts w:eastAsia="Open Sans" w:cs="Open Sans"/>
                <w:b/>
                <w:sz w:val="20"/>
                <w:szCs w:val="20"/>
              </w:rPr>
            </w:pPr>
            <w:r w:rsidRPr="007B0511">
              <w:rPr>
                <w:rFonts w:eastAsia="Open Sans" w:cs="Open Sans"/>
                <w:sz w:val="20"/>
                <w:szCs w:val="20"/>
              </w:rPr>
              <w:t>Kom and SLM</w:t>
            </w:r>
          </w:p>
        </w:tc>
      </w:tr>
      <w:tr w:rsidR="00CA174F" w:rsidRPr="007B0511" w14:paraId="3668ECBB" w14:textId="77777777" w:rsidTr="00CA174F">
        <w:tc>
          <w:tcPr>
            <w:tcW w:w="9350" w:type="dxa"/>
            <w:gridSpan w:val="3"/>
            <w:shd w:val="clear" w:color="auto" w:fill="92D050"/>
          </w:tcPr>
          <w:p w14:paraId="1220DB59" w14:textId="77777777" w:rsidR="00CA174F" w:rsidRPr="007B0511" w:rsidRDefault="00CA174F">
            <w:pPr>
              <w:jc w:val="center"/>
              <w:rPr>
                <w:rFonts w:eastAsia="Open Sans" w:cs="Open Sans"/>
                <w:b/>
                <w:sz w:val="20"/>
                <w:szCs w:val="20"/>
              </w:rPr>
            </w:pPr>
            <w:r w:rsidRPr="007B0511">
              <w:rPr>
                <w:rFonts w:eastAsia="Open Sans" w:cs="Open Sans"/>
                <w:b/>
                <w:sz w:val="20"/>
                <w:szCs w:val="20"/>
              </w:rPr>
              <w:t>DAY 3</w:t>
            </w:r>
          </w:p>
        </w:tc>
      </w:tr>
      <w:tr w:rsidR="00CA174F" w:rsidRPr="007B0511" w14:paraId="138E4D3D" w14:textId="77777777" w:rsidTr="00CA174F">
        <w:tc>
          <w:tcPr>
            <w:tcW w:w="1975" w:type="dxa"/>
            <w:tcBorders>
              <w:bottom w:val="single" w:sz="4" w:space="0" w:color="000000"/>
            </w:tcBorders>
          </w:tcPr>
          <w:p w14:paraId="724E8D89" w14:textId="77777777" w:rsidR="00CA174F" w:rsidRPr="007B0511" w:rsidRDefault="00CA174F">
            <w:pPr>
              <w:rPr>
                <w:rFonts w:eastAsia="Open Sans" w:cs="Open Sans"/>
                <w:sz w:val="20"/>
                <w:szCs w:val="20"/>
              </w:rPr>
            </w:pPr>
            <w:r w:rsidRPr="007B0511">
              <w:rPr>
                <w:rFonts w:eastAsia="Open Sans" w:cs="Open Sans"/>
                <w:sz w:val="20"/>
                <w:szCs w:val="20"/>
              </w:rPr>
              <w:t>9:00-9:30</w:t>
            </w:r>
          </w:p>
        </w:tc>
        <w:tc>
          <w:tcPr>
            <w:tcW w:w="5108" w:type="dxa"/>
            <w:tcBorders>
              <w:bottom w:val="single" w:sz="4" w:space="0" w:color="000000"/>
            </w:tcBorders>
          </w:tcPr>
          <w:p w14:paraId="4A98A52C" w14:textId="77777777" w:rsidR="00CA174F" w:rsidRPr="007B0511" w:rsidRDefault="00CA174F">
            <w:pPr>
              <w:rPr>
                <w:rFonts w:eastAsia="Open Sans" w:cs="Open Sans"/>
                <w:sz w:val="20"/>
                <w:szCs w:val="20"/>
              </w:rPr>
            </w:pPr>
            <w:r w:rsidRPr="007B0511">
              <w:rPr>
                <w:rFonts w:eastAsia="Open Sans" w:cs="Open Sans"/>
                <w:sz w:val="20"/>
                <w:szCs w:val="20"/>
              </w:rPr>
              <w:t>Recap of Day 1 &amp; Day 2</w:t>
            </w:r>
          </w:p>
        </w:tc>
        <w:tc>
          <w:tcPr>
            <w:tcW w:w="2267" w:type="dxa"/>
            <w:tcBorders>
              <w:bottom w:val="single" w:sz="4" w:space="0" w:color="000000"/>
            </w:tcBorders>
          </w:tcPr>
          <w:p w14:paraId="5D05721B" w14:textId="77777777" w:rsidR="00CA174F" w:rsidRPr="007B0511" w:rsidRDefault="00CA174F">
            <w:pPr>
              <w:rPr>
                <w:rFonts w:eastAsia="Open Sans" w:cs="Open Sans"/>
                <w:sz w:val="20"/>
                <w:szCs w:val="20"/>
              </w:rPr>
            </w:pPr>
            <w:r w:rsidRPr="007B0511">
              <w:rPr>
                <w:rFonts w:eastAsia="Open Sans" w:cs="Open Sans"/>
                <w:sz w:val="20"/>
                <w:szCs w:val="20"/>
              </w:rPr>
              <w:t>Kom and SLM</w:t>
            </w:r>
          </w:p>
        </w:tc>
      </w:tr>
      <w:tr w:rsidR="00CA174F" w:rsidRPr="007B0511" w14:paraId="29DE3207" w14:textId="77777777" w:rsidTr="00CA174F">
        <w:tc>
          <w:tcPr>
            <w:tcW w:w="1975" w:type="dxa"/>
            <w:tcBorders>
              <w:top w:val="single" w:sz="4" w:space="0" w:color="000000"/>
              <w:left w:val="single" w:sz="4" w:space="0" w:color="000000"/>
              <w:bottom w:val="nil"/>
              <w:right w:val="single" w:sz="4" w:space="0" w:color="000000"/>
            </w:tcBorders>
          </w:tcPr>
          <w:p w14:paraId="5535EB16" w14:textId="77777777" w:rsidR="00CA174F" w:rsidRPr="007B0511" w:rsidRDefault="00CA174F">
            <w:pPr>
              <w:rPr>
                <w:rFonts w:eastAsia="Open Sans" w:cs="Open Sans"/>
                <w:b/>
                <w:sz w:val="20"/>
                <w:szCs w:val="20"/>
              </w:rPr>
            </w:pPr>
            <w:r w:rsidRPr="007B0511">
              <w:rPr>
                <w:rFonts w:eastAsia="Open Sans" w:cs="Open Sans"/>
                <w:sz w:val="20"/>
                <w:szCs w:val="20"/>
              </w:rPr>
              <w:t xml:space="preserve">9:30-12:00 </w:t>
            </w:r>
          </w:p>
        </w:tc>
        <w:tc>
          <w:tcPr>
            <w:tcW w:w="5108" w:type="dxa"/>
            <w:tcBorders>
              <w:top w:val="single" w:sz="4" w:space="0" w:color="000000"/>
              <w:left w:val="single" w:sz="4" w:space="0" w:color="000000"/>
              <w:bottom w:val="nil"/>
              <w:right w:val="single" w:sz="4" w:space="0" w:color="000000"/>
            </w:tcBorders>
          </w:tcPr>
          <w:p w14:paraId="1088813D" w14:textId="77777777" w:rsidR="00CA174F" w:rsidRPr="007B0511" w:rsidRDefault="00CA174F">
            <w:pPr>
              <w:rPr>
                <w:rFonts w:eastAsia="Open Sans" w:cs="Open Sans"/>
                <w:sz w:val="20"/>
                <w:szCs w:val="20"/>
              </w:rPr>
            </w:pPr>
            <w:r w:rsidRPr="007B0511">
              <w:rPr>
                <w:rFonts w:eastAsia="Open Sans" w:cs="Open Sans"/>
                <w:b/>
                <w:sz w:val="20"/>
                <w:szCs w:val="20"/>
              </w:rPr>
              <w:t xml:space="preserve"> Session 6: Group presentation </w:t>
            </w:r>
          </w:p>
        </w:tc>
        <w:tc>
          <w:tcPr>
            <w:tcW w:w="2267" w:type="dxa"/>
            <w:tcBorders>
              <w:top w:val="single" w:sz="4" w:space="0" w:color="000000"/>
              <w:left w:val="single" w:sz="4" w:space="0" w:color="000000"/>
              <w:bottom w:val="nil"/>
              <w:right w:val="single" w:sz="4" w:space="0" w:color="000000"/>
            </w:tcBorders>
          </w:tcPr>
          <w:p w14:paraId="5FD2B742" w14:textId="77777777" w:rsidR="00CA174F" w:rsidRPr="007B0511" w:rsidRDefault="00DB210C">
            <w:pPr>
              <w:rPr>
                <w:rFonts w:eastAsia="Open Sans" w:cstheme="majorHAnsi"/>
                <w:b/>
                <w:sz w:val="20"/>
                <w:szCs w:val="20"/>
              </w:rPr>
            </w:pPr>
            <w:sdt>
              <w:sdtPr>
                <w:tag w:val="goog_rdk_2"/>
                <w:id w:val="-1558317815"/>
              </w:sdtPr>
              <w:sdtEndPr/>
              <w:sdtContent/>
            </w:sdt>
            <w:sdt>
              <w:sdtPr>
                <w:tag w:val="goog_rdk_3"/>
                <w:id w:val="-811337493"/>
              </w:sdtPr>
              <w:sdtEndPr/>
              <w:sdtContent/>
            </w:sdt>
            <w:r w:rsidR="00CA174F" w:rsidRPr="007B0511">
              <w:rPr>
                <w:rFonts w:cstheme="majorHAnsi"/>
              </w:rPr>
              <w:t>4 Groups</w:t>
            </w:r>
          </w:p>
        </w:tc>
      </w:tr>
      <w:tr w:rsidR="00CA174F" w:rsidRPr="007B0511" w14:paraId="6B9BF015" w14:textId="77777777" w:rsidTr="00CA174F">
        <w:tc>
          <w:tcPr>
            <w:tcW w:w="1975" w:type="dxa"/>
          </w:tcPr>
          <w:p w14:paraId="4C3211E1" w14:textId="77777777" w:rsidR="00CA174F" w:rsidRPr="007B0511" w:rsidRDefault="00CA174F">
            <w:pPr>
              <w:rPr>
                <w:rFonts w:eastAsia="Open Sans" w:cs="Open Sans"/>
                <w:b/>
                <w:sz w:val="20"/>
                <w:szCs w:val="20"/>
              </w:rPr>
            </w:pPr>
            <w:r w:rsidRPr="007B0511">
              <w:rPr>
                <w:rFonts w:eastAsia="Open Sans" w:cs="Open Sans"/>
                <w:b/>
                <w:sz w:val="20"/>
                <w:szCs w:val="20"/>
              </w:rPr>
              <w:lastRenderedPageBreak/>
              <w:t>12:00-13:00</w:t>
            </w:r>
          </w:p>
        </w:tc>
        <w:tc>
          <w:tcPr>
            <w:tcW w:w="5108" w:type="dxa"/>
          </w:tcPr>
          <w:p w14:paraId="37E4CEB0" w14:textId="77777777" w:rsidR="00CA174F" w:rsidRPr="007B0511" w:rsidRDefault="00CA174F">
            <w:pPr>
              <w:rPr>
                <w:rFonts w:eastAsia="Open Sans" w:cs="Open Sans"/>
                <w:b/>
                <w:sz w:val="20"/>
                <w:szCs w:val="20"/>
              </w:rPr>
            </w:pPr>
            <w:r w:rsidRPr="007B0511">
              <w:rPr>
                <w:rFonts w:eastAsia="Open Sans" w:cs="Open Sans"/>
                <w:b/>
                <w:sz w:val="20"/>
                <w:szCs w:val="20"/>
              </w:rPr>
              <w:t xml:space="preserve">Lunch Break </w:t>
            </w:r>
          </w:p>
        </w:tc>
        <w:tc>
          <w:tcPr>
            <w:tcW w:w="2267" w:type="dxa"/>
          </w:tcPr>
          <w:p w14:paraId="5FDA09A1" w14:textId="77777777" w:rsidR="00CA174F" w:rsidRPr="007B0511" w:rsidRDefault="00CA174F">
            <w:pPr>
              <w:rPr>
                <w:rFonts w:eastAsia="Open Sans" w:cs="Open Sans"/>
                <w:b/>
                <w:sz w:val="20"/>
                <w:szCs w:val="20"/>
              </w:rPr>
            </w:pPr>
          </w:p>
        </w:tc>
      </w:tr>
      <w:tr w:rsidR="00CA174F" w:rsidRPr="007B0511" w14:paraId="2D9F3FBA" w14:textId="77777777" w:rsidTr="00CA174F">
        <w:trPr>
          <w:trHeight w:val="926"/>
        </w:trPr>
        <w:tc>
          <w:tcPr>
            <w:tcW w:w="1975" w:type="dxa"/>
          </w:tcPr>
          <w:p w14:paraId="585651DC" w14:textId="77777777" w:rsidR="00CA174F" w:rsidRPr="007B0511" w:rsidRDefault="00CA174F">
            <w:pPr>
              <w:rPr>
                <w:rFonts w:eastAsia="Open Sans" w:cs="Open Sans"/>
                <w:sz w:val="20"/>
                <w:szCs w:val="20"/>
              </w:rPr>
            </w:pPr>
            <w:r w:rsidRPr="007B0511">
              <w:rPr>
                <w:rFonts w:eastAsia="Open Sans" w:cs="Open Sans"/>
                <w:sz w:val="20"/>
                <w:szCs w:val="20"/>
              </w:rPr>
              <w:t>13:00 – 13:40</w:t>
            </w:r>
          </w:p>
        </w:tc>
        <w:tc>
          <w:tcPr>
            <w:tcW w:w="5108" w:type="dxa"/>
          </w:tcPr>
          <w:p w14:paraId="028F450F" w14:textId="77777777" w:rsidR="00CA174F" w:rsidRPr="007B0511" w:rsidRDefault="00CA174F">
            <w:pPr>
              <w:rPr>
                <w:rFonts w:eastAsia="Open Sans" w:cs="Open Sans"/>
                <w:b/>
                <w:sz w:val="20"/>
                <w:szCs w:val="20"/>
              </w:rPr>
            </w:pPr>
            <w:r w:rsidRPr="007B0511">
              <w:rPr>
                <w:rFonts w:eastAsia="Open Sans" w:cs="Open Sans"/>
                <w:b/>
                <w:sz w:val="20"/>
                <w:szCs w:val="20"/>
              </w:rPr>
              <w:t>Session 7: Presentations on Cross Thematic Themes</w:t>
            </w:r>
          </w:p>
          <w:p w14:paraId="04DC4015" w14:textId="260D54B0" w:rsidR="00EB7760" w:rsidRPr="007B0511" w:rsidRDefault="00EB7760" w:rsidP="005F54BD">
            <w:pPr>
              <w:pStyle w:val="ListParagraph"/>
              <w:keepNext w:val="0"/>
              <w:keepLines w:val="0"/>
              <w:numPr>
                <w:ilvl w:val="0"/>
                <w:numId w:val="2"/>
              </w:numPr>
              <w:snapToGrid/>
              <w:outlineLvl w:val="9"/>
              <w:rPr>
                <w:rFonts w:ascii="Lato" w:eastAsia="Open Sans" w:hAnsi="Lato"/>
                <w:bCs/>
                <w:sz w:val="20"/>
                <w:szCs w:val="20"/>
                <w:lang w:val="en-US"/>
              </w:rPr>
            </w:pPr>
            <w:r w:rsidRPr="007B0511">
              <w:rPr>
                <w:rFonts w:ascii="Lato" w:eastAsia="Open Sans" w:hAnsi="Lato"/>
                <w:bCs/>
                <w:sz w:val="20"/>
                <w:szCs w:val="20"/>
                <w:lang w:val="en-US"/>
              </w:rPr>
              <w:t>Protection and Gender Mainstreaming</w:t>
            </w:r>
          </w:p>
          <w:p w14:paraId="4D5905A6" w14:textId="74128098" w:rsidR="00CA174F" w:rsidRPr="007B0511" w:rsidRDefault="00CA174F" w:rsidP="005F54BD">
            <w:pPr>
              <w:pStyle w:val="ListParagraph"/>
              <w:keepNext w:val="0"/>
              <w:keepLines w:val="0"/>
              <w:numPr>
                <w:ilvl w:val="0"/>
                <w:numId w:val="2"/>
              </w:numPr>
              <w:snapToGrid/>
              <w:outlineLvl w:val="9"/>
              <w:rPr>
                <w:rFonts w:ascii="Lato" w:eastAsia="Open Sans" w:hAnsi="Lato"/>
                <w:bCs/>
                <w:sz w:val="20"/>
                <w:szCs w:val="20"/>
                <w:lang w:val="en-US"/>
              </w:rPr>
            </w:pPr>
            <w:r w:rsidRPr="007B0511">
              <w:rPr>
                <w:rFonts w:ascii="Lato" w:eastAsia="Open Sans" w:hAnsi="Lato"/>
                <w:bCs/>
                <w:sz w:val="20"/>
                <w:szCs w:val="20"/>
                <w:lang w:val="en-US"/>
              </w:rPr>
              <w:t>Accountability to Affected Population</w:t>
            </w:r>
          </w:p>
        </w:tc>
        <w:tc>
          <w:tcPr>
            <w:tcW w:w="2267" w:type="dxa"/>
          </w:tcPr>
          <w:p w14:paraId="6B3A89CC" w14:textId="77777777" w:rsidR="00CA174F" w:rsidRPr="007B0511" w:rsidRDefault="00CA174F">
            <w:pPr>
              <w:rPr>
                <w:rFonts w:eastAsia="Calibri" w:cs="Calibri"/>
                <w:sz w:val="20"/>
                <w:szCs w:val="20"/>
              </w:rPr>
            </w:pPr>
          </w:p>
          <w:p w14:paraId="2BAF2BBF" w14:textId="7B338A83" w:rsidR="00EB7760" w:rsidRPr="007B0511" w:rsidRDefault="00EB7760">
            <w:pPr>
              <w:rPr>
                <w:rFonts w:eastAsia="Calibri" w:cs="Calibri"/>
                <w:sz w:val="20"/>
                <w:szCs w:val="20"/>
              </w:rPr>
            </w:pPr>
            <w:r w:rsidRPr="007B0511">
              <w:rPr>
                <w:rFonts w:eastAsia="Calibri" w:cs="Calibri"/>
                <w:sz w:val="20"/>
                <w:szCs w:val="20"/>
              </w:rPr>
              <w:t>Protection Cluster</w:t>
            </w:r>
          </w:p>
          <w:p w14:paraId="316008CB" w14:textId="1E5E0D3A" w:rsidR="00EB7760" w:rsidRPr="007B0511" w:rsidRDefault="00EB7760">
            <w:pPr>
              <w:rPr>
                <w:rFonts w:eastAsia="Calibri" w:cs="Calibri"/>
                <w:sz w:val="20"/>
                <w:szCs w:val="20"/>
              </w:rPr>
            </w:pPr>
            <w:r w:rsidRPr="007B0511">
              <w:rPr>
                <w:rFonts w:eastAsia="Calibri" w:cs="Calibri"/>
                <w:sz w:val="20"/>
                <w:szCs w:val="20"/>
              </w:rPr>
              <w:t>AAP/ CE TWG</w:t>
            </w:r>
          </w:p>
          <w:p w14:paraId="08F7FA85" w14:textId="77777777" w:rsidR="00EB7760" w:rsidRPr="007B0511" w:rsidRDefault="00EB7760">
            <w:pPr>
              <w:rPr>
                <w:rFonts w:eastAsia="Calibri" w:cs="Calibri"/>
                <w:sz w:val="20"/>
                <w:szCs w:val="20"/>
              </w:rPr>
            </w:pPr>
          </w:p>
          <w:p w14:paraId="0BA02445" w14:textId="7A2E0724" w:rsidR="00CA174F" w:rsidRPr="007B0511" w:rsidRDefault="00CA174F">
            <w:pPr>
              <w:rPr>
                <w:rFonts w:eastAsia="Calibri" w:cs="Calibri"/>
                <w:sz w:val="20"/>
                <w:szCs w:val="20"/>
              </w:rPr>
            </w:pPr>
          </w:p>
        </w:tc>
      </w:tr>
      <w:tr w:rsidR="00CA174F" w:rsidRPr="007B0511" w14:paraId="71FE7D22" w14:textId="77777777" w:rsidTr="00CA174F">
        <w:trPr>
          <w:trHeight w:val="1007"/>
        </w:trPr>
        <w:tc>
          <w:tcPr>
            <w:tcW w:w="1975" w:type="dxa"/>
          </w:tcPr>
          <w:p w14:paraId="515C8C39" w14:textId="77777777" w:rsidR="00CA174F" w:rsidRPr="007B0511" w:rsidRDefault="00CA174F">
            <w:pPr>
              <w:rPr>
                <w:rFonts w:eastAsia="Open Sans" w:cs="Open Sans"/>
                <w:sz w:val="20"/>
                <w:szCs w:val="20"/>
              </w:rPr>
            </w:pPr>
            <w:r w:rsidRPr="007B0511">
              <w:rPr>
                <w:rFonts w:eastAsia="Open Sans" w:cs="Open Sans"/>
                <w:sz w:val="20"/>
                <w:szCs w:val="20"/>
              </w:rPr>
              <w:t>13:45-14:30</w:t>
            </w:r>
          </w:p>
        </w:tc>
        <w:tc>
          <w:tcPr>
            <w:tcW w:w="5108" w:type="dxa"/>
          </w:tcPr>
          <w:p w14:paraId="667C55C0" w14:textId="77777777" w:rsidR="00CA174F" w:rsidRPr="007B0511" w:rsidRDefault="00CA174F">
            <w:pPr>
              <w:rPr>
                <w:rFonts w:eastAsia="Calibri" w:cs="Calibri"/>
                <w:b/>
              </w:rPr>
            </w:pPr>
            <w:r w:rsidRPr="007B0511">
              <w:rPr>
                <w:rFonts w:eastAsia="Open Sans" w:cs="Open Sans"/>
                <w:b/>
                <w:sz w:val="20"/>
                <w:szCs w:val="20"/>
              </w:rPr>
              <w:t xml:space="preserve">Session 8: </w:t>
            </w:r>
            <w:r w:rsidRPr="007B0511">
              <w:rPr>
                <w:rFonts w:eastAsia="Calibri" w:cs="Calibri"/>
              </w:rPr>
              <w:t>T</w:t>
            </w:r>
            <w:r w:rsidRPr="007B0511">
              <w:rPr>
                <w:rFonts w:eastAsia="Calibri" w:cs="Calibri"/>
                <w:b/>
              </w:rPr>
              <w:t xml:space="preserve">ask Force for Nutrition in Emergencies CVA </w:t>
            </w:r>
          </w:p>
          <w:p w14:paraId="4AF287EF" w14:textId="77777777" w:rsidR="00CA174F" w:rsidRPr="007B0511" w:rsidRDefault="00CA174F">
            <w:pPr>
              <w:rPr>
                <w:rFonts w:eastAsia="Calibri" w:cs="Calibri"/>
              </w:rPr>
            </w:pPr>
            <w:r w:rsidRPr="007B0511">
              <w:rPr>
                <w:rFonts w:eastAsia="Calibri" w:cs="Calibri"/>
              </w:rPr>
              <w:t>a.</w:t>
            </w:r>
            <w:r w:rsidRPr="007B0511">
              <w:rPr>
                <w:rFonts w:eastAsia="Calibri" w:cs="Calibri"/>
              </w:rPr>
              <w:tab/>
              <w:t>Presentation on Terms of Reference (ToR)</w:t>
            </w:r>
          </w:p>
          <w:p w14:paraId="5555A5DA" w14:textId="77777777" w:rsidR="00CA174F" w:rsidRPr="007B0511" w:rsidRDefault="00CA174F">
            <w:pPr>
              <w:rPr>
                <w:rFonts w:eastAsia="Open Sans" w:cs="Open Sans"/>
                <w:b/>
                <w:sz w:val="20"/>
                <w:szCs w:val="20"/>
              </w:rPr>
            </w:pPr>
            <w:r w:rsidRPr="007B0511">
              <w:rPr>
                <w:rFonts w:eastAsia="Calibri" w:cs="Calibri"/>
              </w:rPr>
              <w:t>b.</w:t>
            </w:r>
            <w:r w:rsidRPr="007B0511">
              <w:rPr>
                <w:rFonts w:eastAsia="Calibri" w:cs="Calibri"/>
              </w:rPr>
              <w:tab/>
              <w:t>Composition of the Task Force</w:t>
            </w:r>
          </w:p>
        </w:tc>
        <w:tc>
          <w:tcPr>
            <w:tcW w:w="2267" w:type="dxa"/>
          </w:tcPr>
          <w:p w14:paraId="51C887B7" w14:textId="77777777" w:rsidR="00CA174F" w:rsidRPr="007B0511" w:rsidRDefault="00CA174F">
            <w:pPr>
              <w:rPr>
                <w:rFonts w:eastAsia="Open Sans" w:cs="Open Sans"/>
                <w:b/>
                <w:sz w:val="20"/>
                <w:szCs w:val="20"/>
              </w:rPr>
            </w:pPr>
            <w:r w:rsidRPr="007B0511">
              <w:rPr>
                <w:rFonts w:eastAsia="Calibri" w:cs="Calibri"/>
              </w:rPr>
              <w:t>Kom</w:t>
            </w:r>
          </w:p>
        </w:tc>
      </w:tr>
      <w:tr w:rsidR="00CA174F" w:rsidRPr="007B0511" w14:paraId="57944CFA" w14:textId="77777777" w:rsidTr="00CA174F">
        <w:tc>
          <w:tcPr>
            <w:tcW w:w="1975" w:type="dxa"/>
            <w:tcBorders>
              <w:top w:val="single" w:sz="4" w:space="0" w:color="000000"/>
              <w:bottom w:val="single" w:sz="4" w:space="0" w:color="000000"/>
            </w:tcBorders>
          </w:tcPr>
          <w:p w14:paraId="4B1381A1" w14:textId="77777777" w:rsidR="00CA174F" w:rsidRPr="007B0511" w:rsidRDefault="00CA174F">
            <w:pPr>
              <w:rPr>
                <w:rFonts w:eastAsia="Calibri" w:cs="Calibri"/>
              </w:rPr>
            </w:pPr>
            <w:r w:rsidRPr="007B0511">
              <w:rPr>
                <w:rFonts w:eastAsia="Calibri" w:cs="Calibri"/>
              </w:rPr>
              <w:t>14:30 - 15:50            </w:t>
            </w:r>
          </w:p>
        </w:tc>
        <w:tc>
          <w:tcPr>
            <w:tcW w:w="5108" w:type="dxa"/>
            <w:tcBorders>
              <w:top w:val="single" w:sz="4" w:space="0" w:color="000000"/>
              <w:bottom w:val="single" w:sz="4" w:space="0" w:color="000000"/>
            </w:tcBorders>
          </w:tcPr>
          <w:p w14:paraId="4660D621" w14:textId="77777777" w:rsidR="00CA174F" w:rsidRPr="007B0511" w:rsidRDefault="00CA174F">
            <w:pPr>
              <w:spacing w:line="276" w:lineRule="auto"/>
              <w:rPr>
                <w:rFonts w:eastAsia="Calibri" w:cs="Calibri"/>
                <w:b/>
                <w:bCs/>
              </w:rPr>
            </w:pPr>
            <w:r w:rsidRPr="007B0511">
              <w:rPr>
                <w:rFonts w:eastAsia="Calibri" w:cs="Calibri"/>
                <w:b/>
                <w:bCs/>
              </w:rPr>
              <w:t xml:space="preserve">Session 9: Planning &amp; General </w:t>
            </w:r>
          </w:p>
          <w:p w14:paraId="0C038543" w14:textId="77777777" w:rsidR="00CA174F" w:rsidRPr="007B0511" w:rsidRDefault="00CA174F" w:rsidP="005F54BD">
            <w:pPr>
              <w:pStyle w:val="ListParagraph"/>
              <w:keepNext w:val="0"/>
              <w:keepLines w:val="0"/>
              <w:numPr>
                <w:ilvl w:val="0"/>
                <w:numId w:val="1"/>
              </w:numPr>
              <w:snapToGrid/>
              <w:outlineLvl w:val="9"/>
              <w:rPr>
                <w:rFonts w:ascii="Lato" w:eastAsia="Calibri" w:hAnsi="Lato" w:cs="Calibri"/>
                <w:lang w:val="en-US"/>
              </w:rPr>
            </w:pPr>
            <w:r w:rsidRPr="007B0511">
              <w:rPr>
                <w:rFonts w:ascii="Lato" w:eastAsia="Calibri" w:hAnsi="Lato" w:cs="Calibri"/>
                <w:lang w:val="en-US"/>
              </w:rPr>
              <w:t>Action Plan</w:t>
            </w:r>
          </w:p>
          <w:p w14:paraId="7E1C0393" w14:textId="77777777" w:rsidR="00CA174F" w:rsidRPr="007B0511" w:rsidRDefault="00CA174F" w:rsidP="005F54BD">
            <w:pPr>
              <w:numPr>
                <w:ilvl w:val="0"/>
                <w:numId w:val="1"/>
              </w:numPr>
              <w:spacing w:after="0" w:line="276" w:lineRule="auto"/>
              <w:rPr>
                <w:rFonts w:eastAsia="Calibri" w:cs="Calibri"/>
              </w:rPr>
            </w:pPr>
            <w:r w:rsidRPr="007B0511">
              <w:rPr>
                <w:rFonts w:eastAsia="Calibri" w:cs="Calibri"/>
              </w:rPr>
              <w:t>Identify topics /issues that need further research or additional work after the workshop</w:t>
            </w:r>
          </w:p>
          <w:p w14:paraId="13C20D00" w14:textId="77777777" w:rsidR="00CA174F" w:rsidRPr="007B0511" w:rsidRDefault="00CA174F" w:rsidP="005F54BD">
            <w:pPr>
              <w:numPr>
                <w:ilvl w:val="0"/>
                <w:numId w:val="1"/>
              </w:numPr>
              <w:spacing w:after="0" w:line="276" w:lineRule="auto"/>
              <w:rPr>
                <w:rFonts w:eastAsia="Calibri" w:cs="Calibri"/>
              </w:rPr>
            </w:pPr>
            <w:r w:rsidRPr="007B0511">
              <w:rPr>
                <w:rFonts w:eastAsia="Calibri" w:cs="Calibri"/>
              </w:rPr>
              <w:t>AOB</w:t>
            </w:r>
          </w:p>
        </w:tc>
        <w:tc>
          <w:tcPr>
            <w:tcW w:w="2267" w:type="dxa"/>
            <w:tcBorders>
              <w:top w:val="single" w:sz="4" w:space="0" w:color="000000"/>
              <w:bottom w:val="single" w:sz="4" w:space="0" w:color="000000"/>
            </w:tcBorders>
          </w:tcPr>
          <w:p w14:paraId="16797060" w14:textId="77777777" w:rsidR="00CA174F" w:rsidRPr="007B0511" w:rsidRDefault="00CA174F">
            <w:pPr>
              <w:rPr>
                <w:rFonts w:eastAsia="Open Sans" w:cs="Open Sans"/>
                <w:sz w:val="20"/>
                <w:szCs w:val="20"/>
              </w:rPr>
            </w:pPr>
            <w:r w:rsidRPr="007B0511">
              <w:rPr>
                <w:rFonts w:eastAsia="Open Sans" w:cs="Open Sans"/>
                <w:sz w:val="20"/>
                <w:szCs w:val="20"/>
              </w:rPr>
              <w:t xml:space="preserve">Plenary </w:t>
            </w:r>
          </w:p>
        </w:tc>
      </w:tr>
      <w:tr w:rsidR="00CA174F" w:rsidRPr="007B0511" w14:paraId="1ED5434F" w14:textId="77777777" w:rsidTr="00CA174F">
        <w:tc>
          <w:tcPr>
            <w:tcW w:w="1975" w:type="dxa"/>
          </w:tcPr>
          <w:p w14:paraId="6F59F486" w14:textId="77777777" w:rsidR="00CA174F" w:rsidRPr="007B0511" w:rsidRDefault="00CA174F">
            <w:pPr>
              <w:rPr>
                <w:rFonts w:eastAsia="Open Sans" w:cs="Open Sans"/>
                <w:b/>
                <w:sz w:val="20"/>
                <w:szCs w:val="20"/>
              </w:rPr>
            </w:pPr>
            <w:r w:rsidRPr="007B0511">
              <w:rPr>
                <w:rFonts w:eastAsia="Open Sans" w:cs="Open Sans"/>
                <w:sz w:val="20"/>
                <w:szCs w:val="20"/>
              </w:rPr>
              <w:t>15:50 – 16:00</w:t>
            </w:r>
          </w:p>
        </w:tc>
        <w:tc>
          <w:tcPr>
            <w:tcW w:w="5108" w:type="dxa"/>
          </w:tcPr>
          <w:p w14:paraId="6906B37C" w14:textId="77777777" w:rsidR="00CA174F" w:rsidRPr="007B0511" w:rsidRDefault="00CA174F">
            <w:pPr>
              <w:rPr>
                <w:rFonts w:eastAsia="Open Sans" w:cs="Open Sans"/>
                <w:b/>
                <w:sz w:val="20"/>
                <w:szCs w:val="20"/>
              </w:rPr>
            </w:pPr>
            <w:r w:rsidRPr="007B0511">
              <w:rPr>
                <w:rFonts w:eastAsia="Open Sans" w:cs="Open Sans"/>
                <w:b/>
                <w:sz w:val="20"/>
                <w:szCs w:val="20"/>
              </w:rPr>
              <w:t xml:space="preserve">Closing  </w:t>
            </w:r>
          </w:p>
        </w:tc>
        <w:tc>
          <w:tcPr>
            <w:tcW w:w="2267" w:type="dxa"/>
          </w:tcPr>
          <w:p w14:paraId="41209129" w14:textId="77777777" w:rsidR="00CA174F" w:rsidRPr="007B0511" w:rsidRDefault="00CA174F">
            <w:pPr>
              <w:rPr>
                <w:rFonts w:eastAsia="Open Sans" w:cs="Open Sans"/>
                <w:sz w:val="20"/>
                <w:szCs w:val="20"/>
              </w:rPr>
            </w:pPr>
          </w:p>
        </w:tc>
      </w:tr>
    </w:tbl>
    <w:p w14:paraId="7683EAD6" w14:textId="77777777" w:rsidR="00274630" w:rsidRPr="007B0511" w:rsidRDefault="00274630" w:rsidP="00274630">
      <w:pPr>
        <w:rPr>
          <w:rFonts w:eastAsia="Open Sans" w:cs="Open Sans"/>
        </w:rPr>
      </w:pPr>
      <w:r w:rsidRPr="007B0511">
        <w:rPr>
          <w:rFonts w:eastAsia="Open Sans" w:cs="Open Sans"/>
        </w:rPr>
        <w:t xml:space="preserve"> </w:t>
      </w:r>
    </w:p>
    <w:p w14:paraId="126660BB" w14:textId="77777777" w:rsidR="00274630" w:rsidRPr="007B0511" w:rsidRDefault="00274630">
      <w:pPr>
        <w:sectPr w:rsidR="00274630" w:rsidRPr="007B0511" w:rsidSect="003C2176">
          <w:pgSz w:w="11906" w:h="16838" w:code="9"/>
          <w:pgMar w:top="1440" w:right="1080" w:bottom="1440" w:left="1080" w:header="720" w:footer="720" w:gutter="0"/>
          <w:cols w:space="720"/>
          <w:docGrid w:linePitch="360"/>
        </w:sectPr>
      </w:pPr>
    </w:p>
    <w:p w14:paraId="2A10BFF5" w14:textId="76E2C374" w:rsidR="007B2895" w:rsidRPr="007B0511" w:rsidRDefault="007B2895" w:rsidP="007B2895">
      <w:pPr>
        <w:pStyle w:val="Heading2"/>
        <w:rPr>
          <w:rFonts w:ascii="Lato" w:hAnsi="Lato"/>
          <w:sz w:val="36"/>
          <w:szCs w:val="36"/>
          <w:lang w:val="en-US"/>
        </w:rPr>
      </w:pPr>
    </w:p>
    <w:p w14:paraId="7E76424A" w14:textId="22ECF59C" w:rsidR="00703724" w:rsidRPr="007B0511" w:rsidRDefault="00703724" w:rsidP="00703724">
      <w:pPr>
        <w:rPr>
          <w:b/>
          <w:bCs/>
        </w:rPr>
      </w:pPr>
      <w:r w:rsidRPr="007B0511">
        <w:rPr>
          <w:b/>
          <w:bCs/>
        </w:rPr>
        <w:t>Workshop Annex 2. Participants List</w:t>
      </w:r>
    </w:p>
    <w:tbl>
      <w:tblPr>
        <w:tblW w:w="0" w:type="dxa"/>
        <w:tblCellMar>
          <w:left w:w="0" w:type="dxa"/>
          <w:right w:w="0" w:type="dxa"/>
        </w:tblCellMar>
        <w:tblLook w:val="04A0" w:firstRow="1" w:lastRow="0" w:firstColumn="1" w:lastColumn="0" w:noHBand="0" w:noVBand="1"/>
      </w:tblPr>
      <w:tblGrid>
        <w:gridCol w:w="431"/>
        <w:gridCol w:w="1659"/>
        <w:gridCol w:w="2159"/>
        <w:gridCol w:w="3891"/>
        <w:gridCol w:w="1590"/>
      </w:tblGrid>
      <w:tr w:rsidR="007B2895" w:rsidRPr="007B0511" w14:paraId="34FC6820" w14:textId="77777777" w:rsidTr="00FE16FE">
        <w:trPr>
          <w:trHeight w:val="270"/>
        </w:trPr>
        <w:tc>
          <w:tcPr>
            <w:tcW w:w="0" w:type="auto"/>
            <w:gridSpan w:val="3"/>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FA0D280" w14:textId="77777777" w:rsidR="007B2895" w:rsidRPr="007B0511" w:rsidRDefault="007B2895" w:rsidP="00FE16FE">
            <w:pPr>
              <w:spacing w:after="0" w:line="240" w:lineRule="auto"/>
              <w:rPr>
                <w:rFonts w:eastAsia="Times New Roman" w:cs="Times New Roman"/>
                <w:b/>
                <w:bCs/>
                <w:kern w:val="0"/>
                <w:lang w:bidi="my-MM"/>
                <w14:ligatures w14:val="none"/>
              </w:rPr>
            </w:pPr>
            <w:r w:rsidRPr="007B0511">
              <w:rPr>
                <w:rFonts w:eastAsia="Times New Roman" w:cs="Times New Roman"/>
                <w:b/>
                <w:bCs/>
                <w:kern w:val="0"/>
                <w:lang w:bidi="my-MM"/>
                <w14:ligatures w14:val="none"/>
              </w:rPr>
              <w:t>Participants by Groups</w:t>
            </w:r>
          </w:p>
        </w:tc>
        <w:tc>
          <w:tcPr>
            <w:tcW w:w="0" w:type="auto"/>
            <w:gridSpan w:val="2"/>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7B850B1" w14:textId="77777777" w:rsidR="007B2895" w:rsidRPr="007B0511" w:rsidRDefault="007B2895" w:rsidP="00FE16FE">
            <w:pPr>
              <w:spacing w:after="0" w:line="240" w:lineRule="auto"/>
              <w:jc w:val="right"/>
              <w:rPr>
                <w:rFonts w:eastAsia="Times New Roman" w:cs="Times New Roman"/>
                <w:b/>
                <w:bCs/>
                <w:kern w:val="0"/>
                <w:lang w:bidi="my-MM"/>
                <w14:ligatures w14:val="none"/>
              </w:rPr>
            </w:pPr>
            <w:r w:rsidRPr="007B0511">
              <w:rPr>
                <w:rFonts w:eastAsia="Times New Roman" w:cs="Times New Roman"/>
                <w:b/>
                <w:bCs/>
                <w:kern w:val="0"/>
                <w:lang w:bidi="my-MM"/>
                <w14:ligatures w14:val="none"/>
              </w:rPr>
              <w:t>Date: 24/Aug/2023</w:t>
            </w:r>
          </w:p>
        </w:tc>
      </w:tr>
      <w:tr w:rsidR="007B2895" w:rsidRPr="007B0511" w14:paraId="749EEB3B"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335496" w14:textId="77777777" w:rsidR="007B2895" w:rsidRPr="007B0511" w:rsidRDefault="007B2895" w:rsidP="00FE16FE">
            <w:pPr>
              <w:spacing w:after="0" w:line="240" w:lineRule="auto"/>
              <w:rPr>
                <w:rFonts w:eastAsia="Times New Roman" w:cs="Times New Roman"/>
                <w:b/>
                <w:bCs/>
                <w:kern w:val="0"/>
                <w:lang w:bidi="my-MM"/>
                <w14:ligatures w14:val="none"/>
              </w:rPr>
            </w:pPr>
            <w:r w:rsidRPr="007B0511">
              <w:rPr>
                <w:rFonts w:eastAsia="Times New Roman" w:cs="Times New Roman"/>
                <w:b/>
                <w:bCs/>
                <w:kern w:val="0"/>
                <w:lang w:bidi="my-MM"/>
                <w14:ligatures w14:val="none"/>
              </w:rPr>
              <w:t>No.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40EAD7" w14:textId="77777777" w:rsidR="007B2895" w:rsidRPr="007B0511" w:rsidRDefault="007B2895" w:rsidP="00FE16FE">
            <w:pPr>
              <w:spacing w:after="0" w:line="240" w:lineRule="auto"/>
              <w:rPr>
                <w:rFonts w:eastAsia="Times New Roman" w:cs="Times New Roman"/>
                <w:b/>
                <w:bCs/>
                <w:kern w:val="0"/>
                <w:lang w:bidi="my-MM"/>
                <w14:ligatures w14:val="none"/>
              </w:rPr>
            </w:pPr>
            <w:r w:rsidRPr="007B0511">
              <w:rPr>
                <w:rFonts w:eastAsia="Times New Roman" w:cs="Times New Roman"/>
                <w:b/>
                <w:bCs/>
                <w:kern w:val="0"/>
                <w:lang w:bidi="my-MM"/>
                <w14:ligatures w14:val="none"/>
              </w:rPr>
              <w:t>Name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7E069B" w14:textId="77777777" w:rsidR="007B2895" w:rsidRPr="007B0511" w:rsidRDefault="007B2895" w:rsidP="00FE16FE">
            <w:pPr>
              <w:spacing w:after="0" w:line="240" w:lineRule="auto"/>
              <w:rPr>
                <w:rFonts w:eastAsia="Times New Roman" w:cs="Times New Roman"/>
                <w:b/>
                <w:bCs/>
                <w:kern w:val="0"/>
                <w:lang w:bidi="my-MM"/>
                <w14:ligatures w14:val="none"/>
              </w:rPr>
            </w:pPr>
            <w:r w:rsidRPr="007B0511">
              <w:rPr>
                <w:rFonts w:eastAsia="Times New Roman" w:cs="Times New Roman"/>
                <w:b/>
                <w:bCs/>
                <w:kern w:val="0"/>
                <w:lang w:bidi="my-MM"/>
                <w14:ligatures w14:val="none"/>
              </w:rPr>
              <w:t>Name of Organization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4D0539C" w14:textId="77777777" w:rsidR="007B2895" w:rsidRPr="007B0511" w:rsidRDefault="007B2895" w:rsidP="00FE16FE">
            <w:pPr>
              <w:spacing w:after="0" w:line="240" w:lineRule="auto"/>
              <w:rPr>
                <w:rFonts w:eastAsia="Times New Roman" w:cs="Times New Roman"/>
                <w:b/>
                <w:bCs/>
                <w:kern w:val="0"/>
                <w:lang w:bidi="my-MM"/>
                <w14:ligatures w14:val="none"/>
              </w:rPr>
            </w:pPr>
            <w:r w:rsidRPr="007B0511">
              <w:rPr>
                <w:rFonts w:eastAsia="Times New Roman" w:cs="Times New Roman"/>
                <w:b/>
                <w:bCs/>
                <w:kern w:val="0"/>
                <w:lang w:bidi="my-MM"/>
                <w14:ligatures w14:val="none"/>
              </w:rPr>
              <w:t>Email</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7243F57" w14:textId="77777777" w:rsidR="007B2895" w:rsidRPr="007B0511" w:rsidRDefault="007B2895" w:rsidP="00FE16FE">
            <w:pPr>
              <w:spacing w:after="0" w:line="240" w:lineRule="auto"/>
              <w:rPr>
                <w:rFonts w:eastAsia="Times New Roman" w:cs="Times New Roman"/>
                <w:b/>
                <w:bCs/>
                <w:kern w:val="0"/>
                <w:lang w:bidi="my-MM"/>
                <w14:ligatures w14:val="none"/>
              </w:rPr>
            </w:pPr>
            <w:r w:rsidRPr="007B0511">
              <w:rPr>
                <w:rFonts w:eastAsia="Times New Roman" w:cs="Times New Roman"/>
                <w:b/>
                <w:bCs/>
                <w:kern w:val="0"/>
                <w:lang w:bidi="my-MM"/>
                <w14:ligatures w14:val="none"/>
              </w:rPr>
              <w:t>Remark</w:t>
            </w:r>
          </w:p>
        </w:tc>
      </w:tr>
      <w:tr w:rsidR="007B2895" w:rsidRPr="007B0511" w14:paraId="13CFABD7"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FB33597" w14:textId="77777777" w:rsidR="007B2895" w:rsidRPr="007B0511" w:rsidRDefault="007B2895" w:rsidP="00FE16FE">
            <w:pPr>
              <w:spacing w:after="0" w:line="240" w:lineRule="auto"/>
              <w:rPr>
                <w:rFonts w:eastAsia="Times New Roman" w:cs="Times New Roman"/>
                <w:b/>
                <w:bCs/>
                <w:kern w:val="0"/>
                <w:lang w:bidi="my-MM"/>
                <w14:ligatures w14:val="none"/>
              </w:rPr>
            </w:pPr>
          </w:p>
        </w:tc>
        <w:tc>
          <w:tcPr>
            <w:tcW w:w="0" w:type="auto"/>
            <w:gridSpan w:val="3"/>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91B9EC5" w14:textId="77777777" w:rsidR="007B2895" w:rsidRPr="007B0511" w:rsidRDefault="007B2895" w:rsidP="00FE16FE">
            <w:pPr>
              <w:spacing w:after="0" w:line="240" w:lineRule="auto"/>
              <w:rPr>
                <w:rFonts w:eastAsia="Times New Roman" w:cs="Times New Roman"/>
                <w:b/>
                <w:bCs/>
                <w:kern w:val="0"/>
                <w:lang w:bidi="my-MM"/>
                <w14:ligatures w14:val="none"/>
              </w:rPr>
            </w:pPr>
            <w:r w:rsidRPr="007B0511">
              <w:rPr>
                <w:rFonts w:eastAsia="Times New Roman" w:cs="Times New Roman"/>
                <w:b/>
                <w:bCs/>
                <w:kern w:val="0"/>
                <w:lang w:bidi="my-MM"/>
                <w14:ligatures w14:val="none"/>
              </w:rPr>
              <w:t>Overall SUPPORT and ZOOM control</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3A6DF41" w14:textId="77777777" w:rsidR="007B2895" w:rsidRPr="007B0511" w:rsidRDefault="007B2895" w:rsidP="00FE16FE">
            <w:pPr>
              <w:spacing w:after="0" w:line="240" w:lineRule="auto"/>
              <w:rPr>
                <w:rFonts w:eastAsia="Times New Roman" w:cs="Times New Roman"/>
                <w:b/>
                <w:bCs/>
                <w:kern w:val="0"/>
                <w:lang w:bidi="my-MM"/>
                <w14:ligatures w14:val="none"/>
              </w:rPr>
            </w:pPr>
          </w:p>
        </w:tc>
      </w:tr>
      <w:tr w:rsidR="007B2895" w:rsidRPr="007B0511" w14:paraId="01A98169"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0007D0"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386C97"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Sai Boon Watt Sai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4AA8EE9"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UNICEF</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E394102"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sboon@unicef.org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7FC4B1" w14:textId="77777777" w:rsidR="007B2895" w:rsidRPr="007B0511" w:rsidRDefault="007B2895" w:rsidP="00FE16FE">
            <w:pPr>
              <w:spacing w:after="0" w:line="240" w:lineRule="auto"/>
              <w:rPr>
                <w:rFonts w:eastAsia="Times New Roman" w:cs="Times New Roman"/>
                <w:kern w:val="0"/>
                <w:lang w:bidi="my-MM"/>
                <w14:ligatures w14:val="none"/>
              </w:rPr>
            </w:pPr>
          </w:p>
        </w:tc>
      </w:tr>
      <w:tr w:rsidR="007B2895" w:rsidRPr="007B0511" w14:paraId="0AD1C7EA"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D65B14" w14:textId="77777777" w:rsidR="007B2895" w:rsidRPr="007B0511" w:rsidRDefault="007B2895" w:rsidP="00FE16FE">
            <w:pPr>
              <w:spacing w:after="0" w:line="240" w:lineRule="auto"/>
              <w:rPr>
                <w:rFonts w:eastAsia="Times New Roman" w:cs="Times New Roman"/>
                <w:kern w:val="0"/>
                <w:sz w:val="20"/>
                <w:szCs w:val="20"/>
                <w:lang w:bidi="my-MM"/>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710879" w14:textId="77777777" w:rsidR="007B2895" w:rsidRPr="007B0511" w:rsidRDefault="007B2895" w:rsidP="00FE16FE">
            <w:pPr>
              <w:spacing w:after="0" w:line="240" w:lineRule="auto"/>
              <w:rPr>
                <w:rFonts w:eastAsia="Times New Roman" w:cs="Times New Roman"/>
                <w:kern w:val="0"/>
                <w:sz w:val="20"/>
                <w:szCs w:val="20"/>
                <w:lang w:bidi="my-MM"/>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B5EF913" w14:textId="77777777" w:rsidR="007B2895" w:rsidRPr="007B0511" w:rsidRDefault="007B2895" w:rsidP="00FE16FE">
            <w:pPr>
              <w:spacing w:after="0" w:line="240" w:lineRule="auto"/>
              <w:rPr>
                <w:rFonts w:eastAsia="Times New Roman" w:cs="Times New Roman"/>
                <w:kern w:val="0"/>
                <w:sz w:val="20"/>
                <w:szCs w:val="20"/>
                <w:lang w:bidi="my-MM"/>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86360E" w14:textId="77777777" w:rsidR="007B2895" w:rsidRPr="007B0511" w:rsidRDefault="007B2895" w:rsidP="00FE16FE">
            <w:pPr>
              <w:spacing w:after="0" w:line="240" w:lineRule="auto"/>
              <w:rPr>
                <w:rFonts w:eastAsia="Times New Roman" w:cs="Times New Roman"/>
                <w:kern w:val="0"/>
                <w:sz w:val="20"/>
                <w:szCs w:val="20"/>
                <w:lang w:bidi="my-MM"/>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8D47D24" w14:textId="77777777" w:rsidR="007B2895" w:rsidRPr="007B0511" w:rsidRDefault="007B2895" w:rsidP="00FE16FE">
            <w:pPr>
              <w:spacing w:after="0" w:line="240" w:lineRule="auto"/>
              <w:rPr>
                <w:rFonts w:eastAsia="Times New Roman" w:cs="Times New Roman"/>
                <w:kern w:val="0"/>
                <w:sz w:val="20"/>
                <w:szCs w:val="20"/>
                <w:lang w:bidi="my-MM"/>
                <w14:ligatures w14:val="none"/>
              </w:rPr>
            </w:pPr>
          </w:p>
        </w:tc>
      </w:tr>
      <w:tr w:rsidR="007B2895" w:rsidRPr="007B0511" w14:paraId="5FCDCD98"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CEF1CF9" w14:textId="77777777" w:rsidR="007B2895" w:rsidRPr="007B0511" w:rsidRDefault="007B2895" w:rsidP="00FE16FE">
            <w:pPr>
              <w:spacing w:after="0" w:line="240" w:lineRule="auto"/>
              <w:rPr>
                <w:rFonts w:eastAsia="Times New Roman" w:cs="Times New Roman"/>
                <w:kern w:val="0"/>
                <w:sz w:val="20"/>
                <w:szCs w:val="20"/>
                <w:lang w:bidi="my-MM"/>
                <w14:ligatures w14:val="none"/>
              </w:rPr>
            </w:pPr>
          </w:p>
        </w:tc>
        <w:tc>
          <w:tcPr>
            <w:tcW w:w="0" w:type="auto"/>
            <w:gridSpan w:val="3"/>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C374270" w14:textId="1BCC3ACA" w:rsidR="007B2895" w:rsidRPr="007B0511" w:rsidRDefault="007B2895" w:rsidP="00FE16FE">
            <w:pPr>
              <w:spacing w:after="0" w:line="240" w:lineRule="auto"/>
              <w:rPr>
                <w:rFonts w:eastAsia="Times New Roman" w:cs="Times New Roman"/>
                <w:b/>
                <w:bCs/>
                <w:kern w:val="0"/>
                <w:lang w:bidi="my-MM"/>
                <w14:ligatures w14:val="none"/>
              </w:rPr>
            </w:pPr>
            <w:r w:rsidRPr="007B0511">
              <w:rPr>
                <w:rFonts w:eastAsia="Times New Roman" w:cs="Times New Roman"/>
                <w:b/>
                <w:bCs/>
                <w:kern w:val="0"/>
                <w:lang w:bidi="my-MM"/>
                <w14:ligatures w14:val="none"/>
              </w:rPr>
              <w:t xml:space="preserve">Group 1 - CVA </w:t>
            </w:r>
            <w:r w:rsidR="00EB7760" w:rsidRPr="007B0511">
              <w:rPr>
                <w:rFonts w:eastAsia="Times New Roman" w:cs="Times New Roman"/>
                <w:b/>
                <w:bCs/>
                <w:kern w:val="0"/>
                <w:lang w:bidi="my-MM"/>
                <w14:ligatures w14:val="none"/>
              </w:rPr>
              <w:t>for nutrition adequacy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FCB58E"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IN PERSON</w:t>
            </w:r>
          </w:p>
        </w:tc>
      </w:tr>
      <w:tr w:rsidR="007B2895" w:rsidRPr="007B0511" w14:paraId="284B5A28"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5552538"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E81CFDA"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Swe Linn Maung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0FB770"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GNC/CotD Presenter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FD03FA"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swelinn.maung@savethechildren.org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8E61D1"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Facilitator Nut</w:t>
            </w:r>
          </w:p>
        </w:tc>
      </w:tr>
      <w:tr w:rsidR="007B2895" w:rsidRPr="007B0511" w14:paraId="43EDC5AC"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DCE7217"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FBDA16"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Ria LEWIS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FEA500B"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WFP/CWG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0D6581"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ria.lewis@wfp.org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BFBBF7C" w14:textId="77777777" w:rsidR="007B2895" w:rsidRPr="007B0511" w:rsidRDefault="007B2895" w:rsidP="00FE16FE">
            <w:pPr>
              <w:spacing w:after="0" w:line="240" w:lineRule="auto"/>
              <w:rPr>
                <w:rFonts w:eastAsia="Times New Roman" w:cs="Times New Roman"/>
                <w:color w:val="FF00FF"/>
                <w:kern w:val="0"/>
                <w:lang w:bidi="my-MM"/>
                <w14:ligatures w14:val="none"/>
              </w:rPr>
            </w:pPr>
            <w:r w:rsidRPr="007B0511">
              <w:rPr>
                <w:rFonts w:eastAsia="Times New Roman" w:cs="Times New Roman"/>
                <w:kern w:val="0"/>
                <w:lang w:bidi="my-MM"/>
                <w14:ligatures w14:val="none"/>
              </w:rPr>
              <w:t>Co-Facilitator CVA</w:t>
            </w:r>
          </w:p>
        </w:tc>
      </w:tr>
      <w:tr w:rsidR="007B2895" w:rsidRPr="007B0511" w14:paraId="194D9E3E"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3C53838"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00A82EE"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Kyaw Zaw Tun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E4D9BFB"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UNICEF RAK Cluster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65DCE1"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kytun@unicef.org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8D75E69"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Presenter</w:t>
            </w:r>
          </w:p>
        </w:tc>
      </w:tr>
      <w:tr w:rsidR="007B2895" w:rsidRPr="007B0511" w14:paraId="3A8A42AF"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1BC6E90"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4EA7370"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Ms. Khin Khin Wint Aung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15B6374"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WFP/Nutrition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A035C30"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khinkhinwint.aung@wfp.org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F491CD"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Note Taker</w:t>
            </w:r>
          </w:p>
        </w:tc>
      </w:tr>
      <w:tr w:rsidR="007B2895" w:rsidRPr="007B0511" w14:paraId="7DF9FE01"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52D0BEA"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C2EEFC5"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Aung Thu Ya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FB11149"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HPA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6F10A9D"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AungThuYa@healthpovertyaction.org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3114DC" w14:textId="7C12F486" w:rsidR="007B2895" w:rsidRPr="007B0511" w:rsidRDefault="00D7327D"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Timekeeper</w:t>
            </w:r>
          </w:p>
        </w:tc>
      </w:tr>
      <w:tr w:rsidR="007B2895" w:rsidRPr="007B0511" w14:paraId="7E77CEE5"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A927481"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F8C7AB6"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Naw Shirley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4C9014"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UNICEF</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4021B0"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nshirley@unicef.org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E592F49"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Observer</w:t>
            </w:r>
          </w:p>
        </w:tc>
      </w:tr>
      <w:tr w:rsidR="007B2895" w:rsidRPr="007B0511" w14:paraId="762A5FCA"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5491D0D" w14:textId="77777777" w:rsidR="007B2895" w:rsidRPr="007B0511" w:rsidRDefault="007B2895" w:rsidP="00FE16FE">
            <w:pPr>
              <w:spacing w:after="0" w:line="240" w:lineRule="auto"/>
              <w:rPr>
                <w:rFonts w:eastAsia="Times New Roman" w:cs="Times New Roman"/>
                <w:kern w:val="0"/>
                <w:lang w:bidi="my-MM"/>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0EC7148" w14:textId="77777777" w:rsidR="007B2895" w:rsidRPr="007B0511" w:rsidRDefault="007B2895" w:rsidP="00FE16FE">
            <w:pPr>
              <w:spacing w:after="0" w:line="240" w:lineRule="auto"/>
              <w:rPr>
                <w:rFonts w:eastAsia="Times New Roman" w:cs="Times New Roman"/>
                <w:kern w:val="0"/>
                <w:sz w:val="20"/>
                <w:szCs w:val="20"/>
                <w:lang w:bidi="my-MM"/>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C2D722" w14:textId="77777777" w:rsidR="007B2895" w:rsidRPr="007B0511" w:rsidRDefault="007B2895" w:rsidP="00FE16FE">
            <w:pPr>
              <w:spacing w:after="0" w:line="240" w:lineRule="auto"/>
              <w:rPr>
                <w:rFonts w:eastAsia="Times New Roman" w:cs="Times New Roman"/>
                <w:kern w:val="0"/>
                <w:sz w:val="20"/>
                <w:szCs w:val="20"/>
                <w:lang w:bidi="my-MM"/>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C4167C" w14:textId="77777777" w:rsidR="007B2895" w:rsidRPr="007B0511" w:rsidRDefault="007B2895" w:rsidP="00FE16FE">
            <w:pPr>
              <w:spacing w:after="0" w:line="240" w:lineRule="auto"/>
              <w:rPr>
                <w:rFonts w:eastAsia="Times New Roman" w:cs="Times New Roman"/>
                <w:kern w:val="0"/>
                <w:sz w:val="20"/>
                <w:szCs w:val="20"/>
                <w:lang w:bidi="my-MM"/>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79F5270" w14:textId="77777777" w:rsidR="007B2895" w:rsidRPr="007B0511" w:rsidRDefault="007B2895" w:rsidP="00FE16FE">
            <w:pPr>
              <w:spacing w:after="0" w:line="240" w:lineRule="auto"/>
              <w:rPr>
                <w:rFonts w:eastAsia="Times New Roman" w:cs="Times New Roman"/>
                <w:kern w:val="0"/>
                <w:sz w:val="20"/>
                <w:szCs w:val="20"/>
                <w:lang w:bidi="my-MM"/>
                <w14:ligatures w14:val="none"/>
              </w:rPr>
            </w:pPr>
          </w:p>
        </w:tc>
      </w:tr>
      <w:tr w:rsidR="007B2895" w:rsidRPr="007B0511" w14:paraId="22FCCD53"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A9B5B4" w14:textId="77777777" w:rsidR="007B2895" w:rsidRPr="007B0511" w:rsidRDefault="007B2895" w:rsidP="00FE16FE">
            <w:pPr>
              <w:spacing w:after="0" w:line="240" w:lineRule="auto"/>
              <w:rPr>
                <w:rFonts w:eastAsia="Times New Roman" w:cs="Times New Roman"/>
                <w:kern w:val="0"/>
                <w:sz w:val="20"/>
                <w:szCs w:val="20"/>
                <w:lang w:bidi="my-MM"/>
                <w14:ligatures w14:val="none"/>
              </w:rPr>
            </w:pPr>
          </w:p>
        </w:tc>
        <w:tc>
          <w:tcPr>
            <w:tcW w:w="0" w:type="auto"/>
            <w:gridSpan w:val="3"/>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AC94D4" w14:textId="77777777" w:rsidR="007B2895" w:rsidRPr="007B0511" w:rsidRDefault="007B2895" w:rsidP="00FE16FE">
            <w:pPr>
              <w:spacing w:after="0" w:line="240" w:lineRule="auto"/>
              <w:rPr>
                <w:rFonts w:eastAsia="Times New Roman" w:cs="Times New Roman"/>
                <w:b/>
                <w:bCs/>
                <w:kern w:val="0"/>
                <w:lang w:bidi="my-MM"/>
                <w14:ligatures w14:val="none"/>
              </w:rPr>
            </w:pPr>
            <w:r w:rsidRPr="007B0511">
              <w:rPr>
                <w:rFonts w:eastAsia="Times New Roman" w:cs="Times New Roman"/>
                <w:b/>
                <w:bCs/>
                <w:kern w:val="0"/>
                <w:lang w:bidi="my-MM"/>
                <w14:ligatures w14:val="none"/>
              </w:rPr>
              <w:t>Group 2 - CVA to facilitate access to preventive health services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D66C13"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ONLINE</w:t>
            </w:r>
          </w:p>
        </w:tc>
      </w:tr>
      <w:tr w:rsidR="007B2895" w:rsidRPr="007B0511" w14:paraId="1B0FF3EA"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75DBA60"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1C3CAD1"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Frank Exodus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F489AE1"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KMSS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F6A733E"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frankexo.hka@kmss.org.mm</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1D3F2A1" w14:textId="77777777" w:rsidR="007B2895" w:rsidRPr="007B0511" w:rsidRDefault="007B2895" w:rsidP="00FE16FE">
            <w:pPr>
              <w:spacing w:after="0" w:line="240" w:lineRule="auto"/>
              <w:rPr>
                <w:rFonts w:eastAsia="Times New Roman" w:cs="Times New Roman"/>
                <w:kern w:val="0"/>
                <w:lang w:bidi="my-MM"/>
                <w14:ligatures w14:val="none"/>
              </w:rPr>
            </w:pPr>
          </w:p>
        </w:tc>
      </w:tr>
      <w:tr w:rsidR="007B2895" w:rsidRPr="007B0511" w14:paraId="4A64B493"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E0D214A"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8C2E015"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Esther Matama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71B7B6B"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Save the Children MMR</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45A8008"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esther.matama@savethechildren.org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EEE634F"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Facilitator NUT</w:t>
            </w:r>
          </w:p>
        </w:tc>
      </w:tr>
      <w:tr w:rsidR="007B2895" w:rsidRPr="007B0511" w14:paraId="2AFA6281"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4705461"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461D313"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Dr. Htet Aung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7EB3E78"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 xml:space="preserve">UNICEF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6C84EC6"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htaung@unicef.org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D82B8DA" w14:textId="77777777" w:rsidR="007B2895" w:rsidRPr="007B0511" w:rsidRDefault="007B2895" w:rsidP="00FE16FE">
            <w:pPr>
              <w:spacing w:after="0" w:line="240" w:lineRule="auto"/>
              <w:rPr>
                <w:rFonts w:eastAsia="Times New Roman" w:cs="Times New Roman"/>
                <w:kern w:val="0"/>
                <w:lang w:bidi="my-MM"/>
                <w14:ligatures w14:val="none"/>
              </w:rPr>
            </w:pPr>
          </w:p>
        </w:tc>
      </w:tr>
      <w:tr w:rsidR="007B2895" w:rsidRPr="007B0511" w14:paraId="52BBA34A"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2A1CA80"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3E26FF5"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Zaw Khaing Win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0EDF394"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CDN/ZOA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3A64C0E"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zaw.khaingwin@zoa.ngo</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DC0A661" w14:textId="77777777" w:rsidR="007B2895" w:rsidRPr="007B0511" w:rsidRDefault="007B2895" w:rsidP="00FE16FE">
            <w:pPr>
              <w:spacing w:after="0" w:line="240" w:lineRule="auto"/>
              <w:rPr>
                <w:rFonts w:eastAsia="Times New Roman" w:cs="Times New Roman"/>
                <w:kern w:val="0"/>
                <w:lang w:bidi="my-MM"/>
                <w14:ligatures w14:val="none"/>
              </w:rPr>
            </w:pPr>
          </w:p>
        </w:tc>
      </w:tr>
      <w:tr w:rsidR="007B2895" w:rsidRPr="007B0511" w14:paraId="388176EE"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37435BD"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C3E3DB3"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Tripaldi, Marina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AD1ABAF"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Save the Children Global CVA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8B42021"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marina.tripaldi@savethechildren.org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1417DBD"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co facilitate CVA pm</w:t>
            </w:r>
          </w:p>
        </w:tc>
      </w:tr>
      <w:tr w:rsidR="007B2895" w:rsidRPr="007B0511" w14:paraId="7C6062B9"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BC55F0"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939AAFC"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Myo Thida Swe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4615460"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OCHA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4EE9DA6"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myo.thidaswe@un.org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122BAAE"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co facilitate CVA am</w:t>
            </w:r>
          </w:p>
        </w:tc>
      </w:tr>
      <w:tr w:rsidR="007B2895" w:rsidRPr="007B0511" w14:paraId="362419EA"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8B85848"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31F8C68"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Soe Win Tun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C5A7236"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UNICEF Chin/Magway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4DC41FB"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sotun@unicef.org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0DC1526" w14:textId="77777777" w:rsidR="007B2895" w:rsidRPr="007B0511" w:rsidRDefault="007B2895" w:rsidP="00FE16FE">
            <w:pPr>
              <w:spacing w:after="0" w:line="240" w:lineRule="auto"/>
              <w:rPr>
                <w:rFonts w:eastAsia="Times New Roman" w:cs="Times New Roman"/>
                <w:kern w:val="0"/>
                <w:lang w:bidi="my-MM"/>
                <w14:ligatures w14:val="none"/>
              </w:rPr>
            </w:pPr>
          </w:p>
        </w:tc>
      </w:tr>
      <w:tr w:rsidR="007B2895" w:rsidRPr="007B0511" w14:paraId="5519AD9D"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202E7F2"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48902C2"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Dr. Aye Sanda Aung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73BB021"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Plan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7E0D228"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ayesanda.aung@plan-international.org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6EB1F3A" w14:textId="77777777" w:rsidR="007B2895" w:rsidRPr="007B0511" w:rsidRDefault="007B2895" w:rsidP="00FE16FE">
            <w:pPr>
              <w:spacing w:after="0" w:line="240" w:lineRule="auto"/>
              <w:rPr>
                <w:rFonts w:eastAsia="Times New Roman" w:cs="Times New Roman"/>
                <w:kern w:val="0"/>
                <w:lang w:bidi="my-MM"/>
                <w14:ligatures w14:val="none"/>
              </w:rPr>
            </w:pPr>
          </w:p>
        </w:tc>
      </w:tr>
      <w:tr w:rsidR="007B2895" w:rsidRPr="007B0511" w14:paraId="60C2F16D"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5264D0E" w14:textId="77777777" w:rsidR="007B2895" w:rsidRPr="007B0511" w:rsidRDefault="007B2895" w:rsidP="00FE16FE">
            <w:pPr>
              <w:spacing w:after="0" w:line="240" w:lineRule="auto"/>
              <w:rPr>
                <w:rFonts w:eastAsia="Times New Roman" w:cs="Times New Roman"/>
                <w:kern w:val="0"/>
                <w:sz w:val="20"/>
                <w:szCs w:val="20"/>
                <w:lang w:bidi="my-MM"/>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66F6F1" w14:textId="77777777" w:rsidR="007B2895" w:rsidRPr="007B0511" w:rsidRDefault="007B2895" w:rsidP="00FE16FE">
            <w:pPr>
              <w:spacing w:after="0" w:line="240" w:lineRule="auto"/>
              <w:rPr>
                <w:rFonts w:eastAsia="Times New Roman" w:cs="Times New Roman"/>
                <w:kern w:val="0"/>
                <w:sz w:val="20"/>
                <w:szCs w:val="20"/>
                <w:lang w:bidi="my-MM"/>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E1C41C2" w14:textId="77777777" w:rsidR="007B2895" w:rsidRPr="007B0511" w:rsidRDefault="007B2895" w:rsidP="00FE16FE">
            <w:pPr>
              <w:spacing w:after="0" w:line="240" w:lineRule="auto"/>
              <w:rPr>
                <w:rFonts w:eastAsia="Times New Roman" w:cs="Times New Roman"/>
                <w:kern w:val="0"/>
                <w:sz w:val="20"/>
                <w:szCs w:val="20"/>
                <w:lang w:bidi="my-MM"/>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1390E2" w14:textId="77777777" w:rsidR="007B2895" w:rsidRPr="007B0511" w:rsidRDefault="007B2895" w:rsidP="00FE16FE">
            <w:pPr>
              <w:spacing w:after="0" w:line="240" w:lineRule="auto"/>
              <w:rPr>
                <w:rFonts w:eastAsia="Times New Roman" w:cs="Times New Roman"/>
                <w:kern w:val="0"/>
                <w:sz w:val="20"/>
                <w:szCs w:val="20"/>
                <w:lang w:bidi="my-MM"/>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2AA0D09" w14:textId="77777777" w:rsidR="007B2895" w:rsidRPr="007B0511" w:rsidRDefault="007B2895" w:rsidP="00FE16FE">
            <w:pPr>
              <w:spacing w:after="0" w:line="240" w:lineRule="auto"/>
              <w:rPr>
                <w:rFonts w:eastAsia="Times New Roman" w:cs="Times New Roman"/>
                <w:kern w:val="0"/>
                <w:sz w:val="20"/>
                <w:szCs w:val="20"/>
                <w:lang w:bidi="my-MM"/>
                <w14:ligatures w14:val="none"/>
              </w:rPr>
            </w:pPr>
          </w:p>
        </w:tc>
      </w:tr>
      <w:tr w:rsidR="007B2895" w:rsidRPr="007B0511" w14:paraId="149210C3"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1B4D6AA" w14:textId="77777777" w:rsidR="007B2895" w:rsidRPr="007B0511" w:rsidRDefault="007B2895" w:rsidP="00FE16FE">
            <w:pPr>
              <w:spacing w:after="0" w:line="240" w:lineRule="auto"/>
              <w:rPr>
                <w:rFonts w:eastAsia="Times New Roman" w:cs="Times New Roman"/>
                <w:kern w:val="0"/>
                <w:sz w:val="20"/>
                <w:szCs w:val="20"/>
                <w:lang w:bidi="my-MM"/>
                <w14:ligatures w14:val="none"/>
              </w:rPr>
            </w:pPr>
          </w:p>
        </w:tc>
        <w:tc>
          <w:tcPr>
            <w:tcW w:w="0" w:type="auto"/>
            <w:gridSpan w:val="3"/>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9BF919" w14:textId="192E2857" w:rsidR="007B2895" w:rsidRPr="007B0511" w:rsidRDefault="007B2895" w:rsidP="00FE16FE">
            <w:pPr>
              <w:spacing w:after="0" w:line="240" w:lineRule="auto"/>
              <w:rPr>
                <w:rFonts w:eastAsia="Times New Roman" w:cs="Times New Roman"/>
                <w:b/>
                <w:bCs/>
                <w:kern w:val="0"/>
                <w:lang w:bidi="my-MM"/>
                <w14:ligatures w14:val="none"/>
              </w:rPr>
            </w:pPr>
            <w:r w:rsidRPr="007B0511">
              <w:rPr>
                <w:rFonts w:eastAsia="Times New Roman" w:cs="Times New Roman"/>
                <w:b/>
                <w:bCs/>
                <w:kern w:val="0"/>
                <w:lang w:bidi="my-MM"/>
                <w14:ligatures w14:val="none"/>
              </w:rPr>
              <w:t xml:space="preserve">Group 3 - CVA to facilitate access to nutrition services for MAM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7AFF68B"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ONLINE</w:t>
            </w:r>
          </w:p>
        </w:tc>
      </w:tr>
      <w:tr w:rsidR="007B2895" w:rsidRPr="007B0511" w14:paraId="6BB06297"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99B4BF"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DB7EE29"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Mabasa Farawo</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4386E84"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Nutrition Cluster</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3F48CB3"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mfarawo@unicef.org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7C6AB90" w14:textId="77777777" w:rsidR="007B2895" w:rsidRPr="007B0511" w:rsidRDefault="007B2895" w:rsidP="00FE16FE">
            <w:pPr>
              <w:spacing w:after="0" w:line="240" w:lineRule="auto"/>
              <w:rPr>
                <w:rFonts w:eastAsia="Times New Roman" w:cs="Times New Roman"/>
                <w:kern w:val="0"/>
                <w:lang w:bidi="my-MM"/>
                <w14:ligatures w14:val="none"/>
              </w:rPr>
            </w:pPr>
          </w:p>
        </w:tc>
      </w:tr>
      <w:tr w:rsidR="007B2895" w:rsidRPr="007B0511" w14:paraId="033AD811"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8C32C4B"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28739C0"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John Nelson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8BF41EF"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 xml:space="preserve">Mercy Corps/MEB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C5136BB"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jnelson@mercycorps.org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2AD73A8"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Co facilitator</w:t>
            </w:r>
          </w:p>
        </w:tc>
      </w:tr>
      <w:tr w:rsidR="007B2895" w:rsidRPr="007B0511" w14:paraId="12DDE774"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37FA42D"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2C9F4F7"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Zay Ya Soe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8C7956B"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Save the Children MMR</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BBBF16E"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zayya.soe@savethechildren.org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429CE58" w14:textId="77777777" w:rsidR="007B2895" w:rsidRPr="007B0511" w:rsidRDefault="007B2895" w:rsidP="00FE16FE">
            <w:pPr>
              <w:spacing w:after="0" w:line="240" w:lineRule="auto"/>
              <w:rPr>
                <w:rFonts w:eastAsia="Times New Roman" w:cs="Times New Roman"/>
                <w:kern w:val="0"/>
                <w:lang w:bidi="my-MM"/>
                <w14:ligatures w14:val="none"/>
              </w:rPr>
            </w:pPr>
          </w:p>
        </w:tc>
      </w:tr>
      <w:tr w:rsidR="007B2895" w:rsidRPr="007B0511" w14:paraId="0E25A338"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6050CAE"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AC44A3F"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Fumito Morinaga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7614754"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WFP Nutrition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9FA1F55"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fumito.morinaga@wfp.org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B90D419"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Facilitator</w:t>
            </w:r>
          </w:p>
        </w:tc>
      </w:tr>
      <w:tr w:rsidR="007B2895" w:rsidRPr="007B0511" w14:paraId="166D0824"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4F3508B"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565BCFD"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Kyaw Min Thu</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B0FFD3D"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UN REACH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F730A5E"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kyawmin.thu@wfp.org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B617FB4"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Presenter</w:t>
            </w:r>
          </w:p>
        </w:tc>
      </w:tr>
      <w:tr w:rsidR="007B2895" w:rsidRPr="007B0511" w14:paraId="54F28F24"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FDE0858"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3F30BCF"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Dr. Nyein Chan San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E18D726"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ACF</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A028333"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nutpm-mgd@mm-actioncontrelafaim.org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D7036C8" w14:textId="77777777" w:rsidR="007B2895" w:rsidRPr="007B0511" w:rsidRDefault="007B2895" w:rsidP="00FE16FE">
            <w:pPr>
              <w:spacing w:after="0" w:line="240" w:lineRule="auto"/>
              <w:rPr>
                <w:rFonts w:eastAsia="Times New Roman" w:cs="Times New Roman"/>
                <w:kern w:val="0"/>
                <w:lang w:bidi="my-MM"/>
                <w14:ligatures w14:val="none"/>
              </w:rPr>
            </w:pPr>
          </w:p>
        </w:tc>
      </w:tr>
      <w:tr w:rsidR="007B2895" w:rsidRPr="007B0511" w14:paraId="43A1D43A"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6A34E9"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D7CD0DF"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Kyaw Zin Htun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865C929" w14:textId="11438E49"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 xml:space="preserve">MI/Lesson Learned </w:t>
            </w:r>
            <w:r w:rsidR="00D7327D" w:rsidRPr="007B0511">
              <w:rPr>
                <w:rFonts w:eastAsia="Times New Roman" w:cs="Times New Roman"/>
                <w:kern w:val="0"/>
                <w:lang w:bidi="my-MM"/>
                <w14:ligatures w14:val="none"/>
              </w:rPr>
              <w:t>Presenter</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3E3150B"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kyawzin.htun@malteser-international.org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9AB1718" w14:textId="77777777" w:rsidR="007B2895" w:rsidRPr="007B0511" w:rsidRDefault="007B2895" w:rsidP="00FE16FE">
            <w:pPr>
              <w:spacing w:after="0" w:line="240" w:lineRule="auto"/>
              <w:rPr>
                <w:rFonts w:eastAsia="Times New Roman" w:cs="Times New Roman"/>
                <w:kern w:val="0"/>
                <w:lang w:bidi="my-MM"/>
                <w14:ligatures w14:val="none"/>
              </w:rPr>
            </w:pPr>
          </w:p>
        </w:tc>
      </w:tr>
      <w:tr w:rsidR="007B2895" w:rsidRPr="007B0511" w14:paraId="472618F5"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2578D1D" w14:textId="77777777" w:rsidR="007B2895" w:rsidRPr="007B0511" w:rsidRDefault="007B2895" w:rsidP="00FE16FE">
            <w:pPr>
              <w:spacing w:after="0" w:line="240" w:lineRule="auto"/>
              <w:rPr>
                <w:rFonts w:eastAsia="Times New Roman" w:cs="Times New Roman"/>
                <w:kern w:val="0"/>
                <w:sz w:val="20"/>
                <w:szCs w:val="20"/>
                <w:lang w:bidi="my-MM"/>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3CD556B" w14:textId="77777777" w:rsidR="007B2895" w:rsidRPr="007B0511" w:rsidRDefault="007B2895" w:rsidP="00FE16FE">
            <w:pPr>
              <w:spacing w:after="0" w:line="240" w:lineRule="auto"/>
              <w:rPr>
                <w:rFonts w:eastAsia="Times New Roman" w:cs="Times New Roman"/>
                <w:kern w:val="0"/>
                <w:sz w:val="20"/>
                <w:szCs w:val="20"/>
                <w:lang w:bidi="my-MM"/>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752D970" w14:textId="77777777" w:rsidR="007B2895" w:rsidRPr="007B0511" w:rsidRDefault="007B2895" w:rsidP="00FE16FE">
            <w:pPr>
              <w:spacing w:after="0" w:line="240" w:lineRule="auto"/>
              <w:rPr>
                <w:rFonts w:eastAsia="Times New Roman" w:cs="Times New Roman"/>
                <w:kern w:val="0"/>
                <w:sz w:val="20"/>
                <w:szCs w:val="20"/>
                <w:lang w:bidi="my-MM"/>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6C8949" w14:textId="77777777" w:rsidR="007B2895" w:rsidRPr="007B0511" w:rsidRDefault="007B2895" w:rsidP="00FE16FE">
            <w:pPr>
              <w:spacing w:after="0" w:line="240" w:lineRule="auto"/>
              <w:rPr>
                <w:rFonts w:eastAsia="Times New Roman" w:cs="Times New Roman"/>
                <w:kern w:val="0"/>
                <w:sz w:val="20"/>
                <w:szCs w:val="20"/>
                <w:lang w:bidi="my-MM"/>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EDB8910" w14:textId="77777777" w:rsidR="007B2895" w:rsidRPr="007B0511" w:rsidRDefault="007B2895" w:rsidP="00FE16FE">
            <w:pPr>
              <w:spacing w:after="0" w:line="240" w:lineRule="auto"/>
              <w:rPr>
                <w:rFonts w:eastAsia="Times New Roman" w:cs="Times New Roman"/>
                <w:kern w:val="0"/>
                <w:sz w:val="20"/>
                <w:szCs w:val="20"/>
                <w:lang w:bidi="my-MM"/>
                <w14:ligatures w14:val="none"/>
              </w:rPr>
            </w:pPr>
          </w:p>
        </w:tc>
      </w:tr>
      <w:tr w:rsidR="007B2895" w:rsidRPr="007B0511" w14:paraId="1D79E972"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984972" w14:textId="77777777" w:rsidR="007B2895" w:rsidRPr="007B0511" w:rsidRDefault="007B2895" w:rsidP="00FE16FE">
            <w:pPr>
              <w:spacing w:after="0" w:line="240" w:lineRule="auto"/>
              <w:rPr>
                <w:rFonts w:eastAsia="Times New Roman" w:cs="Times New Roman"/>
                <w:kern w:val="0"/>
                <w:sz w:val="20"/>
                <w:szCs w:val="20"/>
                <w:lang w:bidi="my-MM"/>
                <w14:ligatures w14:val="none"/>
              </w:rPr>
            </w:pPr>
          </w:p>
        </w:tc>
        <w:tc>
          <w:tcPr>
            <w:tcW w:w="0" w:type="auto"/>
            <w:gridSpan w:val="3"/>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C46571B" w14:textId="1ACE42E9" w:rsidR="007B2895" w:rsidRPr="007B0511" w:rsidRDefault="007B2895" w:rsidP="00FE16FE">
            <w:pPr>
              <w:spacing w:after="0" w:line="240" w:lineRule="auto"/>
              <w:rPr>
                <w:rFonts w:eastAsia="Times New Roman" w:cs="Times New Roman"/>
                <w:b/>
                <w:bCs/>
                <w:kern w:val="0"/>
                <w:lang w:bidi="my-MM"/>
                <w14:ligatures w14:val="none"/>
              </w:rPr>
            </w:pPr>
            <w:r w:rsidRPr="007B0511">
              <w:rPr>
                <w:rFonts w:eastAsia="Times New Roman" w:cs="Times New Roman"/>
                <w:b/>
                <w:bCs/>
                <w:kern w:val="0"/>
                <w:lang w:bidi="my-MM"/>
                <w14:ligatures w14:val="none"/>
              </w:rPr>
              <w:t xml:space="preserve">Group 4 - CVA to facilitate access to nutrition services for SAM children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1888597"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IN PERSON</w:t>
            </w:r>
          </w:p>
        </w:tc>
      </w:tr>
      <w:tr w:rsidR="007B2895" w:rsidRPr="007B0511" w14:paraId="0CE08A07"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8FD69FE"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CD81C39"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Sanjay Kumar Das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9BFA693"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UNICEF</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8663682"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skumardas@unicef.org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44602A8" w14:textId="5326D0F7" w:rsidR="007B2895" w:rsidRPr="007B0511" w:rsidRDefault="00D7327D"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Facilitator</w:t>
            </w:r>
          </w:p>
        </w:tc>
      </w:tr>
      <w:tr w:rsidR="007B2895" w:rsidRPr="007B0511" w14:paraId="03009CF7" w14:textId="77777777" w:rsidTr="00FE16FE">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1BDB5A"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BAD6FF"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Aung Thu Chai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AD6E388"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SCI RAK Cluster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0E3ABA8"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aungthu.chai@savethechildren.org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3CF7F1"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Presenter</w:t>
            </w:r>
          </w:p>
        </w:tc>
      </w:tr>
      <w:tr w:rsidR="007B2895" w:rsidRPr="007B0511" w14:paraId="591F3616"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9925CFD"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F0624AA"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Kyaw Myat Htut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B95490"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CRS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5EE0B1A"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kyaw.myathtut@crs.org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2CC8C7" w14:textId="1CE6CAAC" w:rsidR="007B2895" w:rsidRPr="007B0511" w:rsidRDefault="00D7327D"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Timekeeper</w:t>
            </w:r>
          </w:p>
        </w:tc>
      </w:tr>
      <w:tr w:rsidR="007B2895" w:rsidRPr="007B0511" w14:paraId="5666E1A1"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D6AC1E3"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9CD76A"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Kyaw Oo Maung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00CEF4"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GNC/TF TOR presenter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110517D"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kyaw.maung@savethechildren.org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130300" w14:textId="554F60CB"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 xml:space="preserve">Co </w:t>
            </w:r>
            <w:r w:rsidR="00D7327D" w:rsidRPr="007B0511">
              <w:rPr>
                <w:rFonts w:eastAsia="Times New Roman" w:cs="Times New Roman"/>
                <w:kern w:val="0"/>
                <w:lang w:bidi="my-MM"/>
                <w14:ligatures w14:val="none"/>
              </w:rPr>
              <w:t>facilitator</w:t>
            </w:r>
          </w:p>
        </w:tc>
      </w:tr>
      <w:tr w:rsidR="007B2895" w:rsidRPr="007B0511" w14:paraId="19CDDDE4"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3EAB408"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0968E1"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May May Khin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094EA3"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UNICEF Kayin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1AA753"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mmkhin@unicef.org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91C20A" w14:textId="77777777" w:rsidR="007B2895" w:rsidRPr="007B0511" w:rsidRDefault="007B2895" w:rsidP="00FE16FE">
            <w:pPr>
              <w:spacing w:after="0" w:line="240" w:lineRule="auto"/>
              <w:rPr>
                <w:rFonts w:eastAsia="Times New Roman" w:cs="Times New Roman"/>
                <w:kern w:val="0"/>
                <w:lang w:bidi="my-MM"/>
                <w14:ligatures w14:val="none"/>
              </w:rPr>
            </w:pPr>
            <w:r w:rsidRPr="007B0511">
              <w:rPr>
                <w:rFonts w:eastAsia="Times New Roman" w:cs="Times New Roman"/>
                <w:kern w:val="0"/>
                <w:lang w:bidi="my-MM"/>
                <w14:ligatures w14:val="none"/>
              </w:rPr>
              <w:t>Note Taker</w:t>
            </w:r>
          </w:p>
        </w:tc>
      </w:tr>
      <w:tr w:rsidR="007B2895" w:rsidRPr="007B0511" w14:paraId="5D8290CF" w14:textId="77777777" w:rsidTr="00FE16FE">
        <w:trPr>
          <w:trHeight w:val="2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9C63FA9" w14:textId="77777777" w:rsidR="007B2895" w:rsidRPr="007B0511" w:rsidRDefault="007B2895" w:rsidP="00FE16FE">
            <w:pPr>
              <w:spacing w:after="0" w:line="240" w:lineRule="auto"/>
              <w:rPr>
                <w:rFonts w:eastAsia="Times New Roman" w:cs="Times New Roman"/>
                <w:kern w:val="0"/>
                <w:lang w:bidi="my-MM"/>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84E2FB" w14:textId="77777777" w:rsidR="007B2895" w:rsidRPr="007B0511" w:rsidRDefault="007B2895" w:rsidP="00FE16FE">
            <w:pPr>
              <w:spacing w:after="0" w:line="240" w:lineRule="auto"/>
              <w:rPr>
                <w:rFonts w:eastAsia="Times New Roman" w:cs="Times New Roman"/>
                <w:kern w:val="0"/>
                <w:sz w:val="20"/>
                <w:szCs w:val="20"/>
                <w:lang w:bidi="my-MM"/>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6046D95" w14:textId="77777777" w:rsidR="007B2895" w:rsidRPr="007B0511" w:rsidRDefault="007B2895" w:rsidP="00FE16FE">
            <w:pPr>
              <w:spacing w:after="0" w:line="240" w:lineRule="auto"/>
              <w:rPr>
                <w:rFonts w:eastAsia="Times New Roman" w:cs="Times New Roman"/>
                <w:kern w:val="0"/>
                <w:sz w:val="20"/>
                <w:szCs w:val="20"/>
                <w:lang w:bidi="my-MM"/>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2ECC207" w14:textId="77777777" w:rsidR="007B2895" w:rsidRPr="007B0511" w:rsidRDefault="007B2895" w:rsidP="00FE16FE">
            <w:pPr>
              <w:spacing w:after="0" w:line="240" w:lineRule="auto"/>
              <w:rPr>
                <w:rFonts w:eastAsia="Times New Roman" w:cs="Times New Roman"/>
                <w:kern w:val="0"/>
                <w:sz w:val="20"/>
                <w:szCs w:val="20"/>
                <w:lang w:bidi="my-MM"/>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DC324E" w14:textId="77777777" w:rsidR="007B2895" w:rsidRPr="007B0511" w:rsidRDefault="007B2895" w:rsidP="00FE16FE">
            <w:pPr>
              <w:spacing w:after="0" w:line="240" w:lineRule="auto"/>
              <w:rPr>
                <w:rFonts w:eastAsia="Times New Roman" w:cs="Times New Roman"/>
                <w:kern w:val="0"/>
                <w:sz w:val="20"/>
                <w:szCs w:val="20"/>
                <w:lang w:bidi="my-MM"/>
                <w14:ligatures w14:val="none"/>
              </w:rPr>
            </w:pPr>
          </w:p>
        </w:tc>
      </w:tr>
    </w:tbl>
    <w:p w14:paraId="74FA310F" w14:textId="77777777" w:rsidR="007B2895" w:rsidRPr="007B0511" w:rsidRDefault="007B2895" w:rsidP="007B2895">
      <w:pPr>
        <w:jc w:val="both"/>
      </w:pPr>
    </w:p>
    <w:p w14:paraId="02D97150" w14:textId="40940AE1" w:rsidR="00C6569A" w:rsidRPr="007B0511" w:rsidRDefault="00C6569A" w:rsidP="007B2895">
      <w:pPr>
        <w:pStyle w:val="Heading2"/>
        <w:rPr>
          <w:rFonts w:ascii="Lato" w:hAnsi="Lato"/>
          <w:sz w:val="36"/>
          <w:szCs w:val="36"/>
          <w:lang w:val="en-US"/>
        </w:rPr>
      </w:pPr>
    </w:p>
    <w:p w14:paraId="2B922AA0" w14:textId="77777777" w:rsidR="001477E4" w:rsidRPr="007B0511" w:rsidRDefault="001477E4" w:rsidP="001477E4"/>
    <w:p w14:paraId="638CB7B2" w14:textId="77777777" w:rsidR="001477E4" w:rsidRPr="007B0511" w:rsidRDefault="001477E4" w:rsidP="001477E4"/>
    <w:p w14:paraId="6C527F65" w14:textId="77777777" w:rsidR="001477E4" w:rsidRPr="007B0511" w:rsidRDefault="001477E4" w:rsidP="001477E4"/>
    <w:p w14:paraId="546711AF" w14:textId="77777777" w:rsidR="001477E4" w:rsidRPr="007B0511" w:rsidRDefault="001477E4" w:rsidP="001477E4"/>
    <w:p w14:paraId="4FE4DC54" w14:textId="77777777" w:rsidR="001477E4" w:rsidRPr="007B0511" w:rsidRDefault="001477E4" w:rsidP="001477E4"/>
    <w:p w14:paraId="0DAD90E6" w14:textId="77777777" w:rsidR="001477E4" w:rsidRPr="007B0511" w:rsidRDefault="001477E4" w:rsidP="001477E4"/>
    <w:p w14:paraId="4E8CF808" w14:textId="77777777" w:rsidR="001477E4" w:rsidRPr="007B0511" w:rsidRDefault="001477E4" w:rsidP="001477E4"/>
    <w:p w14:paraId="4D709DF2" w14:textId="77777777" w:rsidR="001477E4" w:rsidRPr="007B0511" w:rsidRDefault="001477E4" w:rsidP="001477E4"/>
    <w:p w14:paraId="5B19667B" w14:textId="77777777" w:rsidR="001477E4" w:rsidRPr="007B0511" w:rsidRDefault="001477E4" w:rsidP="001477E4"/>
    <w:p w14:paraId="7ECB7D8D" w14:textId="77777777" w:rsidR="001477E4" w:rsidRPr="007B0511" w:rsidRDefault="001477E4" w:rsidP="001477E4"/>
    <w:p w14:paraId="121E58DE" w14:textId="77777777" w:rsidR="001477E4" w:rsidRPr="007B0511" w:rsidRDefault="001477E4" w:rsidP="001477E4"/>
    <w:p w14:paraId="16B8E94A" w14:textId="77777777" w:rsidR="001477E4" w:rsidRPr="007B0511" w:rsidRDefault="001477E4" w:rsidP="001477E4"/>
    <w:p w14:paraId="30B7A283" w14:textId="77777777" w:rsidR="001477E4" w:rsidRPr="007B0511" w:rsidRDefault="001477E4" w:rsidP="001477E4"/>
    <w:p w14:paraId="77BADCBA" w14:textId="77777777" w:rsidR="001477E4" w:rsidRPr="007B0511" w:rsidRDefault="001477E4" w:rsidP="001477E4"/>
    <w:p w14:paraId="2282B0A6" w14:textId="77777777" w:rsidR="001477E4" w:rsidRPr="007B0511" w:rsidRDefault="001477E4" w:rsidP="001477E4"/>
    <w:p w14:paraId="73DB5709" w14:textId="77777777" w:rsidR="001477E4" w:rsidRPr="007B0511" w:rsidRDefault="001477E4" w:rsidP="001477E4"/>
    <w:p w14:paraId="5F3180CF" w14:textId="77777777" w:rsidR="001477E4" w:rsidRPr="007B0511" w:rsidRDefault="001477E4" w:rsidP="001477E4"/>
    <w:p w14:paraId="49FF4B91" w14:textId="77777777" w:rsidR="001477E4" w:rsidRPr="007B0511" w:rsidRDefault="001477E4" w:rsidP="001477E4"/>
    <w:p w14:paraId="225696AB" w14:textId="77777777" w:rsidR="001477E4" w:rsidRPr="007B0511" w:rsidRDefault="001477E4" w:rsidP="001477E4"/>
    <w:p w14:paraId="793A9CCA" w14:textId="77777777" w:rsidR="001477E4" w:rsidRPr="007B0511" w:rsidRDefault="001477E4" w:rsidP="001477E4"/>
    <w:p w14:paraId="3BCBB5F3" w14:textId="77777777" w:rsidR="001477E4" w:rsidRPr="007B0511" w:rsidRDefault="001477E4" w:rsidP="001477E4"/>
    <w:p w14:paraId="325915BE" w14:textId="77777777" w:rsidR="004D0502" w:rsidRPr="007B0511" w:rsidRDefault="004D0502" w:rsidP="00AC7C67">
      <w:pPr>
        <w:spacing w:line="276" w:lineRule="auto"/>
        <w:rPr>
          <w:rFonts w:cstheme="minorHAnsi"/>
          <w:b/>
        </w:rPr>
      </w:pPr>
    </w:p>
    <w:sectPr w:rsidR="004D0502" w:rsidRPr="007B0511" w:rsidSect="003C2176">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0C22F" w14:textId="77777777" w:rsidR="00FD0BDF" w:rsidRDefault="00FD0BDF" w:rsidP="007A5F01">
      <w:pPr>
        <w:spacing w:after="0" w:line="240" w:lineRule="auto"/>
      </w:pPr>
      <w:r>
        <w:separator/>
      </w:r>
    </w:p>
  </w:endnote>
  <w:endnote w:type="continuationSeparator" w:id="0">
    <w:p w14:paraId="3C16D7FF" w14:textId="77777777" w:rsidR="00FD0BDF" w:rsidRDefault="00FD0BDF" w:rsidP="007A5F01">
      <w:pPr>
        <w:spacing w:after="0" w:line="240" w:lineRule="auto"/>
      </w:pPr>
      <w:r>
        <w:continuationSeparator/>
      </w:r>
    </w:p>
  </w:endnote>
  <w:endnote w:type="continuationNotice" w:id="1">
    <w:p w14:paraId="05765055" w14:textId="77777777" w:rsidR="00FD0BDF" w:rsidRDefault="00FD0B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Lato">
    <w:panose1 w:val="020F0502020204030203"/>
    <w:charset w:val="00"/>
    <w:family w:val="swiss"/>
    <w:pitch w:val="variable"/>
    <w:sig w:usb0="A00000AF" w:usb1="5000604B" w:usb2="00000000" w:usb3="00000000" w:csb0="00000093"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9D101" w14:textId="77777777" w:rsidR="00FD0BDF" w:rsidRDefault="00FD0BDF" w:rsidP="007A5F01">
      <w:pPr>
        <w:spacing w:after="0" w:line="240" w:lineRule="auto"/>
      </w:pPr>
      <w:r>
        <w:separator/>
      </w:r>
    </w:p>
  </w:footnote>
  <w:footnote w:type="continuationSeparator" w:id="0">
    <w:p w14:paraId="034CBABD" w14:textId="77777777" w:rsidR="00FD0BDF" w:rsidRDefault="00FD0BDF" w:rsidP="007A5F01">
      <w:pPr>
        <w:spacing w:after="0" w:line="240" w:lineRule="auto"/>
      </w:pPr>
      <w:r>
        <w:continuationSeparator/>
      </w:r>
    </w:p>
  </w:footnote>
  <w:footnote w:type="continuationNotice" w:id="1">
    <w:p w14:paraId="1410F583" w14:textId="77777777" w:rsidR="00FD0BDF" w:rsidRDefault="00FD0B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88CC" w14:textId="1CD0DA9D" w:rsidR="00FE16FE" w:rsidRDefault="00FE16FE" w:rsidP="005E1447">
    <w:pPr>
      <w:pStyle w:val="Header"/>
      <w:jc w:val="right"/>
    </w:pPr>
    <w:r>
      <w:rPr>
        <w:noProof/>
      </w:rPr>
      <w:drawing>
        <wp:anchor distT="0" distB="0" distL="114300" distR="114300" simplePos="0" relativeHeight="251648000" behindDoc="0" locked="0" layoutInCell="1" allowOverlap="1" wp14:anchorId="725A39D6" wp14:editId="002CD553">
          <wp:simplePos x="0" y="0"/>
          <wp:positionH relativeFrom="margin">
            <wp:posOffset>4850130</wp:posOffset>
          </wp:positionH>
          <wp:positionV relativeFrom="paragraph">
            <wp:posOffset>-107950</wp:posOffset>
          </wp:positionV>
          <wp:extent cx="1381760" cy="541020"/>
          <wp:effectExtent l="0" t="0" r="8890" b="0"/>
          <wp:wrapSquare wrapText="bothSides"/>
          <wp:docPr id="211793648" name="Picture 21179364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rotWithShape="1">
                  <a:blip r:embed="rId1">
                    <a:extLst>
                      <a:ext uri="{28A0092B-C50C-407E-A947-70E740481C1C}">
                        <a14:useLocalDpi xmlns:a14="http://schemas.microsoft.com/office/drawing/2010/main" val="0"/>
                      </a:ext>
                    </a:extLst>
                  </a:blip>
                  <a:srcRect l="7143" t="28075" r="77245" b="31951"/>
                  <a:stretch/>
                </pic:blipFill>
                <pic:spPr bwMode="auto">
                  <a:xfrm>
                    <a:off x="0" y="0"/>
                    <a:ext cx="1381760" cy="541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30592" behindDoc="0" locked="0" layoutInCell="1" allowOverlap="1" wp14:anchorId="764C3F9A" wp14:editId="2366E6D3">
          <wp:simplePos x="0" y="0"/>
          <wp:positionH relativeFrom="margin">
            <wp:posOffset>101379</wp:posOffset>
          </wp:positionH>
          <wp:positionV relativeFrom="paragraph">
            <wp:posOffset>-75537</wp:posOffset>
          </wp:positionV>
          <wp:extent cx="1250192" cy="507779"/>
          <wp:effectExtent l="0" t="0" r="7620" b="6985"/>
          <wp:wrapNone/>
          <wp:docPr id="1066520433" name="Picture 1066520433" descr="A green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418643" name="Picture 2" descr="A green and grey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4016" cy="5133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7E6D"/>
    <w:multiLevelType w:val="hybridMultilevel"/>
    <w:tmpl w:val="41A81BC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9A081F"/>
    <w:multiLevelType w:val="hybridMultilevel"/>
    <w:tmpl w:val="EEC4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10D50"/>
    <w:multiLevelType w:val="hybridMultilevel"/>
    <w:tmpl w:val="EDFC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9084B"/>
    <w:multiLevelType w:val="multilevel"/>
    <w:tmpl w:val="8D0A3C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F4312E"/>
    <w:multiLevelType w:val="multilevel"/>
    <w:tmpl w:val="03506C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77C52"/>
    <w:multiLevelType w:val="hybridMultilevel"/>
    <w:tmpl w:val="86F2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17A7E"/>
    <w:multiLevelType w:val="hybridMultilevel"/>
    <w:tmpl w:val="F076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272DFE"/>
    <w:multiLevelType w:val="hybridMultilevel"/>
    <w:tmpl w:val="26AC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C7174E"/>
    <w:multiLevelType w:val="multilevel"/>
    <w:tmpl w:val="674A1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D89642C"/>
    <w:multiLevelType w:val="hybridMultilevel"/>
    <w:tmpl w:val="6594722C"/>
    <w:styleLink w:val="ImportedStyle1"/>
    <w:lvl w:ilvl="0" w:tplc="85FA3B2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4D431C8">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C3443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B2BAF6">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15ACD14">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EF61A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C06FAA">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57679AA">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ECFE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E0219FB"/>
    <w:multiLevelType w:val="multilevel"/>
    <w:tmpl w:val="DE6A3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0ED0799"/>
    <w:multiLevelType w:val="multilevel"/>
    <w:tmpl w:val="B48AA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1E07B8F"/>
    <w:multiLevelType w:val="hybridMultilevel"/>
    <w:tmpl w:val="6594722C"/>
    <w:numStyleLink w:val="ImportedStyle1"/>
  </w:abstractNum>
  <w:abstractNum w:abstractNumId="13" w15:restartNumberingAfterBreak="0">
    <w:nsid w:val="1209144D"/>
    <w:multiLevelType w:val="hybridMultilevel"/>
    <w:tmpl w:val="064CCA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38C06E9"/>
    <w:multiLevelType w:val="multilevel"/>
    <w:tmpl w:val="7354BD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15AC1A79"/>
    <w:multiLevelType w:val="multilevel"/>
    <w:tmpl w:val="7B54DF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17780524"/>
    <w:multiLevelType w:val="multilevel"/>
    <w:tmpl w:val="C6BA58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8A3CE6"/>
    <w:multiLevelType w:val="hybridMultilevel"/>
    <w:tmpl w:val="F970C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074278"/>
    <w:multiLevelType w:val="hybridMultilevel"/>
    <w:tmpl w:val="BE8EE1E4"/>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0FB7220"/>
    <w:multiLevelType w:val="hybridMultilevel"/>
    <w:tmpl w:val="1560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951C87"/>
    <w:multiLevelType w:val="hybridMultilevel"/>
    <w:tmpl w:val="3072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AE3113"/>
    <w:multiLevelType w:val="multilevel"/>
    <w:tmpl w:val="A4DE8886"/>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ascii="Lato" w:hAnsi="Lato" w:hint="default"/>
        <w:sz w:val="28"/>
        <w:szCs w:val="28"/>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800" w:hanging="144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2160" w:hanging="1800"/>
      </w:pPr>
      <w:rPr>
        <w:rFonts w:hint="default"/>
        <w:sz w:val="22"/>
      </w:rPr>
    </w:lvl>
    <w:lvl w:ilvl="7">
      <w:start w:val="1"/>
      <w:numFmt w:val="decimal"/>
      <w:isLgl/>
      <w:lvlText w:val="%1.%2.%3.%4.%5.%6.%7.%8."/>
      <w:lvlJc w:val="left"/>
      <w:pPr>
        <w:ind w:left="2520" w:hanging="2160"/>
      </w:pPr>
      <w:rPr>
        <w:rFonts w:hint="default"/>
        <w:sz w:val="22"/>
      </w:rPr>
    </w:lvl>
    <w:lvl w:ilvl="8">
      <w:start w:val="1"/>
      <w:numFmt w:val="decimal"/>
      <w:isLgl/>
      <w:lvlText w:val="%1.%2.%3.%4.%5.%6.%7.%8.%9."/>
      <w:lvlJc w:val="left"/>
      <w:pPr>
        <w:ind w:left="2520" w:hanging="2160"/>
      </w:pPr>
      <w:rPr>
        <w:rFonts w:hint="default"/>
        <w:sz w:val="22"/>
      </w:rPr>
    </w:lvl>
  </w:abstractNum>
  <w:abstractNum w:abstractNumId="22" w15:restartNumberingAfterBreak="0">
    <w:nsid w:val="26A362B8"/>
    <w:multiLevelType w:val="multilevel"/>
    <w:tmpl w:val="0B46BB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7466BA8"/>
    <w:multiLevelType w:val="multilevel"/>
    <w:tmpl w:val="A8E27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98A4B6F"/>
    <w:multiLevelType w:val="hybridMultilevel"/>
    <w:tmpl w:val="30EAF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EF7F6A"/>
    <w:multiLevelType w:val="multilevel"/>
    <w:tmpl w:val="B48AA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A315844"/>
    <w:multiLevelType w:val="multilevel"/>
    <w:tmpl w:val="D3A615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A74615A"/>
    <w:multiLevelType w:val="multilevel"/>
    <w:tmpl w:val="E5E2A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A7E57DF"/>
    <w:multiLevelType w:val="hybridMultilevel"/>
    <w:tmpl w:val="BD0270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2B01132C"/>
    <w:multiLevelType w:val="multilevel"/>
    <w:tmpl w:val="414EE1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B173999"/>
    <w:multiLevelType w:val="multilevel"/>
    <w:tmpl w:val="AD0299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507F0F"/>
    <w:multiLevelType w:val="multilevel"/>
    <w:tmpl w:val="4D9492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2F226B4D"/>
    <w:multiLevelType w:val="multilevel"/>
    <w:tmpl w:val="6C2C4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F38290A"/>
    <w:multiLevelType w:val="hybridMultilevel"/>
    <w:tmpl w:val="1CCAE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1C505AA"/>
    <w:multiLevelType w:val="hybridMultilevel"/>
    <w:tmpl w:val="2E3AC6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8108EA"/>
    <w:multiLevelType w:val="multilevel"/>
    <w:tmpl w:val="70AC1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3A15718"/>
    <w:multiLevelType w:val="hybridMultilevel"/>
    <w:tmpl w:val="58AC3E8A"/>
    <w:lvl w:ilvl="0" w:tplc="B9B6106C">
      <w:numFmt w:val="bullet"/>
      <w:lvlText w:val="-"/>
      <w:lvlJc w:val="left"/>
      <w:pPr>
        <w:ind w:left="720" w:hanging="360"/>
      </w:pPr>
      <w:rPr>
        <w:rFonts w:ascii="Open Sans" w:eastAsia="Open Sans" w:hAnsi="Open Sans" w:cs="Open 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56D625B"/>
    <w:multiLevelType w:val="multilevel"/>
    <w:tmpl w:val="FBAA33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6FE6C03"/>
    <w:multiLevelType w:val="hybridMultilevel"/>
    <w:tmpl w:val="EEC4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BE386F"/>
    <w:multiLevelType w:val="hybridMultilevel"/>
    <w:tmpl w:val="09D6C5A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382401F0"/>
    <w:multiLevelType w:val="multilevel"/>
    <w:tmpl w:val="165E9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9716A01"/>
    <w:multiLevelType w:val="hybridMultilevel"/>
    <w:tmpl w:val="00E21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A8F30E1"/>
    <w:multiLevelType w:val="hybridMultilevel"/>
    <w:tmpl w:val="2E12B498"/>
    <w:numStyleLink w:val="ImportedStyle2"/>
  </w:abstractNum>
  <w:abstractNum w:abstractNumId="43" w15:restartNumberingAfterBreak="0">
    <w:nsid w:val="3CB07D0F"/>
    <w:multiLevelType w:val="hybridMultilevel"/>
    <w:tmpl w:val="FFDE8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E981279"/>
    <w:multiLevelType w:val="hybridMultilevel"/>
    <w:tmpl w:val="FD02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EB97F09"/>
    <w:multiLevelType w:val="hybridMultilevel"/>
    <w:tmpl w:val="9630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00426BD"/>
    <w:multiLevelType w:val="multilevel"/>
    <w:tmpl w:val="8F6CC3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05946F3"/>
    <w:multiLevelType w:val="hybridMultilevel"/>
    <w:tmpl w:val="2E12B498"/>
    <w:styleLink w:val="ImportedStyle2"/>
    <w:lvl w:ilvl="0" w:tplc="A7F4CFDE">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C147C80">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CEACDA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A837F2">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6060510">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A6DE348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16D388">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BB87CF2">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530F30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415F0C16"/>
    <w:multiLevelType w:val="multilevel"/>
    <w:tmpl w:val="D2824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9" w15:restartNumberingAfterBreak="0">
    <w:nsid w:val="41E47E10"/>
    <w:multiLevelType w:val="hybridMultilevel"/>
    <w:tmpl w:val="1692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973F73"/>
    <w:multiLevelType w:val="hybridMultilevel"/>
    <w:tmpl w:val="BD700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62F4017"/>
    <w:multiLevelType w:val="multilevel"/>
    <w:tmpl w:val="A4DE8886"/>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ascii="Lato" w:hAnsi="Lato" w:hint="default"/>
        <w:sz w:val="28"/>
        <w:szCs w:val="28"/>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800" w:hanging="144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2160" w:hanging="1800"/>
      </w:pPr>
      <w:rPr>
        <w:rFonts w:hint="default"/>
        <w:sz w:val="22"/>
      </w:rPr>
    </w:lvl>
    <w:lvl w:ilvl="7">
      <w:start w:val="1"/>
      <w:numFmt w:val="decimal"/>
      <w:isLgl/>
      <w:lvlText w:val="%1.%2.%3.%4.%5.%6.%7.%8."/>
      <w:lvlJc w:val="left"/>
      <w:pPr>
        <w:ind w:left="2520" w:hanging="2160"/>
      </w:pPr>
      <w:rPr>
        <w:rFonts w:hint="default"/>
        <w:sz w:val="22"/>
      </w:rPr>
    </w:lvl>
    <w:lvl w:ilvl="8">
      <w:start w:val="1"/>
      <w:numFmt w:val="decimal"/>
      <w:isLgl/>
      <w:lvlText w:val="%1.%2.%3.%4.%5.%6.%7.%8.%9."/>
      <w:lvlJc w:val="left"/>
      <w:pPr>
        <w:ind w:left="2520" w:hanging="2160"/>
      </w:pPr>
      <w:rPr>
        <w:rFonts w:hint="default"/>
        <w:sz w:val="22"/>
      </w:rPr>
    </w:lvl>
  </w:abstractNum>
  <w:abstractNum w:abstractNumId="52" w15:restartNumberingAfterBreak="0">
    <w:nsid w:val="48FA7240"/>
    <w:multiLevelType w:val="hybridMultilevel"/>
    <w:tmpl w:val="5D46E51A"/>
    <w:lvl w:ilvl="0" w:tplc="CDCCBE7A">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2BA70C4"/>
    <w:multiLevelType w:val="multilevel"/>
    <w:tmpl w:val="A2F87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4B61D3F"/>
    <w:multiLevelType w:val="multilevel"/>
    <w:tmpl w:val="7AC2EC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5" w15:restartNumberingAfterBreak="0">
    <w:nsid w:val="552244B1"/>
    <w:multiLevelType w:val="hybridMultilevel"/>
    <w:tmpl w:val="F746E2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6" w15:restartNumberingAfterBreak="0">
    <w:nsid w:val="5817437A"/>
    <w:multiLevelType w:val="multilevel"/>
    <w:tmpl w:val="022EE9F0"/>
    <w:lvl w:ilvl="0">
      <w:start w:val="1"/>
      <w:numFmt w:val="lowerLetter"/>
      <w:lvlText w:val="%1."/>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7" w15:restartNumberingAfterBreak="0">
    <w:nsid w:val="587B33C4"/>
    <w:multiLevelType w:val="multilevel"/>
    <w:tmpl w:val="6BB227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9266159"/>
    <w:multiLevelType w:val="multilevel"/>
    <w:tmpl w:val="C0FAA8CE"/>
    <w:lvl w:ilvl="0">
      <w:start w:val="5"/>
      <w:numFmt w:val="decimal"/>
      <w:lvlText w:val="%1"/>
      <w:lvlJc w:val="left"/>
      <w:pPr>
        <w:ind w:left="360" w:hanging="360"/>
      </w:pPr>
      <w:rPr>
        <w:rFonts w:asciiTheme="minorHAnsi" w:hAnsiTheme="minorHAnsi" w:hint="default"/>
        <w:b/>
      </w:rPr>
    </w:lvl>
    <w:lvl w:ilvl="1">
      <w:start w:val="3"/>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1080" w:hanging="108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440" w:hanging="144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800" w:hanging="1800"/>
      </w:pPr>
      <w:rPr>
        <w:rFonts w:asciiTheme="minorHAnsi" w:hAnsiTheme="minorHAnsi" w:hint="default"/>
        <w:b/>
      </w:rPr>
    </w:lvl>
  </w:abstractNum>
  <w:abstractNum w:abstractNumId="59" w15:restartNumberingAfterBreak="0">
    <w:nsid w:val="594E3FE2"/>
    <w:multiLevelType w:val="hybridMultilevel"/>
    <w:tmpl w:val="0E620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9AB32AE"/>
    <w:multiLevelType w:val="multilevel"/>
    <w:tmpl w:val="FEFC8EAC"/>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5D380289"/>
    <w:multiLevelType w:val="multilevel"/>
    <w:tmpl w:val="C8F2A2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2" w15:restartNumberingAfterBreak="0">
    <w:nsid w:val="5ED31A31"/>
    <w:multiLevelType w:val="hybridMultilevel"/>
    <w:tmpl w:val="A1DAA130"/>
    <w:lvl w:ilvl="0" w:tplc="3EEEA1E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3" w15:restartNumberingAfterBreak="0">
    <w:nsid w:val="63F57149"/>
    <w:multiLevelType w:val="multilevel"/>
    <w:tmpl w:val="7C72AF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73C3016"/>
    <w:multiLevelType w:val="hybridMultilevel"/>
    <w:tmpl w:val="08F61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86C32D3"/>
    <w:multiLevelType w:val="hybridMultilevel"/>
    <w:tmpl w:val="08FE42E6"/>
    <w:lvl w:ilvl="0" w:tplc="5C9652AE">
      <w:start w:val="1"/>
      <w:numFmt w:val="upperRoman"/>
      <w:lvlText w:val="%1."/>
      <w:lvlJc w:val="left"/>
      <w:pPr>
        <w:ind w:left="720" w:hanging="720"/>
      </w:pPr>
      <w:rPr>
        <w:rFonts w:hint="default"/>
      </w:rPr>
    </w:lvl>
    <w:lvl w:ilvl="1" w:tplc="E14253EA">
      <w:start w:val="1"/>
      <w:numFmt w:val="decimal"/>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9104A99"/>
    <w:multiLevelType w:val="hybridMultilevel"/>
    <w:tmpl w:val="29620AC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94548DE"/>
    <w:multiLevelType w:val="multilevel"/>
    <w:tmpl w:val="74707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95E0E60"/>
    <w:multiLevelType w:val="multilevel"/>
    <w:tmpl w:val="80A604AE"/>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9" w15:restartNumberingAfterBreak="0">
    <w:nsid w:val="69B23269"/>
    <w:multiLevelType w:val="multilevel"/>
    <w:tmpl w:val="6004D9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0" w15:restartNumberingAfterBreak="0">
    <w:nsid w:val="6C7045D6"/>
    <w:multiLevelType w:val="hybridMultilevel"/>
    <w:tmpl w:val="A93E4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D71633B"/>
    <w:multiLevelType w:val="hybridMultilevel"/>
    <w:tmpl w:val="4064A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D82687E"/>
    <w:multiLevelType w:val="hybridMultilevel"/>
    <w:tmpl w:val="875C5474"/>
    <w:lvl w:ilvl="0" w:tplc="04090015">
      <w:start w:val="1"/>
      <w:numFmt w:val="upperLetter"/>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DB92760"/>
    <w:multiLevelType w:val="hybridMultilevel"/>
    <w:tmpl w:val="8EA030A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E295A7C"/>
    <w:multiLevelType w:val="hybridMultilevel"/>
    <w:tmpl w:val="1A8A79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FF6071C"/>
    <w:multiLevelType w:val="multilevel"/>
    <w:tmpl w:val="A4DE8886"/>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ascii="Lato" w:hAnsi="Lato" w:hint="default"/>
        <w:sz w:val="28"/>
        <w:szCs w:val="28"/>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800" w:hanging="144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2160" w:hanging="1800"/>
      </w:pPr>
      <w:rPr>
        <w:rFonts w:hint="default"/>
        <w:sz w:val="22"/>
      </w:rPr>
    </w:lvl>
    <w:lvl w:ilvl="7">
      <w:start w:val="1"/>
      <w:numFmt w:val="decimal"/>
      <w:isLgl/>
      <w:lvlText w:val="%1.%2.%3.%4.%5.%6.%7.%8."/>
      <w:lvlJc w:val="left"/>
      <w:pPr>
        <w:ind w:left="2520" w:hanging="2160"/>
      </w:pPr>
      <w:rPr>
        <w:rFonts w:hint="default"/>
        <w:sz w:val="22"/>
      </w:rPr>
    </w:lvl>
    <w:lvl w:ilvl="8">
      <w:start w:val="1"/>
      <w:numFmt w:val="decimal"/>
      <w:isLgl/>
      <w:lvlText w:val="%1.%2.%3.%4.%5.%6.%7.%8.%9."/>
      <w:lvlJc w:val="left"/>
      <w:pPr>
        <w:ind w:left="2520" w:hanging="2160"/>
      </w:pPr>
      <w:rPr>
        <w:rFonts w:hint="default"/>
        <w:sz w:val="22"/>
      </w:rPr>
    </w:lvl>
  </w:abstractNum>
  <w:abstractNum w:abstractNumId="76" w15:restartNumberingAfterBreak="0">
    <w:nsid w:val="70302944"/>
    <w:multiLevelType w:val="multilevel"/>
    <w:tmpl w:val="C562E2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7" w15:restartNumberingAfterBreak="0">
    <w:nsid w:val="70B23AF8"/>
    <w:multiLevelType w:val="multilevel"/>
    <w:tmpl w:val="EC2E4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77931EE3"/>
    <w:multiLevelType w:val="hybridMultilevel"/>
    <w:tmpl w:val="6132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D33ACD"/>
    <w:multiLevelType w:val="hybridMultilevel"/>
    <w:tmpl w:val="86969BD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78C3102B"/>
    <w:multiLevelType w:val="hybridMultilevel"/>
    <w:tmpl w:val="EE50278E"/>
    <w:styleLink w:val="ImportedStyle3"/>
    <w:lvl w:ilvl="0" w:tplc="D0AE344A">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992638E">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BB9004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6EC1FE">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AF888662">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A2C8B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E4C11E">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0C8C150">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7DCC3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78CB4C0C"/>
    <w:multiLevelType w:val="multilevel"/>
    <w:tmpl w:val="A4DE8886"/>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ascii="Lato" w:hAnsi="Lato" w:hint="default"/>
        <w:sz w:val="28"/>
        <w:szCs w:val="28"/>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800" w:hanging="144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2160" w:hanging="1800"/>
      </w:pPr>
      <w:rPr>
        <w:rFonts w:hint="default"/>
        <w:sz w:val="22"/>
      </w:rPr>
    </w:lvl>
    <w:lvl w:ilvl="7">
      <w:start w:val="1"/>
      <w:numFmt w:val="decimal"/>
      <w:isLgl/>
      <w:lvlText w:val="%1.%2.%3.%4.%5.%6.%7.%8."/>
      <w:lvlJc w:val="left"/>
      <w:pPr>
        <w:ind w:left="2520" w:hanging="2160"/>
      </w:pPr>
      <w:rPr>
        <w:rFonts w:hint="default"/>
        <w:sz w:val="22"/>
      </w:rPr>
    </w:lvl>
    <w:lvl w:ilvl="8">
      <w:start w:val="1"/>
      <w:numFmt w:val="decimal"/>
      <w:isLgl/>
      <w:lvlText w:val="%1.%2.%3.%4.%5.%6.%7.%8.%9."/>
      <w:lvlJc w:val="left"/>
      <w:pPr>
        <w:ind w:left="2520" w:hanging="2160"/>
      </w:pPr>
      <w:rPr>
        <w:rFonts w:hint="default"/>
        <w:sz w:val="22"/>
      </w:rPr>
    </w:lvl>
  </w:abstractNum>
  <w:abstractNum w:abstractNumId="82" w15:restartNumberingAfterBreak="0">
    <w:nsid w:val="7B362AF5"/>
    <w:multiLevelType w:val="hybridMultilevel"/>
    <w:tmpl w:val="65E2F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BFA75AC"/>
    <w:multiLevelType w:val="multilevel"/>
    <w:tmpl w:val="24368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E8F7C1A"/>
    <w:multiLevelType w:val="hybridMultilevel"/>
    <w:tmpl w:val="67FEE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F0E2252"/>
    <w:multiLevelType w:val="hybridMultilevel"/>
    <w:tmpl w:val="6F8268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32094290">
    <w:abstractNumId w:val="56"/>
  </w:num>
  <w:num w:numId="2" w16cid:durableId="2083215122">
    <w:abstractNumId w:val="34"/>
  </w:num>
  <w:num w:numId="3" w16cid:durableId="194850600">
    <w:abstractNumId w:val="44"/>
  </w:num>
  <w:num w:numId="4" w16cid:durableId="1998535976">
    <w:abstractNumId w:val="20"/>
  </w:num>
  <w:num w:numId="5" w16cid:durableId="46758803">
    <w:abstractNumId w:val="45"/>
  </w:num>
  <w:num w:numId="6" w16cid:durableId="3799417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4197802">
    <w:abstractNumId w:val="28"/>
  </w:num>
  <w:num w:numId="8" w16cid:durableId="380403465">
    <w:abstractNumId w:val="21"/>
  </w:num>
  <w:num w:numId="9" w16cid:durableId="3292182">
    <w:abstractNumId w:val="57"/>
  </w:num>
  <w:num w:numId="10" w16cid:durableId="568229537">
    <w:abstractNumId w:val="54"/>
  </w:num>
  <w:num w:numId="11" w16cid:durableId="1159224659">
    <w:abstractNumId w:val="61"/>
  </w:num>
  <w:num w:numId="12" w16cid:durableId="261189761">
    <w:abstractNumId w:val="31"/>
  </w:num>
  <w:num w:numId="13" w16cid:durableId="1183787214">
    <w:abstractNumId w:val="69"/>
  </w:num>
  <w:num w:numId="14" w16cid:durableId="2088071183">
    <w:abstractNumId w:val="48"/>
  </w:num>
  <w:num w:numId="15" w16cid:durableId="1868057530">
    <w:abstractNumId w:val="14"/>
  </w:num>
  <w:num w:numId="16" w16cid:durableId="464661075">
    <w:abstractNumId w:val="15"/>
  </w:num>
  <w:num w:numId="17" w16cid:durableId="1086463078">
    <w:abstractNumId w:val="76"/>
  </w:num>
  <w:num w:numId="18" w16cid:durableId="1490243790">
    <w:abstractNumId w:val="52"/>
  </w:num>
  <w:num w:numId="19" w16cid:durableId="643319221">
    <w:abstractNumId w:val="41"/>
  </w:num>
  <w:num w:numId="20" w16cid:durableId="1045567473">
    <w:abstractNumId w:val="13"/>
  </w:num>
  <w:num w:numId="21" w16cid:durableId="1207064657">
    <w:abstractNumId w:val="9"/>
  </w:num>
  <w:num w:numId="22" w16cid:durableId="1553692475">
    <w:abstractNumId w:val="12"/>
  </w:num>
  <w:num w:numId="23" w16cid:durableId="1321735462">
    <w:abstractNumId w:val="47"/>
  </w:num>
  <w:num w:numId="24" w16cid:durableId="1418594220">
    <w:abstractNumId w:val="42"/>
  </w:num>
  <w:num w:numId="25" w16cid:durableId="478419073">
    <w:abstractNumId w:val="80"/>
  </w:num>
  <w:num w:numId="26" w16cid:durableId="1006664681">
    <w:abstractNumId w:val="18"/>
  </w:num>
  <w:num w:numId="27" w16cid:durableId="571238097">
    <w:abstractNumId w:val="39"/>
  </w:num>
  <w:num w:numId="28" w16cid:durableId="922303146">
    <w:abstractNumId w:val="85"/>
  </w:num>
  <w:num w:numId="29" w16cid:durableId="1790077731">
    <w:abstractNumId w:val="65"/>
  </w:num>
  <w:num w:numId="30" w16cid:durableId="431627294">
    <w:abstractNumId w:val="0"/>
  </w:num>
  <w:num w:numId="31" w16cid:durableId="1704358532">
    <w:abstractNumId w:val="73"/>
  </w:num>
  <w:num w:numId="32" w16cid:durableId="939483841">
    <w:abstractNumId w:val="66"/>
  </w:num>
  <w:num w:numId="33" w16cid:durableId="586041201">
    <w:abstractNumId w:val="30"/>
  </w:num>
  <w:num w:numId="34" w16cid:durableId="966663738">
    <w:abstractNumId w:val="63"/>
  </w:num>
  <w:num w:numId="35" w16cid:durableId="470631263">
    <w:abstractNumId w:val="29"/>
  </w:num>
  <w:num w:numId="36" w16cid:durableId="568461231">
    <w:abstractNumId w:val="16"/>
  </w:num>
  <w:num w:numId="37" w16cid:durableId="641159321">
    <w:abstractNumId w:val="46"/>
  </w:num>
  <w:num w:numId="38" w16cid:durableId="102893089">
    <w:abstractNumId w:val="27"/>
  </w:num>
  <w:num w:numId="39" w16cid:durableId="447939067">
    <w:abstractNumId w:val="37"/>
  </w:num>
  <w:num w:numId="40" w16cid:durableId="2100441153">
    <w:abstractNumId w:val="3"/>
  </w:num>
  <w:num w:numId="41" w16cid:durableId="1562403924">
    <w:abstractNumId w:val="67"/>
  </w:num>
  <w:num w:numId="42" w16cid:durableId="383986961">
    <w:abstractNumId w:val="26"/>
  </w:num>
  <w:num w:numId="43" w16cid:durableId="535236572">
    <w:abstractNumId w:val="83"/>
  </w:num>
  <w:num w:numId="44" w16cid:durableId="1133788382">
    <w:abstractNumId w:val="4"/>
  </w:num>
  <w:num w:numId="45" w16cid:durableId="1090274971">
    <w:abstractNumId w:val="79"/>
  </w:num>
  <w:num w:numId="46" w16cid:durableId="489442751">
    <w:abstractNumId w:val="6"/>
  </w:num>
  <w:num w:numId="47" w16cid:durableId="1371421107">
    <w:abstractNumId w:val="78"/>
  </w:num>
  <w:num w:numId="48" w16cid:durableId="1899706374">
    <w:abstractNumId w:val="40"/>
  </w:num>
  <w:num w:numId="49" w16cid:durableId="1591113499">
    <w:abstractNumId w:val="35"/>
  </w:num>
  <w:num w:numId="50" w16cid:durableId="1252393219">
    <w:abstractNumId w:val="10"/>
  </w:num>
  <w:num w:numId="51" w16cid:durableId="1289821133">
    <w:abstractNumId w:val="32"/>
  </w:num>
  <w:num w:numId="52" w16cid:durableId="2031444717">
    <w:abstractNumId w:val="53"/>
  </w:num>
  <w:num w:numId="53" w16cid:durableId="888495335">
    <w:abstractNumId w:val="25"/>
  </w:num>
  <w:num w:numId="54" w16cid:durableId="1651639040">
    <w:abstractNumId w:val="77"/>
  </w:num>
  <w:num w:numId="55" w16cid:durableId="229537732">
    <w:abstractNumId w:val="23"/>
  </w:num>
  <w:num w:numId="56" w16cid:durableId="1114448840">
    <w:abstractNumId w:val="8"/>
  </w:num>
  <w:num w:numId="57" w16cid:durableId="1243611276">
    <w:abstractNumId w:val="11"/>
  </w:num>
  <w:num w:numId="58" w16cid:durableId="1880051518">
    <w:abstractNumId w:val="71"/>
  </w:num>
  <w:num w:numId="59" w16cid:durableId="194463831">
    <w:abstractNumId w:val="2"/>
  </w:num>
  <w:num w:numId="60" w16cid:durableId="1106002042">
    <w:abstractNumId w:val="74"/>
  </w:num>
  <w:num w:numId="61" w16cid:durableId="1247150152">
    <w:abstractNumId w:val="58"/>
  </w:num>
  <w:num w:numId="62" w16cid:durableId="888762009">
    <w:abstractNumId w:val="59"/>
  </w:num>
  <w:num w:numId="63" w16cid:durableId="23292578">
    <w:abstractNumId w:val="1"/>
  </w:num>
  <w:num w:numId="64" w16cid:durableId="1557476068">
    <w:abstractNumId w:val="36"/>
  </w:num>
  <w:num w:numId="65" w16cid:durableId="1244560964">
    <w:abstractNumId w:val="51"/>
  </w:num>
  <w:num w:numId="66" w16cid:durableId="1640114199">
    <w:abstractNumId w:val="75"/>
  </w:num>
  <w:num w:numId="67" w16cid:durableId="1287808676">
    <w:abstractNumId w:val="81"/>
  </w:num>
  <w:num w:numId="68" w16cid:durableId="944119115">
    <w:abstractNumId w:val="17"/>
  </w:num>
  <w:num w:numId="69" w16cid:durableId="879509253">
    <w:abstractNumId w:val="5"/>
  </w:num>
  <w:num w:numId="70" w16cid:durableId="737633402">
    <w:abstractNumId w:val="7"/>
  </w:num>
  <w:num w:numId="71" w16cid:durableId="2051220291">
    <w:abstractNumId w:val="49"/>
  </w:num>
  <w:num w:numId="72" w16cid:durableId="245647949">
    <w:abstractNumId w:val="33"/>
  </w:num>
  <w:num w:numId="73" w16cid:durableId="1518740265">
    <w:abstractNumId w:val="19"/>
  </w:num>
  <w:num w:numId="74" w16cid:durableId="661664981">
    <w:abstractNumId w:val="84"/>
  </w:num>
  <w:num w:numId="75" w16cid:durableId="1870752032">
    <w:abstractNumId w:val="50"/>
  </w:num>
  <w:num w:numId="76" w16cid:durableId="1023019838">
    <w:abstractNumId w:val="70"/>
  </w:num>
  <w:num w:numId="77" w16cid:durableId="445582544">
    <w:abstractNumId w:val="24"/>
  </w:num>
  <w:num w:numId="78" w16cid:durableId="775557739">
    <w:abstractNumId w:val="68"/>
  </w:num>
  <w:num w:numId="79" w16cid:durableId="920143577">
    <w:abstractNumId w:val="82"/>
  </w:num>
  <w:num w:numId="80" w16cid:durableId="1076050208">
    <w:abstractNumId w:val="60"/>
  </w:num>
  <w:num w:numId="81" w16cid:durableId="1122113269">
    <w:abstractNumId w:val="22"/>
  </w:num>
  <w:num w:numId="82" w16cid:durableId="1398480838">
    <w:abstractNumId w:val="62"/>
  </w:num>
  <w:num w:numId="83" w16cid:durableId="127745309">
    <w:abstractNumId w:val="43"/>
  </w:num>
  <w:num w:numId="84" w16cid:durableId="1362125811">
    <w:abstractNumId w:val="38"/>
  </w:num>
  <w:num w:numId="85" w16cid:durableId="1304237349">
    <w:abstractNumId w:val="64"/>
  </w:num>
  <w:num w:numId="86" w16cid:durableId="731806942">
    <w:abstractNumId w:val="7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F01"/>
    <w:rsid w:val="000035AC"/>
    <w:rsid w:val="00003739"/>
    <w:rsid w:val="00003BB0"/>
    <w:rsid w:val="0000581F"/>
    <w:rsid w:val="00007B85"/>
    <w:rsid w:val="00007C68"/>
    <w:rsid w:val="000117D8"/>
    <w:rsid w:val="00016631"/>
    <w:rsid w:val="00024E4A"/>
    <w:rsid w:val="00025375"/>
    <w:rsid w:val="000259F7"/>
    <w:rsid w:val="00025F90"/>
    <w:rsid w:val="00026E75"/>
    <w:rsid w:val="00031192"/>
    <w:rsid w:val="0003525D"/>
    <w:rsid w:val="000360BD"/>
    <w:rsid w:val="0003742C"/>
    <w:rsid w:val="0004323E"/>
    <w:rsid w:val="00043AFC"/>
    <w:rsid w:val="000462B9"/>
    <w:rsid w:val="00046548"/>
    <w:rsid w:val="00047ED4"/>
    <w:rsid w:val="00053A06"/>
    <w:rsid w:val="00054E79"/>
    <w:rsid w:val="0006153E"/>
    <w:rsid w:val="00066AC1"/>
    <w:rsid w:val="00067162"/>
    <w:rsid w:val="00070738"/>
    <w:rsid w:val="00073291"/>
    <w:rsid w:val="000757A5"/>
    <w:rsid w:val="0007677A"/>
    <w:rsid w:val="00081B0F"/>
    <w:rsid w:val="00082245"/>
    <w:rsid w:val="00084030"/>
    <w:rsid w:val="00086B25"/>
    <w:rsid w:val="00086C56"/>
    <w:rsid w:val="00087E1B"/>
    <w:rsid w:val="000903CD"/>
    <w:rsid w:val="000939D6"/>
    <w:rsid w:val="00093AA7"/>
    <w:rsid w:val="000948CB"/>
    <w:rsid w:val="000978FA"/>
    <w:rsid w:val="000A263E"/>
    <w:rsid w:val="000A2C0D"/>
    <w:rsid w:val="000A2C22"/>
    <w:rsid w:val="000A37F6"/>
    <w:rsid w:val="000A4DD6"/>
    <w:rsid w:val="000B4039"/>
    <w:rsid w:val="000B6484"/>
    <w:rsid w:val="000B7329"/>
    <w:rsid w:val="000C0188"/>
    <w:rsid w:val="000C0495"/>
    <w:rsid w:val="000C060B"/>
    <w:rsid w:val="000C32EE"/>
    <w:rsid w:val="000C53E6"/>
    <w:rsid w:val="000C6084"/>
    <w:rsid w:val="000D2910"/>
    <w:rsid w:val="000D5FBF"/>
    <w:rsid w:val="000E1ABB"/>
    <w:rsid w:val="000E3C74"/>
    <w:rsid w:val="000E6ACC"/>
    <w:rsid w:val="000F048A"/>
    <w:rsid w:val="000F081E"/>
    <w:rsid w:val="000F09C4"/>
    <w:rsid w:val="000F3E6E"/>
    <w:rsid w:val="000F4B38"/>
    <w:rsid w:val="000F5708"/>
    <w:rsid w:val="000F611B"/>
    <w:rsid w:val="000F69D5"/>
    <w:rsid w:val="0010315F"/>
    <w:rsid w:val="00105FAB"/>
    <w:rsid w:val="00106467"/>
    <w:rsid w:val="00110940"/>
    <w:rsid w:val="001115E8"/>
    <w:rsid w:val="00111766"/>
    <w:rsid w:val="001165CE"/>
    <w:rsid w:val="00116887"/>
    <w:rsid w:val="001169EE"/>
    <w:rsid w:val="00117981"/>
    <w:rsid w:val="001218A5"/>
    <w:rsid w:val="0012268E"/>
    <w:rsid w:val="00124800"/>
    <w:rsid w:val="0012794B"/>
    <w:rsid w:val="00127C03"/>
    <w:rsid w:val="00142D37"/>
    <w:rsid w:val="00145E36"/>
    <w:rsid w:val="001477E4"/>
    <w:rsid w:val="00147A79"/>
    <w:rsid w:val="001505CA"/>
    <w:rsid w:val="001509E6"/>
    <w:rsid w:val="00150B70"/>
    <w:rsid w:val="001526D1"/>
    <w:rsid w:val="00152C26"/>
    <w:rsid w:val="001542FD"/>
    <w:rsid w:val="00156217"/>
    <w:rsid w:val="0015691D"/>
    <w:rsid w:val="00160303"/>
    <w:rsid w:val="001625EC"/>
    <w:rsid w:val="00162E17"/>
    <w:rsid w:val="00163EC3"/>
    <w:rsid w:val="001652C2"/>
    <w:rsid w:val="00167E39"/>
    <w:rsid w:val="001731E3"/>
    <w:rsid w:val="001751F9"/>
    <w:rsid w:val="00175BBE"/>
    <w:rsid w:val="00180756"/>
    <w:rsid w:val="001815C1"/>
    <w:rsid w:val="0018231F"/>
    <w:rsid w:val="00186134"/>
    <w:rsid w:val="00191007"/>
    <w:rsid w:val="001960FF"/>
    <w:rsid w:val="001A08F1"/>
    <w:rsid w:val="001A1E76"/>
    <w:rsid w:val="001A669F"/>
    <w:rsid w:val="001A6E50"/>
    <w:rsid w:val="001B056C"/>
    <w:rsid w:val="001B4854"/>
    <w:rsid w:val="001C07C8"/>
    <w:rsid w:val="001C0D18"/>
    <w:rsid w:val="001C1B60"/>
    <w:rsid w:val="001C4C57"/>
    <w:rsid w:val="001C60FA"/>
    <w:rsid w:val="001D1108"/>
    <w:rsid w:val="001D1C00"/>
    <w:rsid w:val="001D51E0"/>
    <w:rsid w:val="001D56DA"/>
    <w:rsid w:val="001D67A4"/>
    <w:rsid w:val="001E0127"/>
    <w:rsid w:val="001E5A6A"/>
    <w:rsid w:val="001E6203"/>
    <w:rsid w:val="001E70F1"/>
    <w:rsid w:val="001F2F9D"/>
    <w:rsid w:val="001F3404"/>
    <w:rsid w:val="001F4F02"/>
    <w:rsid w:val="001F529B"/>
    <w:rsid w:val="001F55C4"/>
    <w:rsid w:val="00200315"/>
    <w:rsid w:val="00200322"/>
    <w:rsid w:val="00200581"/>
    <w:rsid w:val="00202AF6"/>
    <w:rsid w:val="00203C16"/>
    <w:rsid w:val="00203E41"/>
    <w:rsid w:val="00205D12"/>
    <w:rsid w:val="00207AD4"/>
    <w:rsid w:val="002119C8"/>
    <w:rsid w:val="00212C8C"/>
    <w:rsid w:val="00214240"/>
    <w:rsid w:val="0022059A"/>
    <w:rsid w:val="002219DE"/>
    <w:rsid w:val="00224BB5"/>
    <w:rsid w:val="00225872"/>
    <w:rsid w:val="002309FE"/>
    <w:rsid w:val="00235013"/>
    <w:rsid w:val="0023675E"/>
    <w:rsid w:val="002376BC"/>
    <w:rsid w:val="0024024C"/>
    <w:rsid w:val="0024292B"/>
    <w:rsid w:val="00242C30"/>
    <w:rsid w:val="00245EFC"/>
    <w:rsid w:val="002461F7"/>
    <w:rsid w:val="0025112B"/>
    <w:rsid w:val="00254EC5"/>
    <w:rsid w:val="0025598F"/>
    <w:rsid w:val="00257D7E"/>
    <w:rsid w:val="00263483"/>
    <w:rsid w:val="00264B3D"/>
    <w:rsid w:val="00267A31"/>
    <w:rsid w:val="00272D3C"/>
    <w:rsid w:val="00274630"/>
    <w:rsid w:val="00276AFB"/>
    <w:rsid w:val="00276C48"/>
    <w:rsid w:val="002813AF"/>
    <w:rsid w:val="00290E02"/>
    <w:rsid w:val="0029384D"/>
    <w:rsid w:val="00293C76"/>
    <w:rsid w:val="00294176"/>
    <w:rsid w:val="00296326"/>
    <w:rsid w:val="002A06F4"/>
    <w:rsid w:val="002A0773"/>
    <w:rsid w:val="002A1A5A"/>
    <w:rsid w:val="002A34E9"/>
    <w:rsid w:val="002A6AAC"/>
    <w:rsid w:val="002A6D83"/>
    <w:rsid w:val="002A757F"/>
    <w:rsid w:val="002A799A"/>
    <w:rsid w:val="002B4B8E"/>
    <w:rsid w:val="002D2851"/>
    <w:rsid w:val="002D35E4"/>
    <w:rsid w:val="002D48FE"/>
    <w:rsid w:val="002D4F4D"/>
    <w:rsid w:val="002D78E7"/>
    <w:rsid w:val="002E02E4"/>
    <w:rsid w:val="002E09BA"/>
    <w:rsid w:val="002E31B4"/>
    <w:rsid w:val="002E43B8"/>
    <w:rsid w:val="002F0778"/>
    <w:rsid w:val="002F1E8C"/>
    <w:rsid w:val="002F2B16"/>
    <w:rsid w:val="002F5DDA"/>
    <w:rsid w:val="00301BD0"/>
    <w:rsid w:val="0030216C"/>
    <w:rsid w:val="00302614"/>
    <w:rsid w:val="0030435D"/>
    <w:rsid w:val="00310DEA"/>
    <w:rsid w:val="00310EF1"/>
    <w:rsid w:val="003140C1"/>
    <w:rsid w:val="003151D4"/>
    <w:rsid w:val="00316B8C"/>
    <w:rsid w:val="00323462"/>
    <w:rsid w:val="00326797"/>
    <w:rsid w:val="003276ED"/>
    <w:rsid w:val="00336FAD"/>
    <w:rsid w:val="00350BDA"/>
    <w:rsid w:val="00351218"/>
    <w:rsid w:val="00351E27"/>
    <w:rsid w:val="003542B7"/>
    <w:rsid w:val="0035745A"/>
    <w:rsid w:val="00365498"/>
    <w:rsid w:val="0036637E"/>
    <w:rsid w:val="00370457"/>
    <w:rsid w:val="00371C36"/>
    <w:rsid w:val="00373E4E"/>
    <w:rsid w:val="00374CE7"/>
    <w:rsid w:val="00375309"/>
    <w:rsid w:val="00381F08"/>
    <w:rsid w:val="00382611"/>
    <w:rsid w:val="003833EF"/>
    <w:rsid w:val="00386590"/>
    <w:rsid w:val="003905B2"/>
    <w:rsid w:val="0039127B"/>
    <w:rsid w:val="00393385"/>
    <w:rsid w:val="00393A67"/>
    <w:rsid w:val="00393D1A"/>
    <w:rsid w:val="003964E8"/>
    <w:rsid w:val="00397785"/>
    <w:rsid w:val="003A102B"/>
    <w:rsid w:val="003A1B55"/>
    <w:rsid w:val="003B187D"/>
    <w:rsid w:val="003B3DB5"/>
    <w:rsid w:val="003B407B"/>
    <w:rsid w:val="003B4873"/>
    <w:rsid w:val="003B64C2"/>
    <w:rsid w:val="003C12AC"/>
    <w:rsid w:val="003C2176"/>
    <w:rsid w:val="003C30AA"/>
    <w:rsid w:val="003C4723"/>
    <w:rsid w:val="003C6B98"/>
    <w:rsid w:val="003D0BF1"/>
    <w:rsid w:val="003D0FA1"/>
    <w:rsid w:val="003D302D"/>
    <w:rsid w:val="003E2412"/>
    <w:rsid w:val="003E3614"/>
    <w:rsid w:val="003E3C2E"/>
    <w:rsid w:val="003E6953"/>
    <w:rsid w:val="003E7376"/>
    <w:rsid w:val="003E7A15"/>
    <w:rsid w:val="003F0F1A"/>
    <w:rsid w:val="003F36FB"/>
    <w:rsid w:val="003F4981"/>
    <w:rsid w:val="00404AC5"/>
    <w:rsid w:val="00411B8E"/>
    <w:rsid w:val="00412853"/>
    <w:rsid w:val="0041503D"/>
    <w:rsid w:val="004160BE"/>
    <w:rsid w:val="00423CF7"/>
    <w:rsid w:val="0042474F"/>
    <w:rsid w:val="00427702"/>
    <w:rsid w:val="00432CEE"/>
    <w:rsid w:val="00434B1E"/>
    <w:rsid w:val="00434F29"/>
    <w:rsid w:val="00436BD4"/>
    <w:rsid w:val="00440306"/>
    <w:rsid w:val="0044133B"/>
    <w:rsid w:val="00447E05"/>
    <w:rsid w:val="00450F52"/>
    <w:rsid w:val="00454C1F"/>
    <w:rsid w:val="00457F18"/>
    <w:rsid w:val="0046523C"/>
    <w:rsid w:val="00465786"/>
    <w:rsid w:val="00466838"/>
    <w:rsid w:val="00467538"/>
    <w:rsid w:val="00472984"/>
    <w:rsid w:val="0047379C"/>
    <w:rsid w:val="0047652F"/>
    <w:rsid w:val="004768A3"/>
    <w:rsid w:val="00490FD3"/>
    <w:rsid w:val="00492327"/>
    <w:rsid w:val="00495502"/>
    <w:rsid w:val="00497429"/>
    <w:rsid w:val="004A0ED4"/>
    <w:rsid w:val="004B082D"/>
    <w:rsid w:val="004B1532"/>
    <w:rsid w:val="004B5AA7"/>
    <w:rsid w:val="004C06C4"/>
    <w:rsid w:val="004C1853"/>
    <w:rsid w:val="004C2856"/>
    <w:rsid w:val="004C531F"/>
    <w:rsid w:val="004D0502"/>
    <w:rsid w:val="004D2CE9"/>
    <w:rsid w:val="004D7CB4"/>
    <w:rsid w:val="004E23B5"/>
    <w:rsid w:val="004E3954"/>
    <w:rsid w:val="004E3CEC"/>
    <w:rsid w:val="004E460E"/>
    <w:rsid w:val="004E4A55"/>
    <w:rsid w:val="004E7016"/>
    <w:rsid w:val="004F206D"/>
    <w:rsid w:val="004F2BEB"/>
    <w:rsid w:val="00500FE3"/>
    <w:rsid w:val="00502035"/>
    <w:rsid w:val="0050792B"/>
    <w:rsid w:val="005143D4"/>
    <w:rsid w:val="005146E5"/>
    <w:rsid w:val="0051570E"/>
    <w:rsid w:val="00520839"/>
    <w:rsid w:val="0052115B"/>
    <w:rsid w:val="00525A1A"/>
    <w:rsid w:val="00532796"/>
    <w:rsid w:val="00536BC0"/>
    <w:rsid w:val="0054717B"/>
    <w:rsid w:val="00547A4E"/>
    <w:rsid w:val="00552FB7"/>
    <w:rsid w:val="005613B1"/>
    <w:rsid w:val="00562599"/>
    <w:rsid w:val="00563E40"/>
    <w:rsid w:val="005661B6"/>
    <w:rsid w:val="005671CD"/>
    <w:rsid w:val="00567C9C"/>
    <w:rsid w:val="00570BB3"/>
    <w:rsid w:val="0058634C"/>
    <w:rsid w:val="0058773F"/>
    <w:rsid w:val="005914F0"/>
    <w:rsid w:val="00591DFD"/>
    <w:rsid w:val="0059390A"/>
    <w:rsid w:val="005949D6"/>
    <w:rsid w:val="005A1D75"/>
    <w:rsid w:val="005A1D90"/>
    <w:rsid w:val="005A1E66"/>
    <w:rsid w:val="005A2D78"/>
    <w:rsid w:val="005A4482"/>
    <w:rsid w:val="005A49E9"/>
    <w:rsid w:val="005A4FD8"/>
    <w:rsid w:val="005A67C5"/>
    <w:rsid w:val="005A7D33"/>
    <w:rsid w:val="005B6185"/>
    <w:rsid w:val="005B7BE6"/>
    <w:rsid w:val="005C1AB1"/>
    <w:rsid w:val="005C29F7"/>
    <w:rsid w:val="005C3D1D"/>
    <w:rsid w:val="005D3D5D"/>
    <w:rsid w:val="005D4D8B"/>
    <w:rsid w:val="005D65D0"/>
    <w:rsid w:val="005E0792"/>
    <w:rsid w:val="005E1447"/>
    <w:rsid w:val="005E271C"/>
    <w:rsid w:val="005E4EF9"/>
    <w:rsid w:val="005E5797"/>
    <w:rsid w:val="005E7268"/>
    <w:rsid w:val="005E77D6"/>
    <w:rsid w:val="005E7AFC"/>
    <w:rsid w:val="005F14E2"/>
    <w:rsid w:val="005F30F0"/>
    <w:rsid w:val="005F54BD"/>
    <w:rsid w:val="0060140A"/>
    <w:rsid w:val="006047D2"/>
    <w:rsid w:val="006051CD"/>
    <w:rsid w:val="0061127A"/>
    <w:rsid w:val="0061169F"/>
    <w:rsid w:val="00614BDD"/>
    <w:rsid w:val="006167B5"/>
    <w:rsid w:val="006201C3"/>
    <w:rsid w:val="006225E5"/>
    <w:rsid w:val="00627F44"/>
    <w:rsid w:val="006312CE"/>
    <w:rsid w:val="006354F9"/>
    <w:rsid w:val="00637CD8"/>
    <w:rsid w:val="0064448F"/>
    <w:rsid w:val="00646250"/>
    <w:rsid w:val="006468C9"/>
    <w:rsid w:val="00647136"/>
    <w:rsid w:val="0064748E"/>
    <w:rsid w:val="006507C9"/>
    <w:rsid w:val="00650BF2"/>
    <w:rsid w:val="006521B7"/>
    <w:rsid w:val="006521E4"/>
    <w:rsid w:val="006564D7"/>
    <w:rsid w:val="006614CA"/>
    <w:rsid w:val="006649A0"/>
    <w:rsid w:val="00664C8F"/>
    <w:rsid w:val="00665857"/>
    <w:rsid w:val="00667D99"/>
    <w:rsid w:val="006746AD"/>
    <w:rsid w:val="0067797C"/>
    <w:rsid w:val="00680222"/>
    <w:rsid w:val="00680F3F"/>
    <w:rsid w:val="00681B66"/>
    <w:rsid w:val="006826E8"/>
    <w:rsid w:val="00684D9A"/>
    <w:rsid w:val="0068554B"/>
    <w:rsid w:val="006912B5"/>
    <w:rsid w:val="00692AF6"/>
    <w:rsid w:val="00693061"/>
    <w:rsid w:val="006A42D3"/>
    <w:rsid w:val="006A5BE3"/>
    <w:rsid w:val="006A6067"/>
    <w:rsid w:val="006B184A"/>
    <w:rsid w:val="006B2756"/>
    <w:rsid w:val="006B2A62"/>
    <w:rsid w:val="006B2BF4"/>
    <w:rsid w:val="006B4A41"/>
    <w:rsid w:val="006B5A28"/>
    <w:rsid w:val="006C0DE3"/>
    <w:rsid w:val="006C576E"/>
    <w:rsid w:val="006C58E8"/>
    <w:rsid w:val="006C6945"/>
    <w:rsid w:val="006C6FDB"/>
    <w:rsid w:val="006D1E18"/>
    <w:rsid w:val="006D38FF"/>
    <w:rsid w:val="006D4B7C"/>
    <w:rsid w:val="006E1886"/>
    <w:rsid w:val="006E2651"/>
    <w:rsid w:val="006E5EF4"/>
    <w:rsid w:val="006F20BE"/>
    <w:rsid w:val="006F3DF1"/>
    <w:rsid w:val="006F62B3"/>
    <w:rsid w:val="00700F8D"/>
    <w:rsid w:val="007018D8"/>
    <w:rsid w:val="00701DC8"/>
    <w:rsid w:val="00702415"/>
    <w:rsid w:val="00702438"/>
    <w:rsid w:val="00703724"/>
    <w:rsid w:val="00710667"/>
    <w:rsid w:val="00711D6F"/>
    <w:rsid w:val="007121BC"/>
    <w:rsid w:val="007127FE"/>
    <w:rsid w:val="00720108"/>
    <w:rsid w:val="00720E42"/>
    <w:rsid w:val="00723372"/>
    <w:rsid w:val="007262A3"/>
    <w:rsid w:val="00730D32"/>
    <w:rsid w:val="007318A5"/>
    <w:rsid w:val="00733066"/>
    <w:rsid w:val="00735AEF"/>
    <w:rsid w:val="00735F33"/>
    <w:rsid w:val="007411C3"/>
    <w:rsid w:val="0074569E"/>
    <w:rsid w:val="00747715"/>
    <w:rsid w:val="007477D3"/>
    <w:rsid w:val="00750249"/>
    <w:rsid w:val="0075243F"/>
    <w:rsid w:val="00753297"/>
    <w:rsid w:val="007545B0"/>
    <w:rsid w:val="0075731D"/>
    <w:rsid w:val="0076035C"/>
    <w:rsid w:val="007607BB"/>
    <w:rsid w:val="00763089"/>
    <w:rsid w:val="00764837"/>
    <w:rsid w:val="0076609D"/>
    <w:rsid w:val="007807F1"/>
    <w:rsid w:val="00781A1C"/>
    <w:rsid w:val="00782952"/>
    <w:rsid w:val="00782AC5"/>
    <w:rsid w:val="007854EF"/>
    <w:rsid w:val="007879CE"/>
    <w:rsid w:val="0079207F"/>
    <w:rsid w:val="00794C94"/>
    <w:rsid w:val="00795037"/>
    <w:rsid w:val="007A5F01"/>
    <w:rsid w:val="007B0511"/>
    <w:rsid w:val="007B2895"/>
    <w:rsid w:val="007B31E8"/>
    <w:rsid w:val="007B70F8"/>
    <w:rsid w:val="007C117F"/>
    <w:rsid w:val="007C1D6F"/>
    <w:rsid w:val="007C31EE"/>
    <w:rsid w:val="007C4C77"/>
    <w:rsid w:val="007C5976"/>
    <w:rsid w:val="007C7566"/>
    <w:rsid w:val="007D0653"/>
    <w:rsid w:val="007D084D"/>
    <w:rsid w:val="007D139F"/>
    <w:rsid w:val="007D234C"/>
    <w:rsid w:val="007D4593"/>
    <w:rsid w:val="007D71AB"/>
    <w:rsid w:val="007E2719"/>
    <w:rsid w:val="007E51A9"/>
    <w:rsid w:val="007E61A1"/>
    <w:rsid w:val="007F2108"/>
    <w:rsid w:val="007F2348"/>
    <w:rsid w:val="007F2804"/>
    <w:rsid w:val="007F3176"/>
    <w:rsid w:val="007F5A8A"/>
    <w:rsid w:val="007F7662"/>
    <w:rsid w:val="007F78B5"/>
    <w:rsid w:val="00803019"/>
    <w:rsid w:val="0080371B"/>
    <w:rsid w:val="00804DEE"/>
    <w:rsid w:val="008054C6"/>
    <w:rsid w:val="00811C61"/>
    <w:rsid w:val="008147EE"/>
    <w:rsid w:val="00820C66"/>
    <w:rsid w:val="00821B4D"/>
    <w:rsid w:val="00821FE3"/>
    <w:rsid w:val="00823A2A"/>
    <w:rsid w:val="00831429"/>
    <w:rsid w:val="00831D18"/>
    <w:rsid w:val="00832434"/>
    <w:rsid w:val="00835243"/>
    <w:rsid w:val="00835944"/>
    <w:rsid w:val="00843500"/>
    <w:rsid w:val="0084430C"/>
    <w:rsid w:val="00844F28"/>
    <w:rsid w:val="00846139"/>
    <w:rsid w:val="008555B7"/>
    <w:rsid w:val="008569C9"/>
    <w:rsid w:val="00857EAC"/>
    <w:rsid w:val="0086158B"/>
    <w:rsid w:val="008622FE"/>
    <w:rsid w:val="0086320E"/>
    <w:rsid w:val="008649C3"/>
    <w:rsid w:val="00865BA0"/>
    <w:rsid w:val="008662A2"/>
    <w:rsid w:val="00870AA6"/>
    <w:rsid w:val="00870C65"/>
    <w:rsid w:val="00870CD6"/>
    <w:rsid w:val="00872095"/>
    <w:rsid w:val="008746FA"/>
    <w:rsid w:val="00876A54"/>
    <w:rsid w:val="00876D8A"/>
    <w:rsid w:val="008779A1"/>
    <w:rsid w:val="008835E5"/>
    <w:rsid w:val="00884C41"/>
    <w:rsid w:val="00887304"/>
    <w:rsid w:val="0089026C"/>
    <w:rsid w:val="008A5B5D"/>
    <w:rsid w:val="008B1B10"/>
    <w:rsid w:val="008B3737"/>
    <w:rsid w:val="008B7401"/>
    <w:rsid w:val="008C085C"/>
    <w:rsid w:val="008C0F9A"/>
    <w:rsid w:val="008C229C"/>
    <w:rsid w:val="008C2AA6"/>
    <w:rsid w:val="008C4A0B"/>
    <w:rsid w:val="008C7BE0"/>
    <w:rsid w:val="008D28B9"/>
    <w:rsid w:val="008D2985"/>
    <w:rsid w:val="008D56BF"/>
    <w:rsid w:val="008E1363"/>
    <w:rsid w:val="008E4BA8"/>
    <w:rsid w:val="008F1706"/>
    <w:rsid w:val="008F1EB4"/>
    <w:rsid w:val="008F712C"/>
    <w:rsid w:val="009052EA"/>
    <w:rsid w:val="00907348"/>
    <w:rsid w:val="009111A3"/>
    <w:rsid w:val="00911A0C"/>
    <w:rsid w:val="00914F26"/>
    <w:rsid w:val="00915AC6"/>
    <w:rsid w:val="00916F92"/>
    <w:rsid w:val="0092245B"/>
    <w:rsid w:val="00922BF3"/>
    <w:rsid w:val="009230F3"/>
    <w:rsid w:val="00923B6E"/>
    <w:rsid w:val="00923CE6"/>
    <w:rsid w:val="00926A63"/>
    <w:rsid w:val="0093143C"/>
    <w:rsid w:val="00957EA5"/>
    <w:rsid w:val="0096021E"/>
    <w:rsid w:val="009617EC"/>
    <w:rsid w:val="0096292A"/>
    <w:rsid w:val="009650A7"/>
    <w:rsid w:val="00972345"/>
    <w:rsid w:val="00972D87"/>
    <w:rsid w:val="00976EFA"/>
    <w:rsid w:val="009801EF"/>
    <w:rsid w:val="00981DC7"/>
    <w:rsid w:val="00983B79"/>
    <w:rsid w:val="00985106"/>
    <w:rsid w:val="0098543E"/>
    <w:rsid w:val="00986F26"/>
    <w:rsid w:val="00993ACB"/>
    <w:rsid w:val="00995184"/>
    <w:rsid w:val="00996BCF"/>
    <w:rsid w:val="009A27C5"/>
    <w:rsid w:val="009A41A0"/>
    <w:rsid w:val="009B0614"/>
    <w:rsid w:val="009B09FC"/>
    <w:rsid w:val="009B2694"/>
    <w:rsid w:val="009B31A9"/>
    <w:rsid w:val="009B3816"/>
    <w:rsid w:val="009C5816"/>
    <w:rsid w:val="009C6794"/>
    <w:rsid w:val="009C7309"/>
    <w:rsid w:val="009C7652"/>
    <w:rsid w:val="009D1021"/>
    <w:rsid w:val="009D3FD0"/>
    <w:rsid w:val="009D5A28"/>
    <w:rsid w:val="009E050D"/>
    <w:rsid w:val="009E1630"/>
    <w:rsid w:val="009E2EC8"/>
    <w:rsid w:val="009F0232"/>
    <w:rsid w:val="009F2DEC"/>
    <w:rsid w:val="00A00E91"/>
    <w:rsid w:val="00A01F83"/>
    <w:rsid w:val="00A042BC"/>
    <w:rsid w:val="00A04764"/>
    <w:rsid w:val="00A05A48"/>
    <w:rsid w:val="00A05EBE"/>
    <w:rsid w:val="00A06302"/>
    <w:rsid w:val="00A12E33"/>
    <w:rsid w:val="00A15D70"/>
    <w:rsid w:val="00A16BBE"/>
    <w:rsid w:val="00A20D6F"/>
    <w:rsid w:val="00A23A11"/>
    <w:rsid w:val="00A271D3"/>
    <w:rsid w:val="00A33521"/>
    <w:rsid w:val="00A3546C"/>
    <w:rsid w:val="00A371FB"/>
    <w:rsid w:val="00A41275"/>
    <w:rsid w:val="00A43B68"/>
    <w:rsid w:val="00A43D07"/>
    <w:rsid w:val="00A5017E"/>
    <w:rsid w:val="00A50F78"/>
    <w:rsid w:val="00A61F5A"/>
    <w:rsid w:val="00A620C6"/>
    <w:rsid w:val="00A62D9F"/>
    <w:rsid w:val="00A6431C"/>
    <w:rsid w:val="00A6492E"/>
    <w:rsid w:val="00A6621D"/>
    <w:rsid w:val="00A67578"/>
    <w:rsid w:val="00A67936"/>
    <w:rsid w:val="00A67CA8"/>
    <w:rsid w:val="00A708B1"/>
    <w:rsid w:val="00A71851"/>
    <w:rsid w:val="00A72300"/>
    <w:rsid w:val="00A733B3"/>
    <w:rsid w:val="00A73DFD"/>
    <w:rsid w:val="00A83E01"/>
    <w:rsid w:val="00A846D3"/>
    <w:rsid w:val="00A848FD"/>
    <w:rsid w:val="00A90556"/>
    <w:rsid w:val="00A90DC2"/>
    <w:rsid w:val="00A910A6"/>
    <w:rsid w:val="00A93199"/>
    <w:rsid w:val="00A949EB"/>
    <w:rsid w:val="00AA34CB"/>
    <w:rsid w:val="00AA3733"/>
    <w:rsid w:val="00AA7FC8"/>
    <w:rsid w:val="00AB071F"/>
    <w:rsid w:val="00AB2183"/>
    <w:rsid w:val="00AB37E8"/>
    <w:rsid w:val="00AB45D1"/>
    <w:rsid w:val="00AB524D"/>
    <w:rsid w:val="00AC0ADD"/>
    <w:rsid w:val="00AC0BA0"/>
    <w:rsid w:val="00AC2146"/>
    <w:rsid w:val="00AC25C5"/>
    <w:rsid w:val="00AC7C67"/>
    <w:rsid w:val="00AD0B46"/>
    <w:rsid w:val="00AD1D93"/>
    <w:rsid w:val="00AD2C4E"/>
    <w:rsid w:val="00AE03FE"/>
    <w:rsid w:val="00AE4EB6"/>
    <w:rsid w:val="00AE59E8"/>
    <w:rsid w:val="00AE67CB"/>
    <w:rsid w:val="00AE7E14"/>
    <w:rsid w:val="00AF0006"/>
    <w:rsid w:val="00AF07F7"/>
    <w:rsid w:val="00AF3759"/>
    <w:rsid w:val="00AF41F3"/>
    <w:rsid w:val="00B00B9C"/>
    <w:rsid w:val="00B00CA9"/>
    <w:rsid w:val="00B028A1"/>
    <w:rsid w:val="00B04C55"/>
    <w:rsid w:val="00B05DEF"/>
    <w:rsid w:val="00B07681"/>
    <w:rsid w:val="00B12F83"/>
    <w:rsid w:val="00B20D8A"/>
    <w:rsid w:val="00B20E1B"/>
    <w:rsid w:val="00B21F29"/>
    <w:rsid w:val="00B22670"/>
    <w:rsid w:val="00B246C5"/>
    <w:rsid w:val="00B26820"/>
    <w:rsid w:val="00B26A2E"/>
    <w:rsid w:val="00B27220"/>
    <w:rsid w:val="00B272CE"/>
    <w:rsid w:val="00B3419F"/>
    <w:rsid w:val="00B36832"/>
    <w:rsid w:val="00B42368"/>
    <w:rsid w:val="00B43845"/>
    <w:rsid w:val="00B508E7"/>
    <w:rsid w:val="00B54516"/>
    <w:rsid w:val="00B666D0"/>
    <w:rsid w:val="00B67F7B"/>
    <w:rsid w:val="00B70EAE"/>
    <w:rsid w:val="00B71FCC"/>
    <w:rsid w:val="00B735CA"/>
    <w:rsid w:val="00B73776"/>
    <w:rsid w:val="00B77103"/>
    <w:rsid w:val="00B778B7"/>
    <w:rsid w:val="00B83580"/>
    <w:rsid w:val="00B840F3"/>
    <w:rsid w:val="00B847E7"/>
    <w:rsid w:val="00B84DB3"/>
    <w:rsid w:val="00B85373"/>
    <w:rsid w:val="00B933A1"/>
    <w:rsid w:val="00BA05ED"/>
    <w:rsid w:val="00BA13B9"/>
    <w:rsid w:val="00BA259C"/>
    <w:rsid w:val="00BA2CE3"/>
    <w:rsid w:val="00BA4E80"/>
    <w:rsid w:val="00BA6B97"/>
    <w:rsid w:val="00BA75E8"/>
    <w:rsid w:val="00BB10C6"/>
    <w:rsid w:val="00BB39FF"/>
    <w:rsid w:val="00BC041F"/>
    <w:rsid w:val="00BC1F20"/>
    <w:rsid w:val="00BC7436"/>
    <w:rsid w:val="00BD174E"/>
    <w:rsid w:val="00BD40B9"/>
    <w:rsid w:val="00BD66D4"/>
    <w:rsid w:val="00BE0323"/>
    <w:rsid w:val="00BE48DE"/>
    <w:rsid w:val="00BE6371"/>
    <w:rsid w:val="00BF0679"/>
    <w:rsid w:val="00BF0C20"/>
    <w:rsid w:val="00BF25B7"/>
    <w:rsid w:val="00BF2EA0"/>
    <w:rsid w:val="00BF3E9E"/>
    <w:rsid w:val="00BF3F03"/>
    <w:rsid w:val="00BF63B2"/>
    <w:rsid w:val="00C00BCB"/>
    <w:rsid w:val="00C034E6"/>
    <w:rsid w:val="00C038DC"/>
    <w:rsid w:val="00C048DB"/>
    <w:rsid w:val="00C07F96"/>
    <w:rsid w:val="00C11C05"/>
    <w:rsid w:val="00C11FA0"/>
    <w:rsid w:val="00C14F4B"/>
    <w:rsid w:val="00C17EDF"/>
    <w:rsid w:val="00C200D0"/>
    <w:rsid w:val="00C204B3"/>
    <w:rsid w:val="00C21358"/>
    <w:rsid w:val="00C229CE"/>
    <w:rsid w:val="00C26DC4"/>
    <w:rsid w:val="00C30EC7"/>
    <w:rsid w:val="00C316AF"/>
    <w:rsid w:val="00C326C2"/>
    <w:rsid w:val="00C32D23"/>
    <w:rsid w:val="00C331B5"/>
    <w:rsid w:val="00C3724B"/>
    <w:rsid w:val="00C375A8"/>
    <w:rsid w:val="00C37600"/>
    <w:rsid w:val="00C37BBD"/>
    <w:rsid w:val="00C41B67"/>
    <w:rsid w:val="00C457AF"/>
    <w:rsid w:val="00C53BBD"/>
    <w:rsid w:val="00C54506"/>
    <w:rsid w:val="00C60C89"/>
    <w:rsid w:val="00C6569A"/>
    <w:rsid w:val="00C66E5B"/>
    <w:rsid w:val="00C67F12"/>
    <w:rsid w:val="00C72DFC"/>
    <w:rsid w:val="00C74F48"/>
    <w:rsid w:val="00C80A72"/>
    <w:rsid w:val="00C826DD"/>
    <w:rsid w:val="00C87819"/>
    <w:rsid w:val="00C91045"/>
    <w:rsid w:val="00C91C05"/>
    <w:rsid w:val="00C92D08"/>
    <w:rsid w:val="00C9549C"/>
    <w:rsid w:val="00C97625"/>
    <w:rsid w:val="00CA1250"/>
    <w:rsid w:val="00CA174F"/>
    <w:rsid w:val="00CA3672"/>
    <w:rsid w:val="00CA4E29"/>
    <w:rsid w:val="00CB00F5"/>
    <w:rsid w:val="00CB028F"/>
    <w:rsid w:val="00CB28BA"/>
    <w:rsid w:val="00CB5B51"/>
    <w:rsid w:val="00CC1172"/>
    <w:rsid w:val="00CC2824"/>
    <w:rsid w:val="00CC37F7"/>
    <w:rsid w:val="00CC488B"/>
    <w:rsid w:val="00CD181E"/>
    <w:rsid w:val="00CD6EA7"/>
    <w:rsid w:val="00CF04EA"/>
    <w:rsid w:val="00CF0637"/>
    <w:rsid w:val="00CF2704"/>
    <w:rsid w:val="00CF381D"/>
    <w:rsid w:val="00CF4BF8"/>
    <w:rsid w:val="00CF644F"/>
    <w:rsid w:val="00CF7225"/>
    <w:rsid w:val="00D01138"/>
    <w:rsid w:val="00D1024F"/>
    <w:rsid w:val="00D106AE"/>
    <w:rsid w:val="00D11E94"/>
    <w:rsid w:val="00D129F5"/>
    <w:rsid w:val="00D14C1B"/>
    <w:rsid w:val="00D179F5"/>
    <w:rsid w:val="00D17D0A"/>
    <w:rsid w:val="00D207E5"/>
    <w:rsid w:val="00D232D0"/>
    <w:rsid w:val="00D259D9"/>
    <w:rsid w:val="00D271E4"/>
    <w:rsid w:val="00D30D83"/>
    <w:rsid w:val="00D3238F"/>
    <w:rsid w:val="00D34A25"/>
    <w:rsid w:val="00D37306"/>
    <w:rsid w:val="00D377B8"/>
    <w:rsid w:val="00D40F3A"/>
    <w:rsid w:val="00D43D86"/>
    <w:rsid w:val="00D44BF1"/>
    <w:rsid w:val="00D46487"/>
    <w:rsid w:val="00D52134"/>
    <w:rsid w:val="00D60860"/>
    <w:rsid w:val="00D64760"/>
    <w:rsid w:val="00D67A3E"/>
    <w:rsid w:val="00D71CFB"/>
    <w:rsid w:val="00D71F0B"/>
    <w:rsid w:val="00D7327D"/>
    <w:rsid w:val="00D7652E"/>
    <w:rsid w:val="00D769F1"/>
    <w:rsid w:val="00D77D5D"/>
    <w:rsid w:val="00D81D14"/>
    <w:rsid w:val="00D81FFF"/>
    <w:rsid w:val="00D86009"/>
    <w:rsid w:val="00D92637"/>
    <w:rsid w:val="00D926E4"/>
    <w:rsid w:val="00D93D55"/>
    <w:rsid w:val="00DA1F59"/>
    <w:rsid w:val="00DA4B48"/>
    <w:rsid w:val="00DB210C"/>
    <w:rsid w:val="00DB68E3"/>
    <w:rsid w:val="00DB733A"/>
    <w:rsid w:val="00DC2859"/>
    <w:rsid w:val="00DC2B24"/>
    <w:rsid w:val="00DC3B2F"/>
    <w:rsid w:val="00DC51E0"/>
    <w:rsid w:val="00DC58C8"/>
    <w:rsid w:val="00DD1810"/>
    <w:rsid w:val="00DD5863"/>
    <w:rsid w:val="00DD601D"/>
    <w:rsid w:val="00DE1D59"/>
    <w:rsid w:val="00DE475B"/>
    <w:rsid w:val="00DE5124"/>
    <w:rsid w:val="00DE7138"/>
    <w:rsid w:val="00DF3623"/>
    <w:rsid w:val="00DF773F"/>
    <w:rsid w:val="00E03ECF"/>
    <w:rsid w:val="00E05B47"/>
    <w:rsid w:val="00E05FA0"/>
    <w:rsid w:val="00E07876"/>
    <w:rsid w:val="00E0793B"/>
    <w:rsid w:val="00E07968"/>
    <w:rsid w:val="00E11CB5"/>
    <w:rsid w:val="00E13B45"/>
    <w:rsid w:val="00E13D88"/>
    <w:rsid w:val="00E22C45"/>
    <w:rsid w:val="00E254E1"/>
    <w:rsid w:val="00E262D9"/>
    <w:rsid w:val="00E33129"/>
    <w:rsid w:val="00E34AAF"/>
    <w:rsid w:val="00E36E7A"/>
    <w:rsid w:val="00E37488"/>
    <w:rsid w:val="00E44E8A"/>
    <w:rsid w:val="00E4500B"/>
    <w:rsid w:val="00E45789"/>
    <w:rsid w:val="00E458FF"/>
    <w:rsid w:val="00E4794D"/>
    <w:rsid w:val="00E47CCA"/>
    <w:rsid w:val="00E5184C"/>
    <w:rsid w:val="00E57EED"/>
    <w:rsid w:val="00E613EC"/>
    <w:rsid w:val="00E65B59"/>
    <w:rsid w:val="00E67F96"/>
    <w:rsid w:val="00E720F8"/>
    <w:rsid w:val="00E8533D"/>
    <w:rsid w:val="00E85842"/>
    <w:rsid w:val="00E85EBE"/>
    <w:rsid w:val="00E9000B"/>
    <w:rsid w:val="00E903C8"/>
    <w:rsid w:val="00E90970"/>
    <w:rsid w:val="00E92BCC"/>
    <w:rsid w:val="00E93B40"/>
    <w:rsid w:val="00EA0386"/>
    <w:rsid w:val="00EA1050"/>
    <w:rsid w:val="00EB462B"/>
    <w:rsid w:val="00EB7760"/>
    <w:rsid w:val="00EC2904"/>
    <w:rsid w:val="00EC3688"/>
    <w:rsid w:val="00EC3945"/>
    <w:rsid w:val="00EC3F0C"/>
    <w:rsid w:val="00ED2644"/>
    <w:rsid w:val="00EE097D"/>
    <w:rsid w:val="00EE143F"/>
    <w:rsid w:val="00EE2B17"/>
    <w:rsid w:val="00EE2EC9"/>
    <w:rsid w:val="00EE43AE"/>
    <w:rsid w:val="00EE4C4B"/>
    <w:rsid w:val="00EE575F"/>
    <w:rsid w:val="00EF19FE"/>
    <w:rsid w:val="00EF227E"/>
    <w:rsid w:val="00EF6733"/>
    <w:rsid w:val="00EF6F31"/>
    <w:rsid w:val="00EF7CEF"/>
    <w:rsid w:val="00EF7F23"/>
    <w:rsid w:val="00F0317C"/>
    <w:rsid w:val="00F03F21"/>
    <w:rsid w:val="00F04D88"/>
    <w:rsid w:val="00F05D4D"/>
    <w:rsid w:val="00F15375"/>
    <w:rsid w:val="00F16E4F"/>
    <w:rsid w:val="00F21ABF"/>
    <w:rsid w:val="00F25970"/>
    <w:rsid w:val="00F27CDC"/>
    <w:rsid w:val="00F30C7B"/>
    <w:rsid w:val="00F318C8"/>
    <w:rsid w:val="00F31FDD"/>
    <w:rsid w:val="00F32C47"/>
    <w:rsid w:val="00F32DDA"/>
    <w:rsid w:val="00F32F32"/>
    <w:rsid w:val="00F33163"/>
    <w:rsid w:val="00F3328A"/>
    <w:rsid w:val="00F33AFA"/>
    <w:rsid w:val="00F37DC9"/>
    <w:rsid w:val="00F4233C"/>
    <w:rsid w:val="00F43AA1"/>
    <w:rsid w:val="00F45B32"/>
    <w:rsid w:val="00F45C27"/>
    <w:rsid w:val="00F51D3B"/>
    <w:rsid w:val="00F524BC"/>
    <w:rsid w:val="00F529D0"/>
    <w:rsid w:val="00F54884"/>
    <w:rsid w:val="00F64B0D"/>
    <w:rsid w:val="00F706DF"/>
    <w:rsid w:val="00F7222B"/>
    <w:rsid w:val="00F75A29"/>
    <w:rsid w:val="00F81ACB"/>
    <w:rsid w:val="00F932E1"/>
    <w:rsid w:val="00F94043"/>
    <w:rsid w:val="00F947E2"/>
    <w:rsid w:val="00F97AED"/>
    <w:rsid w:val="00FA1D23"/>
    <w:rsid w:val="00FA457F"/>
    <w:rsid w:val="00FB05B4"/>
    <w:rsid w:val="00FB3BD6"/>
    <w:rsid w:val="00FB41F1"/>
    <w:rsid w:val="00FB5C4F"/>
    <w:rsid w:val="00FC1FCB"/>
    <w:rsid w:val="00FC40D2"/>
    <w:rsid w:val="00FD0BDF"/>
    <w:rsid w:val="00FD2AAE"/>
    <w:rsid w:val="00FE16FE"/>
    <w:rsid w:val="00FE2C64"/>
    <w:rsid w:val="00FF2532"/>
    <w:rsid w:val="00FF4F6F"/>
    <w:rsid w:val="00FF78CB"/>
    <w:rsid w:val="00FF7A39"/>
    <w:rsid w:val="00FF7A95"/>
    <w:rsid w:val="00FF7B1C"/>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BF98E"/>
  <w15:chartTrackingRefBased/>
  <w15:docId w15:val="{1F628054-AD28-4189-ADF4-7498B613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5F01"/>
    <w:pPr>
      <w:keepNext/>
      <w:keepLines/>
      <w:snapToGrid w:val="0"/>
      <w:spacing w:before="240" w:after="0" w:line="240" w:lineRule="auto"/>
      <w:outlineLvl w:val="0"/>
    </w:pPr>
    <w:rPr>
      <w:rFonts w:ascii="Open Sans Light" w:eastAsiaTheme="majorEastAsia" w:hAnsi="Open Sans Light" w:cs="Open Sans Light"/>
      <w:color w:val="F0643E"/>
      <w:kern w:val="0"/>
      <w:sz w:val="72"/>
      <w:szCs w:val="72"/>
      <w:lang w:val="fr-FR"/>
      <w14:ligatures w14:val="none"/>
    </w:rPr>
  </w:style>
  <w:style w:type="paragraph" w:styleId="Heading2">
    <w:name w:val="heading 2"/>
    <w:basedOn w:val="Normal"/>
    <w:next w:val="Normal"/>
    <w:link w:val="Heading2Char"/>
    <w:uiPriority w:val="9"/>
    <w:unhideWhenUsed/>
    <w:qFormat/>
    <w:rsid w:val="007A5F01"/>
    <w:pPr>
      <w:keepNext/>
      <w:keepLines/>
      <w:snapToGrid w:val="0"/>
      <w:spacing w:before="40" w:after="0" w:line="240" w:lineRule="auto"/>
      <w:outlineLvl w:val="1"/>
    </w:pPr>
    <w:rPr>
      <w:rFonts w:ascii="Open Sans" w:eastAsiaTheme="majorEastAsia" w:hAnsi="Open Sans" w:cs="Open Sans"/>
      <w:b/>
      <w:bCs/>
      <w:color w:val="F0643E"/>
      <w:kern w:val="0"/>
      <w:shd w:val="clear" w:color="auto" w:fill="FFFFFF"/>
      <w:lang w:val="en-GB"/>
      <w14:ligatures w14:val="none"/>
    </w:rPr>
  </w:style>
  <w:style w:type="paragraph" w:styleId="Heading3">
    <w:name w:val="heading 3"/>
    <w:basedOn w:val="Normal"/>
    <w:next w:val="Normal"/>
    <w:link w:val="Heading3Char"/>
    <w:uiPriority w:val="9"/>
    <w:unhideWhenUsed/>
    <w:qFormat/>
    <w:rsid w:val="007F23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F01"/>
  </w:style>
  <w:style w:type="paragraph" w:styleId="Footer">
    <w:name w:val="footer"/>
    <w:basedOn w:val="Normal"/>
    <w:link w:val="FooterChar"/>
    <w:uiPriority w:val="99"/>
    <w:unhideWhenUsed/>
    <w:rsid w:val="007A5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F01"/>
  </w:style>
  <w:style w:type="character" w:customStyle="1" w:styleId="Heading1Char">
    <w:name w:val="Heading 1 Char"/>
    <w:basedOn w:val="DefaultParagraphFont"/>
    <w:link w:val="Heading1"/>
    <w:uiPriority w:val="9"/>
    <w:rsid w:val="007A5F01"/>
    <w:rPr>
      <w:rFonts w:ascii="Open Sans Light" w:eastAsiaTheme="majorEastAsia" w:hAnsi="Open Sans Light" w:cs="Open Sans Light"/>
      <w:color w:val="F0643E"/>
      <w:kern w:val="0"/>
      <w:sz w:val="72"/>
      <w:szCs w:val="72"/>
      <w:lang w:val="fr-FR"/>
      <w14:ligatures w14:val="none"/>
    </w:rPr>
  </w:style>
  <w:style w:type="character" w:customStyle="1" w:styleId="Heading2Char">
    <w:name w:val="Heading 2 Char"/>
    <w:basedOn w:val="DefaultParagraphFont"/>
    <w:link w:val="Heading2"/>
    <w:uiPriority w:val="9"/>
    <w:rsid w:val="007A5F01"/>
    <w:rPr>
      <w:rFonts w:ascii="Open Sans" w:eastAsiaTheme="majorEastAsia" w:hAnsi="Open Sans" w:cs="Open Sans"/>
      <w:b/>
      <w:bCs/>
      <w:color w:val="F0643E"/>
      <w:kern w:val="0"/>
      <w:lang w:val="en-GB"/>
      <w14:ligatures w14:val="none"/>
    </w:rPr>
  </w:style>
  <w:style w:type="paragraph" w:styleId="ListParagraph">
    <w:name w:val="List Paragraph"/>
    <w:aliases w:val="Premier,Bullets,References,Liste 1,Numbered List Paragraph,ReferencesCxSpLast,Paragraphe de liste1,Paragraphe de liste,Paragrap,List Paragraph1,normal,Normal2,Normal3,Normal4,Normal5,Normal6,Normal7,Bullet List,FooterText,NEW INDENT,L"/>
    <w:basedOn w:val="Normal"/>
    <w:link w:val="ListParagraphChar"/>
    <w:uiPriority w:val="34"/>
    <w:qFormat/>
    <w:rsid w:val="007A5F01"/>
    <w:pPr>
      <w:keepNext/>
      <w:keepLines/>
      <w:snapToGrid w:val="0"/>
      <w:spacing w:after="0" w:line="240" w:lineRule="auto"/>
      <w:ind w:left="720"/>
      <w:contextualSpacing/>
      <w:outlineLvl w:val="0"/>
    </w:pPr>
    <w:rPr>
      <w:rFonts w:ascii="Open Sans" w:eastAsiaTheme="majorEastAsia" w:hAnsi="Open Sans" w:cs="Open Sans"/>
      <w:color w:val="000000"/>
      <w:kern w:val="0"/>
      <w:sz w:val="21"/>
      <w:szCs w:val="21"/>
      <w:lang w:val="fr-FR"/>
      <w14:ligatures w14:val="none"/>
    </w:rPr>
  </w:style>
  <w:style w:type="paragraph" w:customStyle="1" w:styleId="Pa0">
    <w:name w:val="Pa0"/>
    <w:basedOn w:val="Normal"/>
    <w:next w:val="Normal"/>
    <w:uiPriority w:val="99"/>
    <w:rsid w:val="007A5F01"/>
    <w:pPr>
      <w:autoSpaceDE w:val="0"/>
      <w:autoSpaceDN w:val="0"/>
      <w:adjustRightInd w:val="0"/>
      <w:spacing w:after="0" w:line="241" w:lineRule="atLeast"/>
    </w:pPr>
    <w:rPr>
      <w:rFonts w:ascii="Calibri" w:hAnsi="Calibri" w:cs="Myanmar Text"/>
      <w:kern w:val="0"/>
      <w:sz w:val="24"/>
      <w:szCs w:val="24"/>
      <w:lang w:bidi="my-MM"/>
      <w14:ligatures w14:val="none"/>
    </w:rPr>
  </w:style>
  <w:style w:type="character" w:customStyle="1" w:styleId="A1">
    <w:name w:val="A1"/>
    <w:uiPriority w:val="99"/>
    <w:rsid w:val="007A5F01"/>
    <w:rPr>
      <w:rFonts w:cs="Calibri"/>
      <w:color w:val="000000"/>
      <w:sz w:val="22"/>
      <w:szCs w:val="22"/>
    </w:rPr>
  </w:style>
  <w:style w:type="paragraph" w:styleId="FootnoteText">
    <w:name w:val="footnote text"/>
    <w:aliases w:val="Text,ALTS FOOTNOTE Char Char,Footnote Text Char Char,Footnote Char Char,Text Char Char,FOOTNOTES,fn,single space,Testo nota a piè di pagina Carattere,ft,Geneva 9,Font: Geneva 9,Boston 10,f,ADB, Char,WB-Fußnotentext,Fußnote,Char"/>
    <w:basedOn w:val="Normal"/>
    <w:link w:val="FootnoteTextChar"/>
    <w:uiPriority w:val="99"/>
    <w:unhideWhenUsed/>
    <w:qFormat/>
    <w:rsid w:val="007A5F01"/>
    <w:pPr>
      <w:keepNext/>
      <w:keepLines/>
      <w:snapToGrid w:val="0"/>
      <w:spacing w:after="0" w:line="240" w:lineRule="auto"/>
      <w:outlineLvl w:val="0"/>
    </w:pPr>
    <w:rPr>
      <w:rFonts w:ascii="Open Sans" w:eastAsiaTheme="majorEastAsia" w:hAnsi="Open Sans" w:cs="Open Sans"/>
      <w:color w:val="000000"/>
      <w:kern w:val="0"/>
      <w:sz w:val="20"/>
      <w:szCs w:val="20"/>
      <w:lang w:val="fr-FR"/>
      <w14:ligatures w14:val="none"/>
    </w:rPr>
  </w:style>
  <w:style w:type="character" w:customStyle="1" w:styleId="FootnoteTextChar">
    <w:name w:val="Footnote Text Char"/>
    <w:aliases w:val="Text Char,ALTS FOOTNOTE Char Char Char,Footnote Text Char Char Char,Footnote Char Char Char,Text Char Char Char,FOOTNOTES Char,fn Char,single space Char,Testo nota a piè di pagina Carattere Char,ft Char,Geneva 9 Char,Boston 10 Char"/>
    <w:basedOn w:val="DefaultParagraphFont"/>
    <w:link w:val="FootnoteText"/>
    <w:uiPriority w:val="99"/>
    <w:rsid w:val="007A5F01"/>
    <w:rPr>
      <w:rFonts w:ascii="Open Sans" w:eastAsiaTheme="majorEastAsia" w:hAnsi="Open Sans" w:cs="Open Sans"/>
      <w:color w:val="000000"/>
      <w:kern w:val="0"/>
      <w:sz w:val="20"/>
      <w:szCs w:val="20"/>
      <w:lang w:val="fr-FR"/>
      <w14:ligatures w14:val="none"/>
    </w:rPr>
  </w:style>
  <w:style w:type="character" w:styleId="FootnoteReference">
    <w:name w:val="footnote reference"/>
    <w:aliases w:val="ftref,Appel note de bas de page,16 Point,Superscript 6 Point,Car Car Char Car Char Car Car Char Car Char Char,Car Car Car Car Car Car Car Car Char Car Car Char Car Car Car Char Car Char Char Char,SUPERS,BVI f,R,de nota al pie,Ref,fr"/>
    <w:basedOn w:val="DefaultParagraphFont"/>
    <w:link w:val="BVIfnrCharCharChar1CharCharCharCharCharCharChar1CharCharChar1Char"/>
    <w:uiPriority w:val="99"/>
    <w:unhideWhenUsed/>
    <w:qFormat/>
    <w:rsid w:val="007A5F01"/>
    <w:rPr>
      <w:vertAlign w:val="superscript"/>
    </w:rPr>
  </w:style>
  <w:style w:type="paragraph" w:styleId="TOCHeading">
    <w:name w:val="TOC Heading"/>
    <w:basedOn w:val="Heading1"/>
    <w:next w:val="Normal"/>
    <w:uiPriority w:val="39"/>
    <w:unhideWhenUsed/>
    <w:qFormat/>
    <w:rsid w:val="007A5F01"/>
    <w:pPr>
      <w:snapToGrid/>
      <w:spacing w:line="259" w:lineRule="auto"/>
      <w:outlineLvl w:val="9"/>
    </w:pPr>
    <w:rPr>
      <w:rFonts w:asciiTheme="majorHAnsi"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7A5F01"/>
    <w:pPr>
      <w:spacing w:after="100"/>
    </w:pPr>
  </w:style>
  <w:style w:type="paragraph" w:styleId="TOC2">
    <w:name w:val="toc 2"/>
    <w:basedOn w:val="Normal"/>
    <w:next w:val="Normal"/>
    <w:autoRedefine/>
    <w:uiPriority w:val="39"/>
    <w:unhideWhenUsed/>
    <w:rsid w:val="007A5F01"/>
    <w:pPr>
      <w:spacing w:after="100"/>
      <w:ind w:left="220"/>
    </w:pPr>
  </w:style>
  <w:style w:type="character" w:styleId="Hyperlink">
    <w:name w:val="Hyperlink"/>
    <w:basedOn w:val="DefaultParagraphFont"/>
    <w:uiPriority w:val="99"/>
    <w:unhideWhenUsed/>
    <w:rsid w:val="007A5F01"/>
    <w:rPr>
      <w:color w:val="0563C1" w:themeColor="hyperlink"/>
      <w:u w:val="single"/>
    </w:rPr>
  </w:style>
  <w:style w:type="character" w:customStyle="1" w:styleId="Heading3Char">
    <w:name w:val="Heading 3 Char"/>
    <w:basedOn w:val="DefaultParagraphFont"/>
    <w:link w:val="Heading3"/>
    <w:uiPriority w:val="9"/>
    <w:rsid w:val="007F2348"/>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8054C6"/>
    <w:pPr>
      <w:spacing w:after="100"/>
      <w:ind w:left="440"/>
    </w:pPr>
  </w:style>
  <w:style w:type="table" w:styleId="TableGrid">
    <w:name w:val="Table Grid"/>
    <w:basedOn w:val="TableNormal"/>
    <w:uiPriority w:val="39"/>
    <w:rsid w:val="00993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17D8"/>
    <w:pPr>
      <w:spacing w:before="100" w:beforeAutospacing="1" w:after="100" w:afterAutospacing="1" w:line="240" w:lineRule="auto"/>
    </w:pPr>
    <w:rPr>
      <w:rFonts w:ascii="Times New Roman" w:eastAsia="Times New Roman" w:hAnsi="Times New Roman" w:cs="Times New Roman"/>
      <w:kern w:val="0"/>
      <w:sz w:val="24"/>
      <w:szCs w:val="24"/>
      <w:lang w:bidi="my-MM"/>
      <w14:ligatures w14:val="none"/>
    </w:rPr>
  </w:style>
  <w:style w:type="paragraph" w:customStyle="1" w:styleId="Default">
    <w:name w:val="Default"/>
    <w:rsid w:val="006B2A62"/>
    <w:pPr>
      <w:autoSpaceDE w:val="0"/>
      <w:autoSpaceDN w:val="0"/>
      <w:adjustRightInd w:val="0"/>
      <w:spacing w:after="0" w:line="240" w:lineRule="auto"/>
    </w:pPr>
    <w:rPr>
      <w:rFonts w:ascii="Arial" w:hAnsi="Arial" w:cs="Arial"/>
      <w:color w:val="000000"/>
      <w:kern w:val="0"/>
      <w:sz w:val="24"/>
      <w:szCs w:val="24"/>
      <w:lang w:bidi="my-MM"/>
    </w:rPr>
  </w:style>
  <w:style w:type="character" w:customStyle="1" w:styleId="ListParagraphChar">
    <w:name w:val="List Paragraph Char"/>
    <w:aliases w:val="Premier Char,Bullets Char,References Char,Liste 1 Char,Numbered List Paragraph Char,ReferencesCxSpLast Char,Paragraphe de liste1 Char,Paragraphe de liste Char,Paragrap Char,List Paragraph1 Char,normal Char,Normal2 Char,Normal3 Char"/>
    <w:basedOn w:val="DefaultParagraphFont"/>
    <w:link w:val="ListParagraph"/>
    <w:uiPriority w:val="34"/>
    <w:qFormat/>
    <w:locked/>
    <w:rsid w:val="003E3C2E"/>
    <w:rPr>
      <w:rFonts w:ascii="Open Sans" w:eastAsiaTheme="majorEastAsia" w:hAnsi="Open Sans" w:cs="Open Sans"/>
      <w:color w:val="000000"/>
      <w:kern w:val="0"/>
      <w:sz w:val="21"/>
      <w:szCs w:val="21"/>
      <w:lang w:val="fr-FR"/>
      <w14:ligatures w14:val="none"/>
    </w:rPr>
  </w:style>
  <w:style w:type="paragraph" w:styleId="NoSpacing">
    <w:name w:val="No Spacing"/>
    <w:uiPriority w:val="1"/>
    <w:qFormat/>
    <w:rsid w:val="003E3C2E"/>
    <w:pPr>
      <w:spacing w:after="0" w:line="240" w:lineRule="auto"/>
    </w:pPr>
    <w:rPr>
      <w:rFonts w:asciiTheme="minorHAnsi" w:hAnsiTheme="minorHAnsi"/>
      <w:kern w:val="0"/>
      <w:lang w:val="en-GB"/>
      <w14:ligatures w14:val="none"/>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0939D6"/>
    <w:pPr>
      <w:spacing w:after="120" w:line="240" w:lineRule="exact"/>
    </w:pPr>
    <w:rPr>
      <w:vertAlign w:val="superscript"/>
    </w:rPr>
  </w:style>
  <w:style w:type="paragraph" w:customStyle="1" w:styleId="pf0">
    <w:name w:val="pf0"/>
    <w:basedOn w:val="Normal"/>
    <w:rsid w:val="003D0B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3D0BF1"/>
    <w:rPr>
      <w:rFonts w:ascii="Segoe UI" w:hAnsi="Segoe UI" w:cs="Segoe UI" w:hint="default"/>
      <w:sz w:val="18"/>
      <w:szCs w:val="18"/>
    </w:rPr>
  </w:style>
  <w:style w:type="paragraph" w:customStyle="1" w:styleId="Heading">
    <w:name w:val="Heading"/>
    <w:next w:val="Body"/>
    <w:rsid w:val="006B184A"/>
    <w:pPr>
      <w:keepNext/>
      <w:keepLines/>
      <w:pBdr>
        <w:top w:val="nil"/>
        <w:left w:val="nil"/>
        <w:bottom w:val="nil"/>
        <w:right w:val="nil"/>
        <w:between w:val="nil"/>
        <w:bar w:val="nil"/>
      </w:pBdr>
      <w:spacing w:before="240" w:after="0" w:line="240" w:lineRule="auto"/>
      <w:outlineLvl w:val="0"/>
    </w:pPr>
    <w:rPr>
      <w:rFonts w:ascii="Calibri Light" w:eastAsia="Arial Unicode MS" w:hAnsi="Calibri Light" w:cs="Arial Unicode MS"/>
      <w:color w:val="2F5496"/>
      <w:kern w:val="0"/>
      <w:sz w:val="32"/>
      <w:szCs w:val="32"/>
      <w:u w:color="2F5496"/>
      <w:bdr w:val="nil"/>
      <w14:textOutline w14:w="0" w14:cap="flat" w14:cmpd="sng" w14:algn="ctr">
        <w14:noFill/>
        <w14:prstDash w14:val="solid"/>
        <w14:bevel/>
      </w14:textOutline>
      <w14:ligatures w14:val="none"/>
    </w:rPr>
  </w:style>
  <w:style w:type="paragraph" w:customStyle="1" w:styleId="Body">
    <w:name w:val="Body"/>
    <w:rsid w:val="006B184A"/>
    <w:pPr>
      <w:pBdr>
        <w:top w:val="nil"/>
        <w:left w:val="nil"/>
        <w:bottom w:val="nil"/>
        <w:right w:val="nil"/>
        <w:between w:val="nil"/>
        <w:bar w:val="nil"/>
      </w:pBdr>
      <w:spacing w:after="0" w:line="240" w:lineRule="auto"/>
    </w:pPr>
    <w:rPr>
      <w:rFonts w:ascii="Calibri" w:eastAsia="Arial Unicode MS" w:hAnsi="Calibri" w:cs="Arial Unicode MS"/>
      <w:color w:val="000000"/>
      <w:kern w:val="0"/>
      <w:sz w:val="24"/>
      <w:szCs w:val="24"/>
      <w:u w:color="000000"/>
      <w:bdr w:val="nil"/>
      <w14:textOutline w14:w="0" w14:cap="flat" w14:cmpd="sng" w14:algn="ctr">
        <w14:noFill/>
        <w14:prstDash w14:val="solid"/>
        <w14:bevel/>
      </w14:textOutline>
      <w14:ligatures w14:val="none"/>
    </w:rPr>
  </w:style>
  <w:style w:type="numbering" w:customStyle="1" w:styleId="ImportedStyle1">
    <w:name w:val="Imported Style 1"/>
    <w:rsid w:val="006B184A"/>
    <w:pPr>
      <w:numPr>
        <w:numId w:val="21"/>
      </w:numPr>
    </w:pPr>
  </w:style>
  <w:style w:type="numbering" w:customStyle="1" w:styleId="ImportedStyle2">
    <w:name w:val="Imported Style 2"/>
    <w:rsid w:val="006B184A"/>
    <w:pPr>
      <w:numPr>
        <w:numId w:val="23"/>
      </w:numPr>
    </w:pPr>
  </w:style>
  <w:style w:type="numbering" w:customStyle="1" w:styleId="ImportedStyle3">
    <w:name w:val="Imported Style 3"/>
    <w:rsid w:val="006B184A"/>
    <w:pPr>
      <w:numPr>
        <w:numId w:val="25"/>
      </w:numPr>
    </w:pPr>
  </w:style>
  <w:style w:type="character" w:customStyle="1" w:styleId="None">
    <w:name w:val="None"/>
    <w:rsid w:val="006B184A"/>
  </w:style>
  <w:style w:type="character" w:customStyle="1" w:styleId="Hyperlink0">
    <w:name w:val="Hyperlink.0"/>
    <w:basedOn w:val="None"/>
    <w:rsid w:val="006B184A"/>
    <w:rPr>
      <w:outline w:val="0"/>
      <w:color w:val="0563C1"/>
      <w:u w:val="single" w:color="0563C1"/>
    </w:rPr>
  </w:style>
  <w:style w:type="paragraph" w:customStyle="1" w:styleId="xmsonormal">
    <w:name w:val="x_msonormal"/>
    <w:basedOn w:val="Normal"/>
    <w:rsid w:val="007D234C"/>
    <w:pPr>
      <w:spacing w:after="0" w:line="240" w:lineRule="auto"/>
    </w:pPr>
    <w:rPr>
      <w:rFonts w:ascii="Calibri" w:hAnsi="Calibri" w:cs="Calibri"/>
      <w:kern w:val="0"/>
      <w14:ligatures w14:val="none"/>
    </w:rPr>
  </w:style>
  <w:style w:type="paragraph" w:customStyle="1" w:styleId="xmsolistparagraph">
    <w:name w:val="x_msolistparagraph"/>
    <w:basedOn w:val="Normal"/>
    <w:rsid w:val="007D234C"/>
    <w:pPr>
      <w:spacing w:after="0" w:line="240" w:lineRule="auto"/>
      <w:ind w:left="720"/>
    </w:pPr>
    <w:rPr>
      <w:rFonts w:ascii="Calibri" w:hAnsi="Calibri" w:cs="Calibri"/>
      <w:kern w:val="0"/>
      <w14:ligatures w14:val="none"/>
    </w:rPr>
  </w:style>
  <w:style w:type="paragraph" w:styleId="CommentText">
    <w:name w:val="annotation text"/>
    <w:basedOn w:val="Normal"/>
    <w:link w:val="CommentTextChar"/>
    <w:uiPriority w:val="99"/>
    <w:unhideWhenUsed/>
    <w:rsid w:val="00C26DC4"/>
    <w:pPr>
      <w:spacing w:after="200" w:line="240" w:lineRule="auto"/>
    </w:pPr>
    <w:rPr>
      <w:rFonts w:ascii="Calibri" w:eastAsia="Calibri" w:hAnsi="Calibri" w:cs="Calibri"/>
      <w:kern w:val="0"/>
      <w:sz w:val="20"/>
      <w:szCs w:val="20"/>
      <w:lang w:val="en-GB" w:eastAsia="en-GB"/>
      <w14:ligatures w14:val="none"/>
    </w:rPr>
  </w:style>
  <w:style w:type="character" w:customStyle="1" w:styleId="CommentTextChar">
    <w:name w:val="Comment Text Char"/>
    <w:basedOn w:val="DefaultParagraphFont"/>
    <w:link w:val="CommentText"/>
    <w:uiPriority w:val="99"/>
    <w:rsid w:val="00C26DC4"/>
    <w:rPr>
      <w:rFonts w:ascii="Calibri" w:eastAsia="Calibri" w:hAnsi="Calibri" w:cs="Calibri"/>
      <w:kern w:val="0"/>
      <w:sz w:val="20"/>
      <w:szCs w:val="20"/>
      <w:lang w:val="en-GB" w:eastAsia="en-GB"/>
      <w14:ligatures w14:val="none"/>
    </w:rPr>
  </w:style>
  <w:style w:type="table" w:customStyle="1" w:styleId="TableGrid1">
    <w:name w:val="Table Grid1"/>
    <w:basedOn w:val="TableNormal"/>
    <w:next w:val="TableGrid"/>
    <w:uiPriority w:val="39"/>
    <w:rsid w:val="00E9000B"/>
    <w:pPr>
      <w:spacing w:after="0" w:line="240" w:lineRule="auto"/>
    </w:pPr>
    <w:rPr>
      <w:rFonts w:asciiTheme="minorHAnsi" w:hAnsi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3DB5"/>
    <w:pPr>
      <w:spacing w:after="0" w:line="240" w:lineRule="auto"/>
    </w:pPr>
  </w:style>
  <w:style w:type="character" w:styleId="CommentReference">
    <w:name w:val="annotation reference"/>
    <w:basedOn w:val="DefaultParagraphFont"/>
    <w:uiPriority w:val="99"/>
    <w:semiHidden/>
    <w:unhideWhenUsed/>
    <w:rsid w:val="006A6067"/>
    <w:rPr>
      <w:sz w:val="16"/>
      <w:szCs w:val="16"/>
    </w:rPr>
  </w:style>
  <w:style w:type="paragraph" w:styleId="CommentSubject">
    <w:name w:val="annotation subject"/>
    <w:basedOn w:val="CommentText"/>
    <w:next w:val="CommentText"/>
    <w:link w:val="CommentSubjectChar"/>
    <w:uiPriority w:val="99"/>
    <w:semiHidden/>
    <w:unhideWhenUsed/>
    <w:rsid w:val="006A6067"/>
    <w:pPr>
      <w:spacing w:after="160"/>
    </w:pPr>
    <w:rPr>
      <w:rFonts w:ascii="Lato" w:eastAsiaTheme="minorHAnsi" w:hAnsi="Lato" w:cstheme="minorBidi"/>
      <w:b/>
      <w:bCs/>
      <w:kern w:val="2"/>
      <w:lang w:val="en-US" w:eastAsia="en-US"/>
      <w14:ligatures w14:val="standardContextual"/>
    </w:rPr>
  </w:style>
  <w:style w:type="character" w:customStyle="1" w:styleId="CommentSubjectChar">
    <w:name w:val="Comment Subject Char"/>
    <w:basedOn w:val="CommentTextChar"/>
    <w:link w:val="CommentSubject"/>
    <w:uiPriority w:val="99"/>
    <w:semiHidden/>
    <w:rsid w:val="006A6067"/>
    <w:rPr>
      <w:rFonts w:ascii="Calibri" w:eastAsia="Calibri" w:hAnsi="Calibri" w:cs="Calibri"/>
      <w:b/>
      <w:bCs/>
      <w:kern w:val="0"/>
      <w:sz w:val="20"/>
      <w:szCs w:val="20"/>
      <w:lang w:val="en-GB" w:eastAsia="en-GB"/>
      <w14:ligatures w14:val="none"/>
    </w:rPr>
  </w:style>
  <w:style w:type="paragraph" w:styleId="BalloonText">
    <w:name w:val="Balloon Text"/>
    <w:basedOn w:val="Normal"/>
    <w:link w:val="BalloonTextChar"/>
    <w:uiPriority w:val="99"/>
    <w:semiHidden/>
    <w:unhideWhenUsed/>
    <w:rsid w:val="00FE1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6FE"/>
    <w:rPr>
      <w:rFonts w:ascii="Segoe UI" w:hAnsi="Segoe UI" w:cs="Segoe UI"/>
      <w:sz w:val="18"/>
      <w:szCs w:val="18"/>
    </w:rPr>
  </w:style>
  <w:style w:type="character" w:styleId="UnresolvedMention">
    <w:name w:val="Unresolved Mention"/>
    <w:basedOn w:val="DefaultParagraphFont"/>
    <w:uiPriority w:val="99"/>
    <w:semiHidden/>
    <w:unhideWhenUsed/>
    <w:rsid w:val="00FC40D2"/>
    <w:rPr>
      <w:color w:val="605E5C"/>
      <w:shd w:val="clear" w:color="auto" w:fill="E1DFDD"/>
    </w:rPr>
  </w:style>
  <w:style w:type="paragraph" w:styleId="Caption">
    <w:name w:val="caption"/>
    <w:basedOn w:val="Normal"/>
    <w:next w:val="Normal"/>
    <w:uiPriority w:val="35"/>
    <w:unhideWhenUsed/>
    <w:qFormat/>
    <w:rsid w:val="008555B7"/>
    <w:pPr>
      <w:spacing w:after="200" w:line="240" w:lineRule="auto"/>
    </w:pPr>
    <w:rPr>
      <w:i/>
      <w:iCs/>
      <w:color w:val="44546A" w:themeColor="text2"/>
      <w:sz w:val="18"/>
      <w:szCs w:val="18"/>
    </w:rPr>
  </w:style>
  <w:style w:type="paragraph" w:styleId="EndnoteText">
    <w:name w:val="endnote text"/>
    <w:basedOn w:val="Normal"/>
    <w:link w:val="EndnoteTextChar"/>
    <w:uiPriority w:val="99"/>
    <w:semiHidden/>
    <w:unhideWhenUsed/>
    <w:rsid w:val="004E46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460E"/>
    <w:rPr>
      <w:sz w:val="20"/>
      <w:szCs w:val="20"/>
    </w:rPr>
  </w:style>
  <w:style w:type="character" w:styleId="EndnoteReference">
    <w:name w:val="endnote reference"/>
    <w:basedOn w:val="DefaultParagraphFont"/>
    <w:uiPriority w:val="99"/>
    <w:semiHidden/>
    <w:unhideWhenUsed/>
    <w:rsid w:val="004E460E"/>
    <w:rPr>
      <w:vertAlign w:val="superscript"/>
    </w:rPr>
  </w:style>
  <w:style w:type="character" w:customStyle="1" w:styleId="ui-provider">
    <w:name w:val="ui-provider"/>
    <w:basedOn w:val="DefaultParagraphFont"/>
    <w:rsid w:val="003C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0924">
      <w:bodyDiv w:val="1"/>
      <w:marLeft w:val="0"/>
      <w:marRight w:val="0"/>
      <w:marTop w:val="0"/>
      <w:marBottom w:val="0"/>
      <w:divBdr>
        <w:top w:val="none" w:sz="0" w:space="0" w:color="auto"/>
        <w:left w:val="none" w:sz="0" w:space="0" w:color="auto"/>
        <w:bottom w:val="none" w:sz="0" w:space="0" w:color="auto"/>
        <w:right w:val="none" w:sz="0" w:space="0" w:color="auto"/>
      </w:divBdr>
    </w:div>
    <w:div w:id="319039619">
      <w:bodyDiv w:val="1"/>
      <w:marLeft w:val="0"/>
      <w:marRight w:val="0"/>
      <w:marTop w:val="0"/>
      <w:marBottom w:val="0"/>
      <w:divBdr>
        <w:top w:val="none" w:sz="0" w:space="0" w:color="auto"/>
        <w:left w:val="none" w:sz="0" w:space="0" w:color="auto"/>
        <w:bottom w:val="none" w:sz="0" w:space="0" w:color="auto"/>
        <w:right w:val="none" w:sz="0" w:space="0" w:color="auto"/>
      </w:divBdr>
    </w:div>
    <w:div w:id="384111668">
      <w:bodyDiv w:val="1"/>
      <w:marLeft w:val="0"/>
      <w:marRight w:val="0"/>
      <w:marTop w:val="0"/>
      <w:marBottom w:val="0"/>
      <w:divBdr>
        <w:top w:val="none" w:sz="0" w:space="0" w:color="auto"/>
        <w:left w:val="none" w:sz="0" w:space="0" w:color="auto"/>
        <w:bottom w:val="none" w:sz="0" w:space="0" w:color="auto"/>
        <w:right w:val="none" w:sz="0" w:space="0" w:color="auto"/>
      </w:divBdr>
    </w:div>
    <w:div w:id="569657545">
      <w:bodyDiv w:val="1"/>
      <w:marLeft w:val="0"/>
      <w:marRight w:val="0"/>
      <w:marTop w:val="0"/>
      <w:marBottom w:val="0"/>
      <w:divBdr>
        <w:top w:val="none" w:sz="0" w:space="0" w:color="auto"/>
        <w:left w:val="none" w:sz="0" w:space="0" w:color="auto"/>
        <w:bottom w:val="none" w:sz="0" w:space="0" w:color="auto"/>
        <w:right w:val="none" w:sz="0" w:space="0" w:color="auto"/>
      </w:divBdr>
    </w:div>
    <w:div w:id="639267965">
      <w:bodyDiv w:val="1"/>
      <w:marLeft w:val="0"/>
      <w:marRight w:val="0"/>
      <w:marTop w:val="0"/>
      <w:marBottom w:val="0"/>
      <w:divBdr>
        <w:top w:val="none" w:sz="0" w:space="0" w:color="auto"/>
        <w:left w:val="none" w:sz="0" w:space="0" w:color="auto"/>
        <w:bottom w:val="none" w:sz="0" w:space="0" w:color="auto"/>
        <w:right w:val="none" w:sz="0" w:space="0" w:color="auto"/>
      </w:divBdr>
    </w:div>
    <w:div w:id="991639978">
      <w:bodyDiv w:val="1"/>
      <w:marLeft w:val="0"/>
      <w:marRight w:val="0"/>
      <w:marTop w:val="0"/>
      <w:marBottom w:val="0"/>
      <w:divBdr>
        <w:top w:val="none" w:sz="0" w:space="0" w:color="auto"/>
        <w:left w:val="none" w:sz="0" w:space="0" w:color="auto"/>
        <w:bottom w:val="none" w:sz="0" w:space="0" w:color="auto"/>
        <w:right w:val="none" w:sz="0" w:space="0" w:color="auto"/>
      </w:divBdr>
      <w:divsChild>
        <w:div w:id="2101171441">
          <w:marLeft w:val="1166"/>
          <w:marRight w:val="0"/>
          <w:marTop w:val="0"/>
          <w:marBottom w:val="0"/>
          <w:divBdr>
            <w:top w:val="none" w:sz="0" w:space="0" w:color="auto"/>
            <w:left w:val="none" w:sz="0" w:space="0" w:color="auto"/>
            <w:bottom w:val="none" w:sz="0" w:space="0" w:color="auto"/>
            <w:right w:val="none" w:sz="0" w:space="0" w:color="auto"/>
          </w:divBdr>
        </w:div>
      </w:divsChild>
    </w:div>
    <w:div w:id="1265528427">
      <w:bodyDiv w:val="1"/>
      <w:marLeft w:val="0"/>
      <w:marRight w:val="0"/>
      <w:marTop w:val="0"/>
      <w:marBottom w:val="0"/>
      <w:divBdr>
        <w:top w:val="none" w:sz="0" w:space="0" w:color="auto"/>
        <w:left w:val="none" w:sz="0" w:space="0" w:color="auto"/>
        <w:bottom w:val="none" w:sz="0" w:space="0" w:color="auto"/>
        <w:right w:val="none" w:sz="0" w:space="0" w:color="auto"/>
      </w:divBdr>
    </w:div>
    <w:div w:id="1372457245">
      <w:bodyDiv w:val="1"/>
      <w:marLeft w:val="0"/>
      <w:marRight w:val="0"/>
      <w:marTop w:val="0"/>
      <w:marBottom w:val="0"/>
      <w:divBdr>
        <w:top w:val="none" w:sz="0" w:space="0" w:color="auto"/>
        <w:left w:val="none" w:sz="0" w:space="0" w:color="auto"/>
        <w:bottom w:val="none" w:sz="0" w:space="0" w:color="auto"/>
        <w:right w:val="none" w:sz="0" w:space="0" w:color="auto"/>
      </w:divBdr>
    </w:div>
    <w:div w:id="1562056027">
      <w:bodyDiv w:val="1"/>
      <w:marLeft w:val="0"/>
      <w:marRight w:val="0"/>
      <w:marTop w:val="0"/>
      <w:marBottom w:val="0"/>
      <w:divBdr>
        <w:top w:val="none" w:sz="0" w:space="0" w:color="auto"/>
        <w:left w:val="none" w:sz="0" w:space="0" w:color="auto"/>
        <w:bottom w:val="none" w:sz="0" w:space="0" w:color="auto"/>
        <w:right w:val="none" w:sz="0" w:space="0" w:color="auto"/>
      </w:divBdr>
    </w:div>
    <w:div w:id="1573193948">
      <w:bodyDiv w:val="1"/>
      <w:marLeft w:val="0"/>
      <w:marRight w:val="0"/>
      <w:marTop w:val="0"/>
      <w:marBottom w:val="0"/>
      <w:divBdr>
        <w:top w:val="none" w:sz="0" w:space="0" w:color="auto"/>
        <w:left w:val="none" w:sz="0" w:space="0" w:color="auto"/>
        <w:bottom w:val="none" w:sz="0" w:space="0" w:color="auto"/>
        <w:right w:val="none" w:sz="0" w:space="0" w:color="auto"/>
      </w:divBdr>
    </w:div>
    <w:div w:id="1633054140">
      <w:bodyDiv w:val="1"/>
      <w:marLeft w:val="0"/>
      <w:marRight w:val="0"/>
      <w:marTop w:val="0"/>
      <w:marBottom w:val="0"/>
      <w:divBdr>
        <w:top w:val="none" w:sz="0" w:space="0" w:color="auto"/>
        <w:left w:val="none" w:sz="0" w:space="0" w:color="auto"/>
        <w:bottom w:val="none" w:sz="0" w:space="0" w:color="auto"/>
        <w:right w:val="none" w:sz="0" w:space="0" w:color="auto"/>
      </w:divBdr>
    </w:div>
    <w:div w:id="1854832001">
      <w:bodyDiv w:val="1"/>
      <w:marLeft w:val="0"/>
      <w:marRight w:val="0"/>
      <w:marTop w:val="0"/>
      <w:marBottom w:val="0"/>
      <w:divBdr>
        <w:top w:val="none" w:sz="0" w:space="0" w:color="auto"/>
        <w:left w:val="none" w:sz="0" w:space="0" w:color="auto"/>
        <w:bottom w:val="none" w:sz="0" w:space="0" w:color="auto"/>
        <w:right w:val="none" w:sz="0" w:space="0" w:color="auto"/>
      </w:divBdr>
    </w:div>
    <w:div w:id="2145803319">
      <w:bodyDiv w:val="1"/>
      <w:marLeft w:val="0"/>
      <w:marRight w:val="0"/>
      <w:marTop w:val="0"/>
      <w:marBottom w:val="0"/>
      <w:divBdr>
        <w:top w:val="none" w:sz="0" w:space="0" w:color="auto"/>
        <w:left w:val="none" w:sz="0" w:space="0" w:color="auto"/>
        <w:bottom w:val="none" w:sz="0" w:space="0" w:color="auto"/>
        <w:right w:val="none" w:sz="0" w:space="0" w:color="auto"/>
      </w:divBdr>
      <w:divsChild>
        <w:div w:id="1073696050">
          <w:marLeft w:val="0"/>
          <w:marRight w:val="0"/>
          <w:marTop w:val="0"/>
          <w:marBottom w:val="0"/>
          <w:divBdr>
            <w:top w:val="none" w:sz="0" w:space="0" w:color="auto"/>
            <w:left w:val="none" w:sz="0" w:space="0" w:color="auto"/>
            <w:bottom w:val="none" w:sz="0" w:space="0" w:color="auto"/>
            <w:right w:val="none" w:sz="0" w:space="0" w:color="auto"/>
          </w:divBdr>
          <w:divsChild>
            <w:div w:id="334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png@01D9DAE7.EAFD754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BDE5D13C7C844895D4D0785CE1387" ma:contentTypeVersion="17" ma:contentTypeDescription="Create a new document." ma:contentTypeScope="" ma:versionID="d030c42fdba9d9e831ecb1e47f3376ac">
  <xsd:schema xmlns:xsd="http://www.w3.org/2001/XMLSchema" xmlns:xs="http://www.w3.org/2001/XMLSchema" xmlns:p="http://schemas.microsoft.com/office/2006/metadata/properties" xmlns:ns2="b545358d-e310-4d04-b43f-541cad9994cd" xmlns:ns3="7a9f276f-f162-4cb8-9653-eafef4bd0861" targetNamespace="http://schemas.microsoft.com/office/2006/metadata/properties" ma:root="true" ma:fieldsID="3b7258fcfcaba4985fc84f71ae229a42" ns2:_="" ns3:_="">
    <xsd:import namespace="b545358d-e310-4d04-b43f-541cad9994cd"/>
    <xsd:import namespace="7a9f276f-f162-4cb8-9653-eafef4bd08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358d-e310-4d04-b43f-541cad999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3913a5-fff7-4b25-bc4b-eac5b45096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9f276f-f162-4cb8-9653-eafef4bd086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633779-304a-4fec-a556-a2839aab83d9}" ma:internalName="TaxCatchAll" ma:showField="CatchAllData" ma:web="7a9f276f-f162-4cb8-9653-eafef4bd08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a9f276f-f162-4cb8-9653-eafef4bd0861" xsi:nil="true"/>
    <lcf76f155ced4ddcb4097134ff3c332f xmlns="b545358d-e310-4d04-b43f-541cad9994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C1513D-6CAC-496F-8B94-9B94E39F45BA}">
  <ds:schemaRefs>
    <ds:schemaRef ds:uri="http://schemas.openxmlformats.org/officeDocument/2006/bibliography"/>
  </ds:schemaRefs>
</ds:datastoreItem>
</file>

<file path=customXml/itemProps2.xml><?xml version="1.0" encoding="utf-8"?>
<ds:datastoreItem xmlns:ds="http://schemas.openxmlformats.org/officeDocument/2006/customXml" ds:itemID="{EE57B9C9-CF54-424C-9CFA-FF82E5F33BF9}"/>
</file>

<file path=customXml/itemProps3.xml><?xml version="1.0" encoding="utf-8"?>
<ds:datastoreItem xmlns:ds="http://schemas.openxmlformats.org/officeDocument/2006/customXml" ds:itemID="{2C57224E-4872-492A-A6BD-22AFCAD2E163}">
  <ds:schemaRefs>
    <ds:schemaRef ds:uri="http://schemas.microsoft.com/sharepoint/v3/contenttype/forms"/>
  </ds:schemaRefs>
</ds:datastoreItem>
</file>

<file path=customXml/itemProps4.xml><?xml version="1.0" encoding="utf-8"?>
<ds:datastoreItem xmlns:ds="http://schemas.openxmlformats.org/officeDocument/2006/customXml" ds:itemID="{7E370203-4BCE-4681-9F1F-446D81B17CF4}">
  <ds:schemaRefs>
    <ds:schemaRef ds:uri="http://schemas.microsoft.com/office/2006/metadata/properties"/>
    <ds:schemaRef ds:uri="http://schemas.microsoft.com/office/infopath/2007/PartnerControls"/>
    <ds:schemaRef ds:uri="a56bff84-c1c0-4464-a46f-2eb768399817"/>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12</Pages>
  <Words>3308</Words>
  <Characters>18859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22123</CharactersWithSpaces>
  <SharedDoc>false</SharedDoc>
  <HLinks>
    <vt:vector size="66" baseType="variant">
      <vt:variant>
        <vt:i4>1769521</vt:i4>
      </vt:variant>
      <vt:variant>
        <vt:i4>62</vt:i4>
      </vt:variant>
      <vt:variant>
        <vt:i4>0</vt:i4>
      </vt:variant>
      <vt:variant>
        <vt:i4>5</vt:i4>
      </vt:variant>
      <vt:variant>
        <vt:lpwstr/>
      </vt:variant>
      <vt:variant>
        <vt:lpwstr>_Toc144202487</vt:lpwstr>
      </vt:variant>
      <vt:variant>
        <vt:i4>1769521</vt:i4>
      </vt:variant>
      <vt:variant>
        <vt:i4>56</vt:i4>
      </vt:variant>
      <vt:variant>
        <vt:i4>0</vt:i4>
      </vt:variant>
      <vt:variant>
        <vt:i4>5</vt:i4>
      </vt:variant>
      <vt:variant>
        <vt:lpwstr/>
      </vt:variant>
      <vt:variant>
        <vt:lpwstr>_Toc144202486</vt:lpwstr>
      </vt:variant>
      <vt:variant>
        <vt:i4>1769521</vt:i4>
      </vt:variant>
      <vt:variant>
        <vt:i4>50</vt:i4>
      </vt:variant>
      <vt:variant>
        <vt:i4>0</vt:i4>
      </vt:variant>
      <vt:variant>
        <vt:i4>5</vt:i4>
      </vt:variant>
      <vt:variant>
        <vt:lpwstr/>
      </vt:variant>
      <vt:variant>
        <vt:lpwstr>_Toc144202485</vt:lpwstr>
      </vt:variant>
      <vt:variant>
        <vt:i4>1769521</vt:i4>
      </vt:variant>
      <vt:variant>
        <vt:i4>44</vt:i4>
      </vt:variant>
      <vt:variant>
        <vt:i4>0</vt:i4>
      </vt:variant>
      <vt:variant>
        <vt:i4>5</vt:i4>
      </vt:variant>
      <vt:variant>
        <vt:lpwstr/>
      </vt:variant>
      <vt:variant>
        <vt:lpwstr>_Toc144202484</vt:lpwstr>
      </vt:variant>
      <vt:variant>
        <vt:i4>1769521</vt:i4>
      </vt:variant>
      <vt:variant>
        <vt:i4>38</vt:i4>
      </vt:variant>
      <vt:variant>
        <vt:i4>0</vt:i4>
      </vt:variant>
      <vt:variant>
        <vt:i4>5</vt:i4>
      </vt:variant>
      <vt:variant>
        <vt:lpwstr/>
      </vt:variant>
      <vt:variant>
        <vt:lpwstr>_Toc144202483</vt:lpwstr>
      </vt:variant>
      <vt:variant>
        <vt:i4>1769521</vt:i4>
      </vt:variant>
      <vt:variant>
        <vt:i4>32</vt:i4>
      </vt:variant>
      <vt:variant>
        <vt:i4>0</vt:i4>
      </vt:variant>
      <vt:variant>
        <vt:i4>5</vt:i4>
      </vt:variant>
      <vt:variant>
        <vt:lpwstr/>
      </vt:variant>
      <vt:variant>
        <vt:lpwstr>_Toc144202482</vt:lpwstr>
      </vt:variant>
      <vt:variant>
        <vt:i4>1310769</vt:i4>
      </vt:variant>
      <vt:variant>
        <vt:i4>26</vt:i4>
      </vt:variant>
      <vt:variant>
        <vt:i4>0</vt:i4>
      </vt:variant>
      <vt:variant>
        <vt:i4>5</vt:i4>
      </vt:variant>
      <vt:variant>
        <vt:lpwstr/>
      </vt:variant>
      <vt:variant>
        <vt:lpwstr>_Toc144202472</vt:lpwstr>
      </vt:variant>
      <vt:variant>
        <vt:i4>1310769</vt:i4>
      </vt:variant>
      <vt:variant>
        <vt:i4>20</vt:i4>
      </vt:variant>
      <vt:variant>
        <vt:i4>0</vt:i4>
      </vt:variant>
      <vt:variant>
        <vt:i4>5</vt:i4>
      </vt:variant>
      <vt:variant>
        <vt:lpwstr/>
      </vt:variant>
      <vt:variant>
        <vt:lpwstr>_Toc144202471</vt:lpwstr>
      </vt:variant>
      <vt:variant>
        <vt:i4>1310769</vt:i4>
      </vt:variant>
      <vt:variant>
        <vt:i4>14</vt:i4>
      </vt:variant>
      <vt:variant>
        <vt:i4>0</vt:i4>
      </vt:variant>
      <vt:variant>
        <vt:i4>5</vt:i4>
      </vt:variant>
      <vt:variant>
        <vt:lpwstr/>
      </vt:variant>
      <vt:variant>
        <vt:lpwstr>_Toc144202470</vt:lpwstr>
      </vt:variant>
      <vt:variant>
        <vt:i4>1376305</vt:i4>
      </vt:variant>
      <vt:variant>
        <vt:i4>8</vt:i4>
      </vt:variant>
      <vt:variant>
        <vt:i4>0</vt:i4>
      </vt:variant>
      <vt:variant>
        <vt:i4>5</vt:i4>
      </vt:variant>
      <vt:variant>
        <vt:lpwstr/>
      </vt:variant>
      <vt:variant>
        <vt:lpwstr>_Toc144202469</vt:lpwstr>
      </vt:variant>
      <vt:variant>
        <vt:i4>1376305</vt:i4>
      </vt:variant>
      <vt:variant>
        <vt:i4>2</vt:i4>
      </vt:variant>
      <vt:variant>
        <vt:i4>0</vt:i4>
      </vt:variant>
      <vt:variant>
        <vt:i4>5</vt:i4>
      </vt:variant>
      <vt:variant>
        <vt:lpwstr/>
      </vt:variant>
      <vt:variant>
        <vt:lpwstr>_Toc144202468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Maung, Swe Linn</dc:creator>
  <cp:keywords/>
  <dc:description/>
  <cp:lastModifiedBy>Maung, Swe Linn</cp:lastModifiedBy>
  <cp:revision>122</cp:revision>
  <cp:lastPrinted>2023-09-23T04:19:00Z</cp:lastPrinted>
  <dcterms:created xsi:type="dcterms:W3CDTF">2023-09-22T06:20:00Z</dcterms:created>
  <dcterms:modified xsi:type="dcterms:W3CDTF">2023-09-23T04:30:00Z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a3ffcd1e06d088501aa725b26c78773ede520a926b3f25e7ecb809144783ba1e</vt:lpwstr>
  </property>
  <property fmtid="{D5CDD505-2E9C-101B-9397-08002B2CF9AE}" pid="3" name="ContentTypeId">
    <vt:lpwstr>0x010100EFEBDE5D13C7C844895D4D0785CE1387</vt:lpwstr>
  </property>
  <property fmtid="{D5CDD505-2E9C-101B-9397-08002B2CF9AE}" pid="4" name="Mendeley Document_1">
    <vt:lpwstr>True</vt:lpwstr>
  </property>
  <property fmtid="{D5CDD505-2E9C-101B-9397-08002B2CF9AE}" pid="5" name="Mendeley Unique User Id_1">
    <vt:lpwstr>e083079d-09a1-3ecb-a912-9fcaa1703c59</vt:lpwstr>
  </property>
  <property fmtid="{D5CDD505-2E9C-101B-9397-08002B2CF9AE}" pid="6" name="Mendeley Citation Style_1">
    <vt:lpwstr>http://www.zotero.org/styles/apa</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