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6220" w:rsidR="00BA43F3" w:rsidP="153B97D1" w:rsidRDefault="00FD6607" w14:paraId="08165D38" w14:textId="6FEB47B4">
      <w:pPr>
        <w:jc w:val="center"/>
        <w:rPr>
          <w:rFonts w:ascii="Calibri" w:hAnsi="Calibri" w:eastAsia="Calibri" w:cs="Calibri" w:asciiTheme="minorAscii" w:hAnsiTheme="minorAscii" w:eastAsiaTheme="minorAscii" w:cstheme="minorAscii"/>
          <w:b w:val="1"/>
          <w:bCs w:val="1"/>
          <w:sz w:val="24"/>
          <w:szCs w:val="24"/>
        </w:rPr>
      </w:pPr>
      <w:r w:rsidRPr="153B97D1" w:rsidR="153B97D1">
        <w:rPr>
          <w:rFonts w:ascii="Calibri" w:hAnsi="Calibri" w:eastAsia="Calibri" w:cs="Calibri" w:asciiTheme="minorAscii" w:hAnsiTheme="minorAscii" w:eastAsiaTheme="minorAscii" w:cstheme="minorAscii"/>
          <w:b w:val="1"/>
          <w:bCs w:val="1"/>
          <w:sz w:val="24"/>
          <w:szCs w:val="24"/>
        </w:rPr>
        <w:t>Q&amp;A</w:t>
      </w:r>
    </w:p>
    <w:p w:rsidR="002E7E98" w:rsidP="153B97D1" w:rsidRDefault="002E7E98" w14:paraId="00B98AC9" w14:textId="77777777">
      <w:pPr>
        <w:jc w:val="center"/>
        <w:rPr>
          <w:rFonts w:ascii="Calibri" w:hAnsi="Calibri" w:eastAsia="Calibri" w:cs="Calibri" w:asciiTheme="minorAscii" w:hAnsiTheme="minorAscii" w:eastAsiaTheme="minorAscii" w:cstheme="minorAscii"/>
          <w:b w:val="1"/>
          <w:bCs w:val="1"/>
          <w:sz w:val="24"/>
          <w:szCs w:val="24"/>
        </w:rPr>
      </w:pPr>
      <w:r w:rsidRPr="153B97D1" w:rsidR="153B97D1">
        <w:rPr>
          <w:rFonts w:ascii="Calibri" w:hAnsi="Calibri" w:eastAsia="Calibri" w:cs="Calibri" w:asciiTheme="minorAscii" w:hAnsiTheme="minorAscii" w:eastAsiaTheme="minorAscii" w:cstheme="minorAscii"/>
          <w:b w:val="1"/>
          <w:bCs w:val="1"/>
          <w:sz w:val="24"/>
          <w:szCs w:val="24"/>
        </w:rPr>
        <w:t>Gender and GBV HRP Support</w:t>
      </w:r>
    </w:p>
    <w:p w:rsidR="00FD6607" w:rsidP="153B97D1" w:rsidRDefault="00832C25" w14:paraId="4F76C5D9" w14:textId="7086DC2C">
      <w:pPr>
        <w:jc w:val="center"/>
        <w:rPr>
          <w:rFonts w:ascii="Calibri" w:hAnsi="Calibri" w:eastAsia="Calibri" w:cs="Calibri" w:asciiTheme="minorAscii" w:hAnsiTheme="minorAscii" w:eastAsiaTheme="minorAscii" w:cstheme="minorAscii"/>
          <w:sz w:val="24"/>
          <w:szCs w:val="24"/>
        </w:rPr>
      </w:pPr>
      <w:r w:rsidRPr="153B97D1" w:rsidR="153B97D1">
        <w:rPr>
          <w:rFonts w:ascii="Calibri" w:hAnsi="Calibri" w:eastAsia="Calibri" w:cs="Calibri" w:asciiTheme="minorAscii" w:hAnsiTheme="minorAscii" w:eastAsiaTheme="minorAscii" w:cstheme="minorAscii"/>
          <w:sz w:val="24"/>
          <w:szCs w:val="24"/>
        </w:rPr>
        <w:t>September</w:t>
      </w:r>
      <w:r w:rsidRPr="153B97D1" w:rsidR="153B97D1">
        <w:rPr>
          <w:rFonts w:ascii="Calibri" w:hAnsi="Calibri" w:eastAsia="Calibri" w:cs="Calibri" w:asciiTheme="minorAscii" w:hAnsiTheme="minorAscii" w:eastAsiaTheme="minorAscii" w:cstheme="minorAscii"/>
          <w:sz w:val="24"/>
          <w:szCs w:val="24"/>
        </w:rPr>
        <w:t xml:space="preserve"> </w:t>
      </w:r>
      <w:r w:rsidRPr="153B97D1" w:rsidR="153B97D1">
        <w:rPr>
          <w:rFonts w:ascii="Calibri" w:hAnsi="Calibri" w:eastAsia="Calibri" w:cs="Calibri" w:asciiTheme="minorAscii" w:hAnsiTheme="minorAscii" w:eastAsiaTheme="minorAscii" w:cstheme="minorAscii"/>
          <w:sz w:val="24"/>
          <w:szCs w:val="24"/>
        </w:rPr>
        <w:t>20</w:t>
      </w:r>
      <w:r w:rsidRPr="153B97D1" w:rsidR="153B97D1">
        <w:rPr>
          <w:rFonts w:ascii="Calibri" w:hAnsi="Calibri" w:eastAsia="Calibri" w:cs="Calibri" w:asciiTheme="minorAscii" w:hAnsiTheme="minorAscii" w:eastAsiaTheme="minorAscii" w:cstheme="minorAscii"/>
          <w:sz w:val="24"/>
          <w:szCs w:val="24"/>
        </w:rPr>
        <w:t>, 2022</w:t>
      </w:r>
    </w:p>
    <w:p w:rsidR="009C6220" w:rsidP="153B97D1" w:rsidRDefault="009C6220" w14:paraId="35D088D5" w14:textId="4D165CEF">
      <w:pPr>
        <w:pStyle w:val="Normal"/>
        <w:rPr>
          <w:rFonts w:ascii="Calibri" w:hAnsi="Calibri" w:eastAsia="Calibri" w:cs="Calibri" w:asciiTheme="minorAscii" w:hAnsiTheme="minorAscii" w:eastAsiaTheme="minorAscii" w:cstheme="minorAscii"/>
          <w:sz w:val="24"/>
          <w:szCs w:val="24"/>
        </w:rPr>
      </w:pPr>
    </w:p>
    <w:p w:rsidR="009C6220" w:rsidP="153B97D1" w:rsidRDefault="009C6220" w14:paraId="48CB7C48" w14:textId="34716619">
      <w:pPr>
        <w:rPr>
          <w:rFonts w:ascii="Calibri" w:hAnsi="Calibri" w:eastAsia="Calibri" w:cs="Calibri" w:asciiTheme="minorAscii" w:hAnsiTheme="minorAscii" w:eastAsiaTheme="minorAscii" w:cstheme="minorAscii"/>
          <w:sz w:val="24"/>
          <w:szCs w:val="24"/>
        </w:rPr>
      </w:pPr>
      <w:r w:rsidRPr="153B97D1" w:rsidR="153B97D1">
        <w:rPr>
          <w:rFonts w:ascii="Calibri" w:hAnsi="Calibri" w:eastAsia="Calibri" w:cs="Calibri" w:asciiTheme="minorAscii" w:hAnsiTheme="minorAscii" w:eastAsiaTheme="minorAscii" w:cstheme="minorAscii"/>
          <w:b w:val="1"/>
          <w:bCs w:val="1"/>
          <w:sz w:val="24"/>
          <w:szCs w:val="24"/>
        </w:rPr>
        <w:t>Question 1:</w:t>
      </w:r>
      <w:r w:rsidRPr="153B97D1" w:rsidR="153B97D1">
        <w:rPr>
          <w:rFonts w:ascii="Calibri" w:hAnsi="Calibri" w:eastAsia="Calibri" w:cs="Calibri" w:asciiTheme="minorAscii" w:hAnsiTheme="minorAscii" w:eastAsiaTheme="minorAscii" w:cstheme="minorAscii"/>
          <w:sz w:val="24"/>
          <w:szCs w:val="24"/>
        </w:rPr>
        <w:t xml:space="preserve"> </w:t>
      </w:r>
      <w:r w:rsidRPr="153B97D1" w:rsidR="153B97D1">
        <w:rPr>
          <w:rFonts w:ascii="Calibri" w:hAnsi="Calibri" w:eastAsia="Calibri" w:cs="Calibri" w:asciiTheme="minorAscii" w:hAnsiTheme="minorAscii" w:eastAsiaTheme="minorAscii" w:cstheme="minorAscii"/>
          <w:sz w:val="24"/>
          <w:szCs w:val="24"/>
        </w:rPr>
        <w:t xml:space="preserve">As a traditional and belief, some women are not allowed to go outside, work, and </w:t>
      </w:r>
      <w:r w:rsidRPr="153B97D1" w:rsidR="153B97D1">
        <w:rPr>
          <w:rFonts w:ascii="Calibri" w:hAnsi="Calibri" w:eastAsia="Calibri" w:cs="Calibri" w:asciiTheme="minorAscii" w:hAnsiTheme="minorAscii" w:eastAsiaTheme="minorAscii" w:cstheme="minorAscii"/>
          <w:sz w:val="24"/>
          <w:szCs w:val="24"/>
        </w:rPr>
        <w:t>have to</w:t>
      </w:r>
      <w:r w:rsidRPr="153B97D1" w:rsidR="153B97D1">
        <w:rPr>
          <w:rFonts w:ascii="Calibri" w:hAnsi="Calibri" w:eastAsia="Calibri" w:cs="Calibri" w:asciiTheme="minorAscii" w:hAnsiTheme="minorAscii" w:eastAsiaTheme="minorAscii" w:cstheme="minorAscii"/>
          <w:sz w:val="24"/>
          <w:szCs w:val="24"/>
        </w:rPr>
        <w:t xml:space="preserve"> stay at home after delivery, so women lack chances of socialization, job opportunity, so what should we do to advocate their </w:t>
      </w:r>
      <w:r w:rsidRPr="153B97D1" w:rsidR="153B97D1">
        <w:rPr>
          <w:rFonts w:ascii="Calibri" w:hAnsi="Calibri" w:eastAsia="Calibri" w:cs="Calibri" w:asciiTheme="minorAscii" w:hAnsiTheme="minorAscii" w:eastAsiaTheme="minorAscii" w:cstheme="minorAscii"/>
          <w:sz w:val="24"/>
          <w:szCs w:val="24"/>
        </w:rPr>
        <w:t>husbands</w:t>
      </w:r>
      <w:r w:rsidRPr="153B97D1" w:rsidR="153B97D1">
        <w:rPr>
          <w:rFonts w:ascii="Calibri" w:hAnsi="Calibri" w:eastAsia="Calibri" w:cs="Calibri" w:asciiTheme="minorAscii" w:hAnsiTheme="minorAscii" w:eastAsiaTheme="minorAscii" w:cstheme="minorAscii"/>
          <w:sz w:val="24"/>
          <w:szCs w:val="24"/>
        </w:rPr>
        <w:t xml:space="preserve">, and </w:t>
      </w:r>
      <w:r w:rsidRPr="153B97D1" w:rsidR="153B97D1">
        <w:rPr>
          <w:rFonts w:ascii="Calibri" w:hAnsi="Calibri" w:eastAsia="Calibri" w:cs="Calibri" w:asciiTheme="minorAscii" w:hAnsiTheme="minorAscii" w:eastAsiaTheme="minorAscii" w:cstheme="minorAscii"/>
          <w:sz w:val="24"/>
          <w:szCs w:val="24"/>
        </w:rPr>
        <w:t>religious</w:t>
      </w:r>
      <w:r w:rsidRPr="153B97D1" w:rsidR="153B97D1">
        <w:rPr>
          <w:rFonts w:ascii="Calibri" w:hAnsi="Calibri" w:eastAsia="Calibri" w:cs="Calibri" w:asciiTheme="minorAscii" w:hAnsiTheme="minorAscii" w:eastAsiaTheme="minorAscii" w:cstheme="minorAscii"/>
          <w:sz w:val="24"/>
          <w:szCs w:val="24"/>
        </w:rPr>
        <w:t xml:space="preserve"> workers for that.</w:t>
      </w:r>
    </w:p>
    <w:p w:rsidRPr="00104206" w:rsidR="009C6220" w:rsidP="153B97D1" w:rsidRDefault="009C6220" w14:paraId="5A84A174" w14:textId="4A44FCFC">
      <w:pPr>
        <w:rPr>
          <w:rFonts w:ascii="Calibri" w:hAnsi="Calibri" w:eastAsia="Calibri" w:cs="Calibri" w:asciiTheme="minorAscii" w:hAnsiTheme="minorAscii" w:eastAsiaTheme="minorAscii" w:cstheme="minorAscii"/>
          <w:color w:val="0070C0"/>
          <w:sz w:val="24"/>
          <w:szCs w:val="24"/>
        </w:rPr>
      </w:pPr>
      <w:r w:rsidRPr="153B97D1" w:rsidR="153B97D1">
        <w:rPr>
          <w:rFonts w:ascii="Calibri" w:hAnsi="Calibri" w:eastAsia="Calibri" w:cs="Calibri" w:asciiTheme="minorAscii" w:hAnsiTheme="minorAscii" w:eastAsiaTheme="minorAscii" w:cstheme="minorAscii"/>
          <w:b w:val="1"/>
          <w:bCs w:val="1"/>
          <w:color w:val="0070C0"/>
          <w:sz w:val="24"/>
          <w:szCs w:val="24"/>
        </w:rPr>
        <w:t xml:space="preserve">Answer 1: </w:t>
      </w:r>
      <w:r w:rsidRPr="153B97D1" w:rsidR="153B97D1">
        <w:rPr>
          <w:rFonts w:ascii="Calibri" w:hAnsi="Calibri" w:eastAsia="Calibri" w:cs="Calibri" w:asciiTheme="minorAscii" w:hAnsiTheme="minorAscii" w:eastAsiaTheme="minorAscii" w:cstheme="minorAscii"/>
          <w:color w:val="0070C0"/>
          <w:sz w:val="24"/>
          <w:szCs w:val="24"/>
        </w:rPr>
        <w:t>Answered live</w:t>
      </w:r>
    </w:p>
    <w:p w:rsidR="009C6220" w:rsidP="153B97D1" w:rsidRDefault="009C6220" w14:paraId="1DC0B7CD" w14:textId="0557F3C4">
      <w:pPr>
        <w:rPr>
          <w:rFonts w:ascii="Calibri" w:hAnsi="Calibri" w:eastAsia="Calibri" w:cs="Calibri" w:asciiTheme="minorAscii" w:hAnsiTheme="minorAscii" w:eastAsiaTheme="minorAscii" w:cstheme="minorAscii"/>
          <w:sz w:val="24"/>
          <w:szCs w:val="24"/>
        </w:rPr>
      </w:pPr>
    </w:p>
    <w:p w:rsidR="00244646" w:rsidP="153B97D1" w:rsidRDefault="009C6220" w14:paraId="57F1D45D" w14:textId="77777777">
      <w:pPr>
        <w:rPr>
          <w:rFonts w:ascii="Calibri" w:hAnsi="Calibri" w:eastAsia="Calibri" w:cs="Calibri" w:asciiTheme="minorAscii" w:hAnsiTheme="minorAscii" w:eastAsiaTheme="minorAscii" w:cstheme="minorAscii"/>
          <w:sz w:val="24"/>
          <w:szCs w:val="24"/>
        </w:rPr>
      </w:pPr>
      <w:r w:rsidRPr="153B97D1" w:rsidR="153B97D1">
        <w:rPr>
          <w:rFonts w:ascii="Calibri" w:hAnsi="Calibri" w:eastAsia="Calibri" w:cs="Calibri" w:asciiTheme="minorAscii" w:hAnsiTheme="minorAscii" w:eastAsiaTheme="minorAscii" w:cstheme="minorAscii"/>
          <w:b w:val="1"/>
          <w:bCs w:val="1"/>
          <w:sz w:val="24"/>
          <w:szCs w:val="24"/>
        </w:rPr>
        <w:t>Question 2:</w:t>
      </w:r>
      <w:r w:rsidRPr="153B97D1" w:rsidR="153B97D1">
        <w:rPr>
          <w:rFonts w:ascii="Calibri" w:hAnsi="Calibri" w:eastAsia="Calibri" w:cs="Calibri" w:asciiTheme="minorAscii" w:hAnsiTheme="minorAscii" w:eastAsiaTheme="minorAscii" w:cstheme="minorAscii"/>
          <w:sz w:val="24"/>
          <w:szCs w:val="24"/>
        </w:rPr>
        <w:t xml:space="preserve"> </w:t>
      </w:r>
      <w:r w:rsidRPr="153B97D1" w:rsidR="153B97D1">
        <w:rPr>
          <w:rFonts w:ascii="Calibri" w:hAnsi="Calibri" w:eastAsia="Calibri" w:cs="Calibri" w:asciiTheme="minorAscii" w:hAnsiTheme="minorAscii" w:eastAsiaTheme="minorAscii" w:cstheme="minorAscii"/>
          <w:sz w:val="24"/>
          <w:szCs w:val="24"/>
        </w:rPr>
        <w:t xml:space="preserve">The latest Joint Needs Assessments </w:t>
      </w:r>
      <w:r w:rsidRPr="153B97D1" w:rsidR="153B97D1">
        <w:rPr>
          <w:rFonts w:ascii="Calibri" w:hAnsi="Calibri" w:eastAsia="Calibri" w:cs="Calibri" w:asciiTheme="minorAscii" w:hAnsiTheme="minorAscii" w:eastAsiaTheme="minorAscii" w:cstheme="minorAscii"/>
          <w:sz w:val="24"/>
          <w:szCs w:val="24"/>
        </w:rPr>
        <w:t>identified</w:t>
      </w:r>
      <w:r w:rsidRPr="153B97D1" w:rsidR="153B97D1">
        <w:rPr>
          <w:rFonts w:ascii="Calibri" w:hAnsi="Calibri" w:eastAsia="Calibri" w:cs="Calibri" w:asciiTheme="minorAscii" w:hAnsiTheme="minorAscii" w:eastAsiaTheme="minorAscii" w:cstheme="minorAscii"/>
          <w:sz w:val="24"/>
          <w:szCs w:val="24"/>
        </w:rPr>
        <w:t xml:space="preserve"> that severe food insecurity is higher in Male than females, and despite undernutrition being higher in boys, girls have more access to nutritional interventions. Just keep in mind criteria that promote gender equality in the interventions.</w:t>
      </w:r>
    </w:p>
    <w:p w:rsidR="00104206" w:rsidP="153B97D1" w:rsidRDefault="009C6220" w14:paraId="646ED0D2" w14:textId="0E9419C9">
      <w:pPr>
        <w:rPr>
          <w:rFonts w:ascii="Calibri" w:hAnsi="Calibri" w:eastAsia="Calibri" w:cs="Calibri" w:asciiTheme="minorAscii" w:hAnsiTheme="minorAscii" w:eastAsiaTheme="minorAscii" w:cstheme="minorAscii"/>
          <w:color w:val="0070C0"/>
          <w:sz w:val="24"/>
          <w:szCs w:val="24"/>
        </w:rPr>
      </w:pPr>
      <w:r w:rsidRPr="153B97D1" w:rsidR="153B97D1">
        <w:rPr>
          <w:rFonts w:ascii="Calibri" w:hAnsi="Calibri" w:eastAsia="Calibri" w:cs="Calibri" w:asciiTheme="minorAscii" w:hAnsiTheme="minorAscii" w:eastAsiaTheme="minorAscii" w:cstheme="minorAscii"/>
          <w:b w:val="1"/>
          <w:bCs w:val="1"/>
          <w:color w:val="0070C0"/>
          <w:sz w:val="24"/>
          <w:szCs w:val="24"/>
        </w:rPr>
        <w:t>Answer 2:</w:t>
      </w:r>
      <w:r w:rsidRPr="153B97D1" w:rsidR="153B97D1">
        <w:rPr>
          <w:rFonts w:ascii="Calibri" w:hAnsi="Calibri" w:eastAsia="Calibri" w:cs="Calibri" w:asciiTheme="minorAscii" w:hAnsiTheme="minorAscii" w:eastAsiaTheme="minorAscii" w:cstheme="minorAscii"/>
          <w:color w:val="0070C0"/>
          <w:sz w:val="24"/>
          <w:szCs w:val="24"/>
        </w:rPr>
        <w:t xml:space="preserve"> </w:t>
      </w:r>
      <w:r w:rsidRPr="153B97D1" w:rsidR="153B97D1">
        <w:rPr>
          <w:rFonts w:ascii="Calibri" w:hAnsi="Calibri" w:eastAsia="Calibri" w:cs="Calibri" w:asciiTheme="minorAscii" w:hAnsiTheme="minorAscii" w:eastAsiaTheme="minorAscii" w:cstheme="minorAscii"/>
          <w:color w:val="0070C0"/>
          <w:sz w:val="24"/>
          <w:szCs w:val="24"/>
        </w:rPr>
        <w:t>Answered live</w:t>
      </w:r>
    </w:p>
    <w:p w:rsidRPr="00104206" w:rsidR="002951AA" w:rsidP="153B97D1" w:rsidRDefault="002951AA" w14:paraId="50A6F465" w14:textId="77777777">
      <w:pPr>
        <w:rPr>
          <w:rFonts w:ascii="Calibri" w:hAnsi="Calibri" w:eastAsia="Calibri" w:cs="Calibri" w:asciiTheme="minorAscii" w:hAnsiTheme="minorAscii" w:eastAsiaTheme="minorAscii" w:cstheme="minorAscii"/>
          <w:color w:val="0070C0"/>
          <w:sz w:val="24"/>
          <w:szCs w:val="24"/>
        </w:rPr>
      </w:pPr>
    </w:p>
    <w:p w:rsidR="005200DF" w:rsidP="153B97D1" w:rsidRDefault="00B319F6" w14:paraId="1739E787" w14:textId="5846E167">
      <w:pPr>
        <w:rPr>
          <w:rFonts w:ascii="Calibri" w:hAnsi="Calibri" w:eastAsia="Calibri" w:cs="Calibri" w:asciiTheme="minorAscii" w:hAnsiTheme="minorAscii" w:eastAsiaTheme="minorAscii" w:cstheme="minorAscii"/>
          <w:sz w:val="24"/>
          <w:szCs w:val="24"/>
        </w:rPr>
      </w:pPr>
      <w:r w:rsidRPr="153B97D1" w:rsidR="153B97D1">
        <w:rPr>
          <w:rFonts w:ascii="Calibri" w:hAnsi="Calibri" w:eastAsia="Calibri" w:cs="Calibri" w:asciiTheme="minorAscii" w:hAnsiTheme="minorAscii" w:eastAsiaTheme="minorAscii" w:cstheme="minorAscii"/>
          <w:b w:val="1"/>
          <w:bCs w:val="1"/>
          <w:sz w:val="24"/>
          <w:szCs w:val="24"/>
        </w:rPr>
        <w:t>Question 3:</w:t>
      </w:r>
      <w:r w:rsidRPr="153B97D1" w:rsidR="153B97D1">
        <w:rPr>
          <w:rFonts w:ascii="Calibri" w:hAnsi="Calibri" w:eastAsia="Calibri" w:cs="Calibri" w:asciiTheme="minorAscii" w:hAnsiTheme="minorAscii" w:eastAsiaTheme="minorAscii" w:cstheme="minorAscii"/>
          <w:sz w:val="24"/>
          <w:szCs w:val="24"/>
        </w:rPr>
        <w:t xml:space="preserve"> How to consider GBV in a context of Internal Displacement </w:t>
      </w:r>
      <w:r w:rsidRPr="153B97D1" w:rsidR="153B97D1">
        <w:rPr>
          <w:rFonts w:ascii="Calibri" w:hAnsi="Calibri" w:eastAsia="Calibri" w:cs="Calibri" w:asciiTheme="minorAscii" w:hAnsiTheme="minorAscii" w:eastAsiaTheme="minorAscii" w:cstheme="minorAscii"/>
          <w:sz w:val="24"/>
          <w:szCs w:val="24"/>
        </w:rPr>
        <w:t>People (</w:t>
      </w:r>
      <w:r w:rsidRPr="153B97D1" w:rsidR="153B97D1">
        <w:rPr>
          <w:rFonts w:ascii="Calibri" w:hAnsi="Calibri" w:eastAsia="Calibri" w:cs="Calibri" w:asciiTheme="minorAscii" w:hAnsiTheme="minorAscii" w:eastAsiaTheme="minorAscii" w:cstheme="minorAscii"/>
          <w:sz w:val="24"/>
          <w:szCs w:val="24"/>
        </w:rPr>
        <w:t>IDPS)?</w:t>
      </w:r>
    </w:p>
    <w:p w:rsidR="00104206" w:rsidP="153B97D1" w:rsidRDefault="00B319F6" w14:paraId="6A3EEE45" w14:textId="73C911E7">
      <w:pPr>
        <w:rPr>
          <w:rFonts w:ascii="Calibri" w:hAnsi="Calibri" w:eastAsia="Calibri" w:cs="Calibri" w:asciiTheme="minorAscii" w:hAnsiTheme="minorAscii" w:eastAsiaTheme="minorAscii" w:cstheme="minorAscii"/>
          <w:color w:val="0070C0"/>
          <w:sz w:val="24"/>
          <w:szCs w:val="24"/>
        </w:rPr>
      </w:pPr>
      <w:r w:rsidRPr="153B97D1" w:rsidR="153B97D1">
        <w:rPr>
          <w:rFonts w:ascii="Calibri" w:hAnsi="Calibri" w:eastAsia="Calibri" w:cs="Calibri" w:asciiTheme="minorAscii" w:hAnsiTheme="minorAscii" w:eastAsiaTheme="minorAscii" w:cstheme="minorAscii"/>
          <w:b w:val="1"/>
          <w:bCs w:val="1"/>
          <w:color w:val="0070C0"/>
          <w:sz w:val="24"/>
          <w:szCs w:val="24"/>
        </w:rPr>
        <w:t>Answer 3:</w:t>
      </w:r>
      <w:r w:rsidRPr="153B97D1" w:rsidR="153B97D1">
        <w:rPr>
          <w:rFonts w:ascii="Calibri" w:hAnsi="Calibri" w:eastAsia="Calibri" w:cs="Calibri" w:asciiTheme="minorAscii" w:hAnsiTheme="minorAscii" w:eastAsiaTheme="minorAscii" w:cstheme="minorAscii"/>
          <w:color w:val="0070C0"/>
          <w:sz w:val="24"/>
          <w:szCs w:val="24"/>
        </w:rPr>
        <w:t xml:space="preserve"> </w:t>
      </w:r>
      <w:r w:rsidRPr="153B97D1" w:rsidR="153B97D1">
        <w:rPr>
          <w:rFonts w:ascii="Calibri" w:hAnsi="Calibri" w:eastAsia="Calibri" w:cs="Calibri" w:asciiTheme="minorAscii" w:hAnsiTheme="minorAscii" w:eastAsiaTheme="minorAscii" w:cstheme="minorAscii"/>
          <w:color w:val="0070C0"/>
          <w:sz w:val="24"/>
          <w:szCs w:val="24"/>
        </w:rPr>
        <w:t>Answered live</w:t>
      </w:r>
    </w:p>
    <w:p w:rsidR="002951AA" w:rsidP="153B97D1" w:rsidRDefault="002951AA" w14:paraId="3B49A5F6" w14:textId="77777777">
      <w:pPr>
        <w:rPr>
          <w:rFonts w:ascii="Calibri" w:hAnsi="Calibri" w:eastAsia="Calibri" w:cs="Calibri" w:asciiTheme="minorAscii" w:hAnsiTheme="minorAscii" w:eastAsiaTheme="minorAscii" w:cstheme="minorAscii"/>
          <w:sz w:val="24"/>
          <w:szCs w:val="24"/>
        </w:rPr>
      </w:pPr>
    </w:p>
    <w:p w:rsidR="00CC3063" w:rsidP="153B97D1" w:rsidRDefault="00B319F6" w14:paraId="08DA6845" w14:textId="08E48735">
      <w:pPr>
        <w:rPr>
          <w:rFonts w:ascii="Calibri" w:hAnsi="Calibri" w:eastAsia="Calibri" w:cs="Calibri" w:asciiTheme="minorAscii" w:hAnsiTheme="minorAscii" w:eastAsiaTheme="minorAscii" w:cstheme="minorAscii"/>
          <w:sz w:val="24"/>
          <w:szCs w:val="24"/>
        </w:rPr>
      </w:pPr>
      <w:r w:rsidRPr="153B97D1" w:rsidR="153B97D1">
        <w:rPr>
          <w:rFonts w:ascii="Calibri" w:hAnsi="Calibri" w:eastAsia="Calibri" w:cs="Calibri" w:asciiTheme="minorAscii" w:hAnsiTheme="minorAscii" w:eastAsiaTheme="minorAscii" w:cstheme="minorAscii"/>
          <w:b w:val="1"/>
          <w:bCs w:val="1"/>
          <w:sz w:val="24"/>
          <w:szCs w:val="24"/>
        </w:rPr>
        <w:t>Question 4:</w:t>
      </w:r>
      <w:r w:rsidRPr="153B97D1" w:rsidR="153B97D1">
        <w:rPr>
          <w:rFonts w:ascii="Calibri" w:hAnsi="Calibri" w:eastAsia="Calibri" w:cs="Calibri" w:asciiTheme="minorAscii" w:hAnsiTheme="minorAscii" w:eastAsiaTheme="minorAscii" w:cstheme="minorAscii"/>
          <w:sz w:val="24"/>
          <w:szCs w:val="24"/>
        </w:rPr>
        <w:t xml:space="preserve"> </w:t>
      </w:r>
      <w:r w:rsidRPr="153B97D1" w:rsidR="153B97D1">
        <w:rPr>
          <w:rFonts w:ascii="Calibri" w:hAnsi="Calibri" w:eastAsia="Calibri" w:cs="Calibri" w:asciiTheme="minorAscii" w:hAnsiTheme="minorAscii" w:eastAsiaTheme="minorAscii" w:cstheme="minorAscii"/>
          <w:sz w:val="24"/>
          <w:szCs w:val="24"/>
        </w:rPr>
        <w:t>Where can I find</w:t>
      </w:r>
      <w:r w:rsidRPr="153B97D1" w:rsidR="153B97D1">
        <w:rPr>
          <w:rFonts w:ascii="Calibri" w:hAnsi="Calibri" w:eastAsia="Calibri" w:cs="Calibri" w:asciiTheme="minorAscii" w:hAnsiTheme="minorAscii" w:eastAsiaTheme="minorAscii" w:cstheme="minorAscii"/>
          <w:sz w:val="24"/>
          <w:szCs w:val="24"/>
        </w:rPr>
        <w:t xml:space="preserve"> guidelines for </w:t>
      </w:r>
      <w:r w:rsidRPr="153B97D1" w:rsidR="153B97D1">
        <w:rPr>
          <w:rFonts w:ascii="Calibri" w:hAnsi="Calibri" w:eastAsia="Calibri" w:cs="Calibri" w:asciiTheme="minorAscii" w:hAnsiTheme="minorAscii" w:eastAsiaTheme="minorAscii" w:cstheme="minorAscii"/>
          <w:sz w:val="24"/>
          <w:szCs w:val="24"/>
        </w:rPr>
        <w:t>integrating GBV interventions in Humanitarian Actions?</w:t>
      </w:r>
    </w:p>
    <w:p w:rsidR="00104206" w:rsidP="153B97D1" w:rsidRDefault="00B319F6" w14:paraId="72F33FD9" w14:textId="4411B274">
      <w:pPr>
        <w:rPr>
          <w:rFonts w:ascii="Calibri" w:hAnsi="Calibri" w:eastAsia="Calibri" w:cs="Calibri" w:asciiTheme="minorAscii" w:hAnsiTheme="minorAscii" w:eastAsiaTheme="minorAscii" w:cstheme="minorAscii"/>
          <w:color w:val="0070C0"/>
          <w:sz w:val="24"/>
          <w:szCs w:val="24"/>
        </w:rPr>
      </w:pPr>
      <w:r w:rsidRPr="153B97D1" w:rsidR="153B97D1">
        <w:rPr>
          <w:rFonts w:ascii="Calibri" w:hAnsi="Calibri" w:eastAsia="Calibri" w:cs="Calibri" w:asciiTheme="minorAscii" w:hAnsiTheme="minorAscii" w:eastAsiaTheme="minorAscii" w:cstheme="minorAscii"/>
          <w:b w:val="1"/>
          <w:bCs w:val="1"/>
          <w:color w:val="0070C0"/>
          <w:sz w:val="24"/>
          <w:szCs w:val="24"/>
        </w:rPr>
        <w:t>Answer 4:</w:t>
      </w:r>
      <w:r w:rsidRPr="153B97D1" w:rsidR="153B97D1">
        <w:rPr>
          <w:rFonts w:ascii="Calibri" w:hAnsi="Calibri" w:eastAsia="Calibri" w:cs="Calibri" w:asciiTheme="minorAscii" w:hAnsiTheme="minorAscii" w:eastAsiaTheme="minorAscii" w:cstheme="minorAscii"/>
          <w:color w:val="0070C0"/>
          <w:sz w:val="24"/>
          <w:szCs w:val="24"/>
        </w:rPr>
        <w:t xml:space="preserve"> </w:t>
      </w:r>
      <w:r w:rsidRPr="153B97D1" w:rsidR="153B97D1">
        <w:rPr>
          <w:rFonts w:ascii="Calibri" w:hAnsi="Calibri" w:eastAsia="Calibri" w:cs="Calibri" w:asciiTheme="minorAscii" w:hAnsiTheme="minorAscii" w:eastAsiaTheme="minorAscii" w:cstheme="minorAscii"/>
          <w:color w:val="0070C0"/>
          <w:sz w:val="24"/>
          <w:szCs w:val="24"/>
        </w:rPr>
        <w:t>Guidelines for</w:t>
      </w:r>
      <w:r w:rsidRPr="153B97D1" w:rsidR="153B97D1">
        <w:rPr>
          <w:rFonts w:ascii="Calibri" w:hAnsi="Calibri" w:eastAsia="Calibri" w:cs="Calibri" w:asciiTheme="minorAscii" w:hAnsiTheme="minorAscii" w:eastAsiaTheme="minorAscii" w:cstheme="minorAscii"/>
          <w:color w:val="0070C0"/>
          <w:sz w:val="24"/>
          <w:szCs w:val="24"/>
        </w:rPr>
        <w:t xml:space="preserve"> </w:t>
      </w:r>
      <w:r w:rsidRPr="153B97D1" w:rsidR="153B97D1">
        <w:rPr>
          <w:rFonts w:ascii="Calibri" w:hAnsi="Calibri" w:eastAsia="Calibri" w:cs="Calibri" w:asciiTheme="minorAscii" w:hAnsiTheme="minorAscii" w:eastAsiaTheme="minorAscii" w:cstheme="minorAscii"/>
          <w:color w:val="0070C0"/>
          <w:sz w:val="24"/>
          <w:szCs w:val="24"/>
        </w:rPr>
        <w:t>Integrating Gender-Based</w:t>
      </w:r>
      <w:r w:rsidRPr="153B97D1" w:rsidR="153B97D1">
        <w:rPr>
          <w:rFonts w:ascii="Calibri" w:hAnsi="Calibri" w:eastAsia="Calibri" w:cs="Calibri" w:asciiTheme="minorAscii" w:hAnsiTheme="minorAscii" w:eastAsiaTheme="minorAscii" w:cstheme="minorAscii"/>
          <w:color w:val="0070C0"/>
          <w:sz w:val="24"/>
          <w:szCs w:val="24"/>
        </w:rPr>
        <w:t xml:space="preserve"> </w:t>
      </w:r>
      <w:r w:rsidRPr="153B97D1" w:rsidR="153B97D1">
        <w:rPr>
          <w:rFonts w:ascii="Calibri" w:hAnsi="Calibri" w:eastAsia="Calibri" w:cs="Calibri" w:asciiTheme="minorAscii" w:hAnsiTheme="minorAscii" w:eastAsiaTheme="minorAscii" w:cstheme="minorAscii"/>
          <w:color w:val="0070C0"/>
          <w:sz w:val="24"/>
          <w:szCs w:val="24"/>
        </w:rPr>
        <w:t>Violence Interventions in</w:t>
      </w:r>
      <w:r w:rsidRPr="153B97D1" w:rsidR="153B97D1">
        <w:rPr>
          <w:rFonts w:ascii="Calibri" w:hAnsi="Calibri" w:eastAsia="Calibri" w:cs="Calibri" w:asciiTheme="minorAscii" w:hAnsiTheme="minorAscii" w:eastAsiaTheme="minorAscii" w:cstheme="minorAscii"/>
          <w:color w:val="0070C0"/>
          <w:sz w:val="24"/>
          <w:szCs w:val="24"/>
        </w:rPr>
        <w:t xml:space="preserve"> </w:t>
      </w:r>
      <w:r w:rsidRPr="153B97D1" w:rsidR="153B97D1">
        <w:rPr>
          <w:rFonts w:ascii="Calibri" w:hAnsi="Calibri" w:eastAsia="Calibri" w:cs="Calibri" w:asciiTheme="minorAscii" w:hAnsiTheme="minorAscii" w:eastAsiaTheme="minorAscii" w:cstheme="minorAscii"/>
          <w:color w:val="0070C0"/>
          <w:sz w:val="24"/>
          <w:szCs w:val="24"/>
        </w:rPr>
        <w:t xml:space="preserve">Humanitarian Action - resource on the </w:t>
      </w:r>
      <w:r w:rsidRPr="153B97D1" w:rsidR="153B97D1">
        <w:rPr>
          <w:rFonts w:ascii="Calibri" w:hAnsi="Calibri" w:eastAsia="Calibri" w:cs="Calibri" w:asciiTheme="minorAscii" w:hAnsiTheme="minorAscii" w:eastAsiaTheme="minorAscii" w:cstheme="minorAscii"/>
          <w:color w:val="0070C0"/>
          <w:sz w:val="24"/>
          <w:szCs w:val="24"/>
        </w:rPr>
        <w:t>previous</w:t>
      </w:r>
      <w:r w:rsidRPr="153B97D1" w:rsidR="153B97D1">
        <w:rPr>
          <w:rFonts w:ascii="Calibri" w:hAnsi="Calibri" w:eastAsia="Calibri" w:cs="Calibri" w:asciiTheme="minorAscii" w:hAnsiTheme="minorAscii" w:eastAsiaTheme="minorAscii" w:cstheme="minorAscii"/>
          <w:color w:val="0070C0"/>
          <w:sz w:val="24"/>
          <w:szCs w:val="24"/>
        </w:rPr>
        <w:t xml:space="preserve"> slide: </w:t>
      </w:r>
      <w:hyperlink r:id="Rbbd57b20d7bf40cb">
        <w:r w:rsidRPr="153B97D1" w:rsidR="153B97D1">
          <w:rPr>
            <w:rStyle w:val="Hyperlink"/>
            <w:rFonts w:ascii="Calibri" w:hAnsi="Calibri" w:eastAsia="Calibri" w:cs="Calibri" w:asciiTheme="minorAscii" w:hAnsiTheme="minorAscii" w:eastAsiaTheme="minorAscii" w:cstheme="minorAscii"/>
            <w:sz w:val="24"/>
            <w:szCs w:val="24"/>
          </w:rPr>
          <w:t>https://gbvguidelines.org/wp/wp-content/uploads/2015/09/TAG-nutrition-08_26_2015.pdf</w:t>
        </w:r>
      </w:hyperlink>
      <w:r w:rsidRPr="153B97D1" w:rsidR="153B97D1">
        <w:rPr>
          <w:rFonts w:ascii="Calibri" w:hAnsi="Calibri" w:eastAsia="Calibri" w:cs="Calibri" w:asciiTheme="minorAscii" w:hAnsiTheme="minorAscii" w:eastAsiaTheme="minorAscii" w:cstheme="minorAscii"/>
          <w:color w:val="0070C0"/>
          <w:sz w:val="24"/>
          <w:szCs w:val="24"/>
        </w:rPr>
        <w:t xml:space="preserve"> </w:t>
      </w:r>
    </w:p>
    <w:p w:rsidRPr="00104206" w:rsidR="005200DF" w:rsidP="153B97D1" w:rsidRDefault="005200DF" w14:paraId="1666AE6F" w14:textId="77777777">
      <w:pPr>
        <w:rPr>
          <w:rFonts w:ascii="Calibri" w:hAnsi="Calibri" w:eastAsia="Calibri" w:cs="Calibri" w:asciiTheme="minorAscii" w:hAnsiTheme="minorAscii" w:eastAsiaTheme="minorAscii" w:cstheme="minorAscii"/>
          <w:color w:val="0070C0"/>
          <w:sz w:val="24"/>
          <w:szCs w:val="24"/>
        </w:rPr>
      </w:pPr>
    </w:p>
    <w:p w:rsidR="008F7CA6" w:rsidP="153B97D1" w:rsidRDefault="00B319F6" w14:paraId="52E5A4E7" w14:textId="0772FEAB">
      <w:pPr>
        <w:rPr>
          <w:rFonts w:ascii="Calibri" w:hAnsi="Calibri" w:eastAsia="Calibri" w:cs="Calibri" w:asciiTheme="minorAscii" w:hAnsiTheme="minorAscii" w:eastAsiaTheme="minorAscii" w:cstheme="minorAscii"/>
          <w:sz w:val="24"/>
          <w:szCs w:val="24"/>
        </w:rPr>
      </w:pPr>
      <w:r w:rsidRPr="153B97D1" w:rsidR="153B97D1">
        <w:rPr>
          <w:rFonts w:ascii="Calibri" w:hAnsi="Calibri" w:eastAsia="Calibri" w:cs="Calibri" w:asciiTheme="minorAscii" w:hAnsiTheme="minorAscii" w:eastAsiaTheme="minorAscii" w:cstheme="minorAscii"/>
          <w:b w:val="1"/>
          <w:bCs w:val="1"/>
          <w:sz w:val="24"/>
          <w:szCs w:val="24"/>
        </w:rPr>
        <w:t>Question 5:</w:t>
      </w:r>
      <w:r w:rsidRPr="153B97D1" w:rsidR="153B97D1">
        <w:rPr>
          <w:rFonts w:ascii="Calibri" w:hAnsi="Calibri" w:eastAsia="Calibri" w:cs="Calibri" w:asciiTheme="minorAscii" w:hAnsiTheme="minorAscii" w:eastAsiaTheme="minorAscii" w:cstheme="minorAscii"/>
          <w:sz w:val="24"/>
          <w:szCs w:val="24"/>
        </w:rPr>
        <w:t xml:space="preserve"> </w:t>
      </w:r>
      <w:r w:rsidRPr="153B97D1" w:rsidR="153B97D1">
        <w:rPr>
          <w:rFonts w:ascii="Calibri" w:hAnsi="Calibri" w:eastAsia="Calibri" w:cs="Calibri" w:asciiTheme="minorAscii" w:hAnsiTheme="minorAscii" w:eastAsiaTheme="minorAscii" w:cstheme="minorAscii"/>
          <w:sz w:val="24"/>
          <w:szCs w:val="24"/>
        </w:rPr>
        <w:t>Where can I find GBV Pocket Guide?</w:t>
      </w:r>
    </w:p>
    <w:p w:rsidR="00B319F6" w:rsidP="153B97D1" w:rsidRDefault="00B319F6" w14:paraId="40991B9C" w14:textId="0885E5AC">
      <w:pPr>
        <w:rPr>
          <w:rFonts w:ascii="Calibri" w:hAnsi="Calibri" w:eastAsia="Calibri" w:cs="Calibri" w:asciiTheme="minorAscii" w:hAnsiTheme="minorAscii" w:eastAsiaTheme="minorAscii" w:cstheme="minorAscii"/>
          <w:color w:val="0070C0"/>
          <w:sz w:val="24"/>
          <w:szCs w:val="24"/>
        </w:rPr>
      </w:pPr>
      <w:r w:rsidRPr="153B97D1" w:rsidR="153B97D1">
        <w:rPr>
          <w:rFonts w:ascii="Calibri" w:hAnsi="Calibri" w:eastAsia="Calibri" w:cs="Calibri" w:asciiTheme="minorAscii" w:hAnsiTheme="minorAscii" w:eastAsiaTheme="minorAscii" w:cstheme="minorAscii"/>
          <w:b w:val="1"/>
          <w:bCs w:val="1"/>
          <w:color w:val="0070C0"/>
          <w:sz w:val="24"/>
          <w:szCs w:val="24"/>
        </w:rPr>
        <w:t>Answer 5:</w:t>
      </w:r>
      <w:r w:rsidRPr="153B97D1" w:rsidR="153B97D1">
        <w:rPr>
          <w:rFonts w:ascii="Calibri" w:hAnsi="Calibri" w:eastAsia="Calibri" w:cs="Calibri" w:asciiTheme="minorAscii" w:hAnsiTheme="minorAscii" w:eastAsiaTheme="minorAscii" w:cstheme="minorAscii"/>
          <w:color w:val="0070C0"/>
          <w:sz w:val="24"/>
          <w:szCs w:val="24"/>
        </w:rPr>
        <w:t xml:space="preserve"> </w:t>
      </w:r>
      <w:r w:rsidRPr="153B97D1" w:rsidR="153B97D1">
        <w:rPr>
          <w:rFonts w:ascii="Calibri" w:hAnsi="Calibri" w:eastAsia="Calibri" w:cs="Calibri" w:asciiTheme="minorAscii" w:hAnsiTheme="minorAscii" w:eastAsiaTheme="minorAscii" w:cstheme="minorAscii"/>
          <w:color w:val="0070C0"/>
          <w:sz w:val="24"/>
          <w:szCs w:val="24"/>
        </w:rPr>
        <w:t xml:space="preserve">GBV Pocket Guide: </w:t>
      </w:r>
      <w:hyperlink r:id="Rc196609e31964eca">
        <w:r w:rsidRPr="153B97D1" w:rsidR="153B97D1">
          <w:rPr>
            <w:rStyle w:val="Hyperlink"/>
            <w:rFonts w:ascii="Calibri" w:hAnsi="Calibri" w:eastAsia="Calibri" w:cs="Calibri" w:asciiTheme="minorAscii" w:hAnsiTheme="minorAscii" w:eastAsiaTheme="minorAscii" w:cstheme="minorAscii"/>
            <w:sz w:val="24"/>
            <w:szCs w:val="24"/>
          </w:rPr>
          <w:t>https://gbvguidelines.org/en/pocketguide/</w:t>
        </w:r>
      </w:hyperlink>
      <w:r w:rsidRPr="153B97D1" w:rsidR="153B97D1">
        <w:rPr>
          <w:rFonts w:ascii="Calibri" w:hAnsi="Calibri" w:eastAsia="Calibri" w:cs="Calibri" w:asciiTheme="minorAscii" w:hAnsiTheme="minorAscii" w:eastAsiaTheme="minorAscii" w:cstheme="minorAscii"/>
          <w:color w:val="0070C0"/>
          <w:sz w:val="24"/>
          <w:szCs w:val="24"/>
        </w:rPr>
        <w:t xml:space="preserve"> </w:t>
      </w:r>
    </w:p>
    <w:p w:rsidRPr="00104206" w:rsidR="00DD5DB3" w:rsidP="153B97D1" w:rsidRDefault="00DD5DB3" w14:paraId="0F8641D5" w14:textId="77777777">
      <w:pPr>
        <w:rPr>
          <w:rFonts w:ascii="Calibri" w:hAnsi="Calibri" w:eastAsia="Calibri" w:cs="Calibri" w:asciiTheme="minorAscii" w:hAnsiTheme="minorAscii" w:eastAsiaTheme="minorAscii" w:cstheme="minorAscii"/>
          <w:color w:val="0070C0"/>
          <w:sz w:val="24"/>
          <w:szCs w:val="24"/>
        </w:rPr>
      </w:pPr>
    </w:p>
    <w:p w:rsidRPr="00104206" w:rsidR="00B319F6" w:rsidP="153B97D1" w:rsidRDefault="00B319F6" w14:paraId="4CC4FDBF" w14:textId="3A745C4C">
      <w:pPr>
        <w:rPr>
          <w:rFonts w:ascii="Calibri" w:hAnsi="Calibri" w:eastAsia="Calibri" w:cs="Calibri" w:asciiTheme="minorAscii" w:hAnsiTheme="minorAscii" w:eastAsiaTheme="minorAscii" w:cstheme="minorAscii"/>
          <w:sz w:val="24"/>
          <w:szCs w:val="24"/>
        </w:rPr>
      </w:pPr>
      <w:r w:rsidRPr="153B97D1" w:rsidR="153B97D1">
        <w:rPr>
          <w:rFonts w:ascii="Calibri" w:hAnsi="Calibri" w:eastAsia="Calibri" w:cs="Calibri" w:asciiTheme="minorAscii" w:hAnsiTheme="minorAscii" w:eastAsiaTheme="minorAscii" w:cstheme="minorAscii"/>
          <w:b w:val="1"/>
          <w:bCs w:val="1"/>
          <w:sz w:val="24"/>
          <w:szCs w:val="24"/>
        </w:rPr>
        <w:t>Question 6:</w:t>
      </w:r>
      <w:r w:rsidRPr="153B97D1" w:rsidR="153B97D1">
        <w:rPr>
          <w:rFonts w:ascii="Calibri" w:hAnsi="Calibri" w:eastAsia="Calibri" w:cs="Calibri" w:asciiTheme="minorAscii" w:hAnsiTheme="minorAscii" w:eastAsiaTheme="minorAscii" w:cstheme="minorAscii"/>
          <w:sz w:val="24"/>
          <w:szCs w:val="24"/>
        </w:rPr>
        <w:t xml:space="preserve"> In some cases, girls are more undernourished (stunting and wasting) than those boys in Ethiopia, particularly pastoralist region. This may be linked to nutrition services access at various levels, how can you address challenge during HRP and other nutrition specific intervention programming by partners and government?</w:t>
      </w:r>
    </w:p>
    <w:p w:rsidRPr="004B1C2F" w:rsidR="00DD5DB3" w:rsidP="153B97D1" w:rsidRDefault="00B319F6" w14:paraId="671A93C8" w14:textId="05F2DD64">
      <w:pPr>
        <w:rPr>
          <w:rFonts w:ascii="Calibri" w:hAnsi="Calibri" w:eastAsia="Calibri" w:cs="Calibri" w:asciiTheme="minorAscii" w:hAnsiTheme="minorAscii" w:eastAsiaTheme="minorAscii" w:cstheme="minorAscii"/>
          <w:color w:val="0070C0"/>
          <w:sz w:val="24"/>
          <w:szCs w:val="24"/>
        </w:rPr>
      </w:pPr>
      <w:r w:rsidRPr="61DEA0AF" w:rsidR="61DEA0AF">
        <w:rPr>
          <w:rFonts w:ascii="Calibri" w:hAnsi="Calibri" w:eastAsia="Calibri" w:cs="Calibri" w:asciiTheme="minorAscii" w:hAnsiTheme="minorAscii" w:eastAsiaTheme="minorAscii" w:cstheme="minorAscii"/>
          <w:b w:val="1"/>
          <w:bCs w:val="1"/>
          <w:color w:val="0070C0"/>
          <w:sz w:val="24"/>
          <w:szCs w:val="24"/>
        </w:rPr>
        <w:t>Answer 6:</w:t>
      </w:r>
      <w:r w:rsidRPr="61DEA0AF" w:rsidR="61DEA0AF">
        <w:rPr>
          <w:rFonts w:ascii="Calibri" w:hAnsi="Calibri" w:eastAsia="Calibri" w:cs="Calibri" w:asciiTheme="minorAscii" w:hAnsiTheme="minorAscii" w:eastAsiaTheme="minorAscii" w:cstheme="minorAscii"/>
          <w:color w:val="0070C0"/>
          <w:sz w:val="24"/>
          <w:szCs w:val="24"/>
        </w:rPr>
        <w:t xml:space="preserve"> </w:t>
      </w:r>
      <w:r w:rsidRPr="61DEA0AF" w:rsidR="61DEA0AF">
        <w:rPr>
          <w:rFonts w:ascii="Calibri" w:hAnsi="Calibri" w:eastAsia="Calibri" w:cs="Calibri" w:asciiTheme="minorAscii" w:hAnsiTheme="minorAscii" w:eastAsiaTheme="minorAscii" w:cstheme="minorAscii"/>
          <w:color w:val="0070C0"/>
          <w:sz w:val="24"/>
          <w:szCs w:val="24"/>
        </w:rPr>
        <w:t>This is</w:t>
      </w:r>
      <w:r w:rsidRPr="61DEA0AF" w:rsidR="61DEA0AF">
        <w:rPr>
          <w:rFonts w:ascii="Calibri" w:hAnsi="Calibri" w:eastAsia="Calibri" w:cs="Calibri" w:asciiTheme="minorAscii" w:hAnsiTheme="minorAscii" w:eastAsiaTheme="minorAscii" w:cstheme="minorAscii"/>
          <w:color w:val="0070C0"/>
          <w:sz w:val="24"/>
          <w:szCs w:val="24"/>
        </w:rPr>
        <w:t xml:space="preserve"> why</w:t>
      </w:r>
      <w:r w:rsidRPr="61DEA0AF" w:rsidR="61DEA0AF">
        <w:rPr>
          <w:rFonts w:ascii="Calibri" w:hAnsi="Calibri" w:eastAsia="Calibri" w:cs="Calibri" w:asciiTheme="minorAscii" w:hAnsiTheme="minorAscii" w:eastAsiaTheme="minorAscii" w:cstheme="minorAscii"/>
          <w:color w:val="0070C0"/>
          <w:sz w:val="24"/>
          <w:szCs w:val="24"/>
        </w:rPr>
        <w:t xml:space="preserve"> it is crucial to </w:t>
      </w:r>
      <w:r w:rsidRPr="61DEA0AF" w:rsidR="61DEA0AF">
        <w:rPr>
          <w:rFonts w:ascii="Calibri" w:hAnsi="Calibri" w:eastAsia="Calibri" w:cs="Calibri" w:asciiTheme="minorAscii" w:hAnsiTheme="minorAscii" w:eastAsiaTheme="minorAscii" w:cstheme="minorAscii"/>
          <w:color w:val="0070C0"/>
          <w:sz w:val="24"/>
          <w:szCs w:val="24"/>
        </w:rPr>
        <w:t>identify</w:t>
      </w:r>
      <w:r w:rsidRPr="61DEA0AF" w:rsidR="61DEA0AF">
        <w:rPr>
          <w:rFonts w:ascii="Calibri" w:hAnsi="Calibri" w:eastAsia="Calibri" w:cs="Calibri" w:asciiTheme="minorAscii" w:hAnsiTheme="minorAscii" w:eastAsiaTheme="minorAscii" w:cstheme="minorAscii"/>
          <w:color w:val="0070C0"/>
          <w:sz w:val="24"/>
          <w:szCs w:val="24"/>
        </w:rPr>
        <w:t xml:space="preserve"> the factors that </w:t>
      </w:r>
      <w:r w:rsidRPr="61DEA0AF" w:rsidR="61DEA0AF">
        <w:rPr>
          <w:rFonts w:ascii="Calibri" w:hAnsi="Calibri" w:eastAsia="Calibri" w:cs="Calibri" w:asciiTheme="minorAscii" w:hAnsiTheme="minorAscii" w:eastAsiaTheme="minorAscii" w:cstheme="minorAscii"/>
          <w:color w:val="0070C0"/>
          <w:sz w:val="24"/>
          <w:szCs w:val="24"/>
        </w:rPr>
        <w:t>exacerbate</w:t>
      </w:r>
      <w:r w:rsidRPr="61DEA0AF" w:rsidR="61DEA0AF">
        <w:rPr>
          <w:rFonts w:ascii="Calibri" w:hAnsi="Calibri" w:eastAsia="Calibri" w:cs="Calibri" w:asciiTheme="minorAscii" w:hAnsiTheme="minorAscii" w:eastAsiaTheme="minorAscii" w:cstheme="minorAscii"/>
          <w:color w:val="0070C0"/>
          <w:sz w:val="24"/>
          <w:szCs w:val="24"/>
        </w:rPr>
        <w:t xml:space="preserve"> the vulnerability of girls to poor nutrition/malnutrition. For instance, poor families may sacrifice girl children’s nutrition </w:t>
      </w:r>
      <w:r w:rsidRPr="61DEA0AF" w:rsidR="61DEA0AF">
        <w:rPr>
          <w:rFonts w:ascii="Calibri" w:hAnsi="Calibri" w:eastAsia="Calibri" w:cs="Calibri" w:asciiTheme="minorAscii" w:hAnsiTheme="minorAscii" w:eastAsiaTheme="minorAscii" w:cstheme="minorAscii"/>
          <w:color w:val="0070C0"/>
          <w:sz w:val="24"/>
          <w:szCs w:val="24"/>
        </w:rPr>
        <w:t>in order to</w:t>
      </w:r>
      <w:r w:rsidRPr="61DEA0AF" w:rsidR="61DEA0AF">
        <w:rPr>
          <w:rFonts w:ascii="Calibri" w:hAnsi="Calibri" w:eastAsia="Calibri" w:cs="Calibri" w:asciiTheme="minorAscii" w:hAnsiTheme="minorAscii" w:eastAsiaTheme="minorAscii" w:cstheme="minorAscii"/>
          <w:color w:val="0070C0"/>
          <w:sz w:val="24"/>
          <w:szCs w:val="24"/>
        </w:rPr>
        <w:t xml:space="preserve"> meet the needs of male children. You speak about the possible lack of access to nutrition services. This is where the Availability, Accessibility, Acceptability and Quality (AAAQ) Framework can be useful.</w:t>
      </w:r>
    </w:p>
    <w:p w:rsidR="153B97D1" w:rsidP="153B97D1" w:rsidRDefault="153B97D1" w14:paraId="0254CFB9" w14:textId="5272235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color w:val="0070C0"/>
          <w:sz w:val="24"/>
          <w:szCs w:val="24"/>
          <w:lang w:val="en-US"/>
        </w:rPr>
      </w:pPr>
      <w:r w:rsidRPr="153B97D1" w:rsidR="153B97D1">
        <w:rPr>
          <w:rFonts w:ascii="Calibri" w:hAnsi="Calibri" w:eastAsia="Calibri" w:cs="Calibri" w:asciiTheme="minorAscii" w:hAnsiTheme="minorAscii" w:eastAsiaTheme="minorAscii" w:cstheme="minorAscii"/>
          <w:color w:val="0070C0"/>
          <w:sz w:val="24"/>
          <w:szCs w:val="24"/>
        </w:rPr>
        <w:t xml:space="preserve">See Annex 2 - </w:t>
      </w:r>
      <w:r w:rsidRPr="153B97D1" w:rsidR="153B97D1">
        <w:rPr>
          <w:rFonts w:ascii="Calibri" w:hAnsi="Calibri" w:eastAsia="Calibri" w:cs="Calibri" w:asciiTheme="minorAscii" w:hAnsiTheme="minorAscii" w:eastAsiaTheme="minorAscii" w:cstheme="minorAscii"/>
          <w:noProof w:val="0"/>
          <w:color w:val="0070C0"/>
          <w:sz w:val="24"/>
          <w:szCs w:val="24"/>
          <w:lang w:val="en-US"/>
        </w:rPr>
        <w:t>Nutrition humanitarian needs analysis guidance: Steps to conducting a Nutrition Humanitarian Needs Analysis</w:t>
      </w:r>
    </w:p>
    <w:p w:rsidR="153B97D1" w:rsidP="153B97D1" w:rsidRDefault="153B97D1" w14:paraId="41205E70" w14:textId="0420D11B">
      <w:pPr>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hyperlink r:id="R16aed36ab2df47ad">
        <w:r w:rsidRPr="153B97D1" w:rsidR="153B97D1">
          <w:rPr>
            <w:rStyle w:val="Hyperlink"/>
            <w:rFonts w:ascii="Calibri" w:hAnsi="Calibri" w:eastAsia="Calibri" w:cs="Calibri" w:asciiTheme="minorAscii" w:hAnsiTheme="minorAscii" w:eastAsiaTheme="minorAscii" w:cstheme="minorAscii"/>
            <w:noProof w:val="0"/>
            <w:sz w:val="24"/>
            <w:szCs w:val="24"/>
            <w:lang w:val="en-US"/>
          </w:rPr>
          <w:t>https://www.nutritioncluster.net/sites/nutritioncluster.com/files/2021-06/NC_Nutrition%20Humanitarian%20Needs%20Analysis%20Guidance_V2_0.pdf</w:t>
        </w:r>
      </w:hyperlink>
    </w:p>
    <w:tbl>
      <w:tblPr>
        <w:tblStyle w:val="TableGrid"/>
        <w:tblW w:w="0" w:type="auto"/>
        <w:tblLayout w:type="fixed"/>
        <w:tblLook w:val="04A0" w:firstRow="1" w:lastRow="0" w:firstColumn="1" w:lastColumn="0" w:noHBand="0" w:noVBand="1"/>
      </w:tblPr>
      <w:tblGrid>
        <w:gridCol w:w="2625"/>
        <w:gridCol w:w="6735"/>
      </w:tblGrid>
      <w:tr w:rsidR="153B97D1" w:rsidTr="61DEA0AF" w14:paraId="7B78D272">
        <w:tc>
          <w:tcPr>
            <w:tcW w:w="2625" w:type="dxa"/>
            <w:tcBorders>
              <w:top w:val="single" w:sz="8"/>
              <w:left w:val="single" w:sz="8"/>
              <w:bottom w:val="single" w:sz="8"/>
              <w:right w:val="single" w:sz="8"/>
            </w:tcBorders>
            <w:tcMar/>
            <w:vAlign w:val="top"/>
          </w:tcPr>
          <w:p w:rsidR="153B97D1" w:rsidP="61DEA0AF" w:rsidRDefault="153B97D1" w14:paraId="6FBC091F" w14:textId="3A48FF40">
            <w:pPr>
              <w:jc w:val="left"/>
              <w:rPr>
                <w:rFonts w:ascii="Calibri" w:hAnsi="Calibri" w:eastAsia="Calibri" w:cs="Calibri" w:asciiTheme="minorAscii" w:hAnsiTheme="minorAscii" w:eastAsiaTheme="minorAscii" w:cstheme="minorAscii"/>
                <w:b w:val="1"/>
                <w:bCs w:val="1"/>
                <w:color w:val="0070C0"/>
                <w:sz w:val="24"/>
                <w:szCs w:val="24"/>
                <w:lang w:val="en-GB"/>
              </w:rPr>
            </w:pPr>
            <w:r w:rsidRPr="61DEA0AF" w:rsidR="61DEA0AF">
              <w:rPr>
                <w:rFonts w:ascii="Calibri" w:hAnsi="Calibri" w:eastAsia="Calibri" w:cs="Calibri" w:asciiTheme="minorAscii" w:hAnsiTheme="minorAscii" w:eastAsiaTheme="minorAscii" w:cstheme="minorAscii"/>
                <w:b w:val="1"/>
                <w:bCs w:val="1"/>
                <w:color w:val="0070C0"/>
                <w:sz w:val="24"/>
                <w:szCs w:val="24"/>
                <w:lang w:val="en-GB"/>
              </w:rPr>
              <w:t>AAAQ</w:t>
            </w:r>
          </w:p>
        </w:tc>
        <w:tc>
          <w:tcPr>
            <w:tcW w:w="6735" w:type="dxa"/>
            <w:tcBorders>
              <w:top w:val="single" w:sz="8"/>
              <w:left w:val="single" w:sz="8"/>
              <w:bottom w:val="single" w:sz="8"/>
              <w:right w:val="single" w:sz="8"/>
            </w:tcBorders>
            <w:tcMar/>
            <w:vAlign w:val="top"/>
          </w:tcPr>
          <w:p w:rsidR="153B97D1" w:rsidP="61DEA0AF" w:rsidRDefault="153B97D1" w14:paraId="02E91B3F" w14:textId="4DD0D7C2">
            <w:pPr>
              <w:jc w:val="left"/>
              <w:rPr>
                <w:rFonts w:ascii="Calibri" w:hAnsi="Calibri" w:eastAsia="Calibri" w:cs="Calibri" w:asciiTheme="minorAscii" w:hAnsiTheme="minorAscii" w:eastAsiaTheme="minorAscii" w:cstheme="minorAscii"/>
                <w:b w:val="1"/>
                <w:bCs w:val="1"/>
                <w:color w:val="0070C0"/>
                <w:sz w:val="24"/>
                <w:szCs w:val="24"/>
                <w:lang w:val="en-GB"/>
              </w:rPr>
            </w:pPr>
            <w:r w:rsidRPr="61DEA0AF" w:rsidR="61DEA0AF">
              <w:rPr>
                <w:rFonts w:ascii="Calibri" w:hAnsi="Calibri" w:eastAsia="Calibri" w:cs="Calibri" w:asciiTheme="minorAscii" w:hAnsiTheme="minorAscii" w:eastAsiaTheme="minorAscii" w:cstheme="minorAscii"/>
                <w:b w:val="1"/>
                <w:bCs w:val="1"/>
                <w:color w:val="0070C0"/>
                <w:sz w:val="24"/>
                <w:szCs w:val="24"/>
                <w:lang w:val="en-GB"/>
              </w:rPr>
              <w:t xml:space="preserve">Guiding questions for analysis </w:t>
            </w:r>
          </w:p>
        </w:tc>
      </w:tr>
      <w:tr w:rsidR="153B97D1" w:rsidTr="61DEA0AF" w14:paraId="695440F7">
        <w:tc>
          <w:tcPr>
            <w:tcW w:w="2625" w:type="dxa"/>
            <w:tcBorders>
              <w:top w:val="single" w:sz="8"/>
              <w:left w:val="single" w:sz="8"/>
              <w:bottom w:val="single" w:sz="8"/>
              <w:right w:val="single" w:sz="8"/>
            </w:tcBorders>
            <w:tcMar/>
            <w:vAlign w:val="top"/>
          </w:tcPr>
          <w:p w:rsidR="153B97D1" w:rsidP="61DEA0AF" w:rsidRDefault="153B97D1" w14:paraId="5BB37A1F" w14:textId="156E9D3D">
            <w:pPr>
              <w:jc w:val="left"/>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Availability </w:t>
            </w:r>
          </w:p>
        </w:tc>
        <w:tc>
          <w:tcPr>
            <w:tcW w:w="6735" w:type="dxa"/>
            <w:tcBorders>
              <w:top w:val="single" w:sz="8"/>
              <w:left w:val="single" w:sz="8"/>
              <w:bottom w:val="single" w:sz="8"/>
              <w:right w:val="single" w:sz="8"/>
            </w:tcBorders>
            <w:tcMar/>
            <w:vAlign w:val="top"/>
          </w:tcPr>
          <w:p w:rsidR="153B97D1" w:rsidP="61DEA0AF" w:rsidRDefault="153B97D1" w14:paraId="37396D29" w14:textId="3C753F91">
            <w:pPr>
              <w:pStyle w:val="ListParagraph"/>
              <w:numPr>
                <w:ilvl w:val="0"/>
                <w:numId w:val="1"/>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Whether the nutrition services</w:t>
            </w:r>
            <w:hyperlink w:anchor="_ftn1" r:id="Ra3aadd9c1a924496">
              <w:r w:rsidRPr="61DEA0AF" w:rsidR="61DEA0AF">
                <w:rPr>
                  <w:rStyle w:val="Hyperlink"/>
                  <w:rFonts w:ascii="Calibri" w:hAnsi="Calibri" w:eastAsia="Calibri" w:cs="Calibri" w:asciiTheme="minorAscii" w:hAnsiTheme="minorAscii" w:eastAsiaTheme="minorAscii" w:cstheme="minorAscii"/>
                  <w:color w:val="0070C0"/>
                  <w:sz w:val="24"/>
                  <w:szCs w:val="24"/>
                  <w:vertAlign w:val="superscript"/>
                  <w:lang w:val="en-GB"/>
                </w:rPr>
                <w:t>[1]</w:t>
              </w:r>
            </w:hyperlink>
            <w:r w:rsidRPr="61DEA0AF" w:rsidR="61DEA0AF">
              <w:rPr>
                <w:rFonts w:ascii="Calibri" w:hAnsi="Calibri" w:eastAsia="Calibri" w:cs="Calibri" w:asciiTheme="minorAscii" w:hAnsiTheme="minorAscii" w:eastAsiaTheme="minorAscii" w:cstheme="minorAscii"/>
                <w:color w:val="0070C0"/>
                <w:sz w:val="24"/>
                <w:szCs w:val="24"/>
                <w:lang w:val="en-GB"/>
              </w:rPr>
              <w:t xml:space="preserve"> are available according to the </w:t>
            </w:r>
            <w:r w:rsidRPr="61DEA0AF" w:rsidR="61DEA0AF">
              <w:rPr>
                <w:rFonts w:ascii="Calibri" w:hAnsi="Calibri" w:eastAsia="Calibri" w:cs="Calibri" w:asciiTheme="minorAscii" w:hAnsiTheme="minorAscii" w:eastAsiaTheme="minorAscii" w:cstheme="minorAscii"/>
                <w:color w:val="0070C0"/>
                <w:sz w:val="24"/>
                <w:szCs w:val="24"/>
                <w:lang w:val="en-GB"/>
              </w:rPr>
              <w:t>minimum</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standards? </w:t>
            </w:r>
          </w:p>
        </w:tc>
      </w:tr>
      <w:tr w:rsidR="153B97D1" w:rsidTr="61DEA0AF" w14:paraId="6C819DFD">
        <w:tc>
          <w:tcPr>
            <w:tcW w:w="2625" w:type="dxa"/>
            <w:tcBorders>
              <w:top w:val="single" w:sz="8"/>
              <w:left w:val="single" w:sz="8"/>
              <w:bottom w:val="single" w:sz="8"/>
              <w:right w:val="single" w:sz="8"/>
            </w:tcBorders>
            <w:tcMar/>
            <w:vAlign w:val="top"/>
          </w:tcPr>
          <w:p w:rsidR="153B97D1" w:rsidP="61DEA0AF" w:rsidRDefault="153B97D1" w14:paraId="2BA92308" w14:textId="71AD90E5">
            <w:pPr>
              <w:jc w:val="left"/>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Accessibility:</w:t>
            </w:r>
          </w:p>
          <w:p w:rsidR="153B97D1" w:rsidP="61DEA0AF" w:rsidRDefault="153B97D1" w14:paraId="5FB721A9" w14:textId="2BB9E083">
            <w:pPr>
              <w:jc w:val="left"/>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Physical accessibility </w:t>
            </w:r>
          </w:p>
        </w:tc>
        <w:tc>
          <w:tcPr>
            <w:tcW w:w="6735" w:type="dxa"/>
            <w:tcBorders>
              <w:top w:val="single" w:sz="8"/>
              <w:left w:val="single" w:sz="8"/>
              <w:bottom w:val="single" w:sz="8"/>
              <w:right w:val="single" w:sz="8"/>
            </w:tcBorders>
            <w:tcMar/>
            <w:vAlign w:val="top"/>
          </w:tcPr>
          <w:p w:rsidR="153B97D1" w:rsidP="61DEA0AF" w:rsidRDefault="153B97D1" w14:paraId="410522EB" w14:textId="6D81B4CA">
            <w:pPr>
              <w:pStyle w:val="ListParagraph"/>
              <w:numPr>
                <w:ilvl w:val="0"/>
                <w:numId w:val="2"/>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Are nutrition facilities </w:t>
            </w:r>
            <w:r w:rsidRPr="61DEA0AF" w:rsidR="61DEA0AF">
              <w:rPr>
                <w:rFonts w:ascii="Calibri" w:hAnsi="Calibri" w:eastAsia="Calibri" w:cs="Calibri" w:asciiTheme="minorAscii" w:hAnsiTheme="minorAscii" w:eastAsiaTheme="minorAscii" w:cstheme="minorAscii"/>
                <w:color w:val="0070C0"/>
                <w:sz w:val="24"/>
                <w:szCs w:val="24"/>
                <w:lang w:val="en-GB"/>
              </w:rPr>
              <w:t>located</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within a reasonable distance for all women, </w:t>
            </w:r>
            <w:r w:rsidRPr="61DEA0AF" w:rsidR="61DEA0AF">
              <w:rPr>
                <w:rFonts w:ascii="Calibri" w:hAnsi="Calibri" w:eastAsia="Calibri" w:cs="Calibri" w:asciiTheme="minorAscii" w:hAnsiTheme="minorAscii" w:eastAsiaTheme="minorAscii" w:cstheme="minorAscii"/>
                <w:color w:val="0070C0"/>
                <w:sz w:val="24"/>
                <w:szCs w:val="24"/>
                <w:lang w:val="en-GB"/>
              </w:rPr>
              <w:t>girls</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and boys in the targeted area? Who are </w:t>
            </w:r>
            <w:r w:rsidRPr="61DEA0AF" w:rsidR="61DEA0AF">
              <w:rPr>
                <w:rFonts w:ascii="Calibri" w:hAnsi="Calibri" w:eastAsia="Calibri" w:cs="Calibri" w:asciiTheme="minorAscii" w:hAnsiTheme="minorAscii" w:eastAsiaTheme="minorAscii" w:cstheme="minorAscii"/>
                <w:color w:val="0070C0"/>
                <w:sz w:val="24"/>
                <w:szCs w:val="24"/>
                <w:lang w:val="en-GB"/>
              </w:rPr>
              <w:t>most likely have</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a problem? </w:t>
            </w:r>
          </w:p>
          <w:p w:rsidR="153B97D1" w:rsidP="61DEA0AF" w:rsidRDefault="153B97D1" w14:paraId="6EF00FB7" w14:textId="02B628E4">
            <w:pPr>
              <w:pStyle w:val="ListParagraph"/>
              <w:numPr>
                <w:ilvl w:val="0"/>
                <w:numId w:val="2"/>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Is the route to and from the nutrition facility safe to travel for pregnant and lactating women, mothers with children and other users? </w:t>
            </w:r>
          </w:p>
          <w:p w:rsidR="153B97D1" w:rsidP="61DEA0AF" w:rsidRDefault="153B97D1" w14:paraId="56F584B7" w14:textId="3544F8A0">
            <w:pPr>
              <w:pStyle w:val="ListParagraph"/>
              <w:numPr>
                <w:ilvl w:val="0"/>
                <w:numId w:val="2"/>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Are there other forms of physical barriers, such as armed guards outside the facility? </w:t>
            </w:r>
          </w:p>
          <w:p w:rsidR="153B97D1" w:rsidP="61DEA0AF" w:rsidRDefault="153B97D1" w14:paraId="5CE96633" w14:textId="369E1426">
            <w:pPr>
              <w:pStyle w:val="ListParagraph"/>
              <w:numPr>
                <w:ilvl w:val="0"/>
                <w:numId w:val="2"/>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Are there any other safety concerns in accessing to nutrition services?</w:t>
            </w:r>
          </w:p>
        </w:tc>
      </w:tr>
      <w:tr w:rsidR="153B97D1" w:rsidTr="61DEA0AF" w14:paraId="3F7EBB75">
        <w:tc>
          <w:tcPr>
            <w:tcW w:w="2625" w:type="dxa"/>
            <w:tcBorders>
              <w:top w:val="single" w:sz="8"/>
              <w:left w:val="single" w:sz="8"/>
              <w:bottom w:val="single" w:sz="8"/>
              <w:right w:val="single" w:sz="8"/>
            </w:tcBorders>
            <w:tcMar/>
            <w:vAlign w:val="top"/>
          </w:tcPr>
          <w:p w:rsidR="153B97D1" w:rsidP="61DEA0AF" w:rsidRDefault="153B97D1" w14:paraId="49939AFE" w14:textId="49E400B5">
            <w:pPr>
              <w:jc w:val="left"/>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Financial Accessibility</w:t>
            </w:r>
          </w:p>
        </w:tc>
        <w:tc>
          <w:tcPr>
            <w:tcW w:w="6735" w:type="dxa"/>
            <w:tcBorders>
              <w:top w:val="single" w:sz="8"/>
              <w:left w:val="single" w:sz="8"/>
              <w:bottom w:val="single" w:sz="8"/>
              <w:right w:val="single" w:sz="8"/>
            </w:tcBorders>
            <w:tcMar/>
            <w:vAlign w:val="top"/>
          </w:tcPr>
          <w:p w:rsidR="153B97D1" w:rsidP="61DEA0AF" w:rsidRDefault="153B97D1" w14:paraId="5E2BE624" w14:textId="48E2427E">
            <w:pPr>
              <w:pStyle w:val="ListParagraph"/>
              <w:numPr>
                <w:ilvl w:val="0"/>
                <w:numId w:val="3"/>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Do users have to pay a fee? If so, is the fee reasonable/manageable given the economic circumstances/means? Who would be the most affected by a fee?</w:t>
            </w:r>
          </w:p>
          <w:p w:rsidR="153B97D1" w:rsidP="61DEA0AF" w:rsidRDefault="153B97D1" w14:paraId="52EC9A2E" w14:textId="5F7A29F7">
            <w:pPr>
              <w:pStyle w:val="ListParagraph"/>
              <w:numPr>
                <w:ilvl w:val="0"/>
                <w:numId w:val="3"/>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If no formal fee, are there any other hidden fees such as transportation that affect people’s access to nutrition services?</w:t>
            </w:r>
          </w:p>
        </w:tc>
      </w:tr>
      <w:tr w:rsidR="153B97D1" w:rsidTr="61DEA0AF" w14:paraId="2F5164F9">
        <w:tc>
          <w:tcPr>
            <w:tcW w:w="2625" w:type="dxa"/>
            <w:tcBorders>
              <w:top w:val="single" w:sz="8"/>
              <w:left w:val="single" w:sz="8"/>
              <w:bottom w:val="single" w:sz="8"/>
              <w:right w:val="single" w:sz="8"/>
            </w:tcBorders>
            <w:tcMar/>
            <w:vAlign w:val="top"/>
          </w:tcPr>
          <w:p w:rsidR="153B97D1" w:rsidP="61DEA0AF" w:rsidRDefault="153B97D1" w14:paraId="2BA18637" w14:textId="73C7D322">
            <w:pPr>
              <w:jc w:val="left"/>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Bureaucratic/administrative accessibility</w:t>
            </w:r>
          </w:p>
        </w:tc>
        <w:tc>
          <w:tcPr>
            <w:tcW w:w="6735" w:type="dxa"/>
            <w:tcBorders>
              <w:top w:val="single" w:sz="8"/>
              <w:left w:val="single" w:sz="8"/>
              <w:bottom w:val="single" w:sz="8"/>
              <w:right w:val="single" w:sz="8"/>
            </w:tcBorders>
            <w:tcMar/>
            <w:vAlign w:val="top"/>
          </w:tcPr>
          <w:p w:rsidR="153B97D1" w:rsidP="61DEA0AF" w:rsidRDefault="153B97D1" w14:paraId="17EDD0DB" w14:textId="163DECB5">
            <w:pPr>
              <w:pStyle w:val="ListParagraph"/>
              <w:numPr>
                <w:ilvl w:val="0"/>
                <w:numId w:val="3"/>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Are there procedural steps that users must complete to access to nutrition services?</w:t>
            </w:r>
          </w:p>
          <w:p w:rsidR="153B97D1" w:rsidP="61DEA0AF" w:rsidRDefault="153B97D1" w14:paraId="1B9C036F" w14:textId="4C4CB8B8">
            <w:pPr>
              <w:pStyle w:val="ListParagraph"/>
              <w:numPr>
                <w:ilvl w:val="0"/>
                <w:numId w:val="3"/>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Do the users need to have civil documents such as birth registration, documents related to refugee status etc to enrol in schools? If so, is it easy to obtain the documents? Who </w:t>
            </w:r>
            <w:proofErr w:type="spellStart"/>
            <w:r w:rsidRPr="61DEA0AF" w:rsidR="61DEA0AF">
              <w:rPr>
                <w:rFonts w:ascii="Calibri" w:hAnsi="Calibri" w:eastAsia="Calibri" w:cs="Calibri" w:asciiTheme="minorAscii" w:hAnsiTheme="minorAscii" w:eastAsiaTheme="minorAscii" w:cstheme="minorAscii"/>
                <w:color w:val="0070C0"/>
                <w:sz w:val="24"/>
                <w:szCs w:val="24"/>
                <w:lang w:val="en-GB"/>
              </w:rPr>
              <w:t>wold</w:t>
            </w:r>
            <w:proofErr w:type="spellEnd"/>
            <w:r w:rsidRPr="61DEA0AF" w:rsidR="61DEA0AF">
              <w:rPr>
                <w:rFonts w:ascii="Calibri" w:hAnsi="Calibri" w:eastAsia="Calibri" w:cs="Calibri" w:asciiTheme="minorAscii" w:hAnsiTheme="minorAscii" w:eastAsiaTheme="minorAscii" w:cstheme="minorAscii"/>
                <w:color w:val="0070C0"/>
                <w:sz w:val="24"/>
                <w:szCs w:val="24"/>
                <w:lang w:val="en-GB"/>
              </w:rPr>
              <w:t xml:space="preserve"> </w:t>
            </w:r>
            <w:proofErr w:type="gramStart"/>
            <w:r w:rsidRPr="61DEA0AF" w:rsidR="61DEA0AF">
              <w:rPr>
                <w:rFonts w:ascii="Calibri" w:hAnsi="Calibri" w:eastAsia="Calibri" w:cs="Calibri" w:asciiTheme="minorAscii" w:hAnsiTheme="minorAscii" w:eastAsiaTheme="minorAscii" w:cstheme="minorAscii"/>
                <w:color w:val="0070C0"/>
                <w:sz w:val="24"/>
                <w:szCs w:val="24"/>
                <w:lang w:val="en-GB"/>
              </w:rPr>
              <w:t>have</w:t>
            </w:r>
            <w:proofErr w:type="gramEnd"/>
            <w:r w:rsidRPr="61DEA0AF" w:rsidR="61DEA0AF">
              <w:rPr>
                <w:rFonts w:ascii="Calibri" w:hAnsi="Calibri" w:eastAsia="Calibri" w:cs="Calibri" w:asciiTheme="minorAscii" w:hAnsiTheme="minorAscii" w:eastAsiaTheme="minorAscii" w:cstheme="minorAscii"/>
                <w:color w:val="0070C0"/>
                <w:sz w:val="24"/>
                <w:szCs w:val="24"/>
                <w:lang w:val="en-GB"/>
              </w:rPr>
              <w:t xml:space="preserve"> challenges in accessing civil documents and thus using nutrition services?</w:t>
            </w:r>
          </w:p>
          <w:p w:rsidR="153B97D1" w:rsidP="61DEA0AF" w:rsidRDefault="153B97D1" w14:paraId="3A1359AE" w14:textId="410A2A42">
            <w:pPr>
              <w:pStyle w:val="ListParagraph"/>
              <w:numPr>
                <w:ilvl w:val="0"/>
                <w:numId w:val="3"/>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Are there any other bureaucratic/administrative barriers that hinders people’s access to education services?</w:t>
            </w:r>
          </w:p>
          <w:p w:rsidR="153B97D1" w:rsidP="61DEA0AF" w:rsidRDefault="153B97D1" w14:paraId="5D5579AC" w14:textId="62AA7AFB">
            <w:pPr>
              <w:pStyle w:val="ListParagraph"/>
              <w:numPr>
                <w:ilvl w:val="0"/>
                <w:numId w:val="3"/>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Are the facilities open at times that are convenient given the daily/weekly rhythm of women?</w:t>
            </w:r>
          </w:p>
        </w:tc>
      </w:tr>
      <w:tr w:rsidR="153B97D1" w:rsidTr="61DEA0AF" w14:paraId="16D1100E">
        <w:tc>
          <w:tcPr>
            <w:tcW w:w="2625" w:type="dxa"/>
            <w:tcBorders>
              <w:top w:val="single" w:sz="8"/>
              <w:left w:val="single" w:sz="8"/>
              <w:bottom w:val="single" w:sz="8"/>
              <w:right w:val="single" w:sz="8"/>
            </w:tcBorders>
            <w:tcMar/>
            <w:vAlign w:val="top"/>
          </w:tcPr>
          <w:p w:rsidR="153B97D1" w:rsidP="61DEA0AF" w:rsidRDefault="153B97D1" w14:paraId="4D60DEBD" w14:textId="2B749CA2">
            <w:pPr>
              <w:jc w:val="left"/>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Social accessibility</w:t>
            </w:r>
          </w:p>
        </w:tc>
        <w:tc>
          <w:tcPr>
            <w:tcW w:w="6735" w:type="dxa"/>
            <w:tcBorders>
              <w:top w:val="single" w:sz="8"/>
              <w:left w:val="single" w:sz="8"/>
              <w:bottom w:val="single" w:sz="8"/>
              <w:right w:val="single" w:sz="8"/>
            </w:tcBorders>
            <w:tcMar/>
            <w:vAlign w:val="top"/>
          </w:tcPr>
          <w:p w:rsidR="153B97D1" w:rsidP="61DEA0AF" w:rsidRDefault="153B97D1" w14:paraId="00A9EEA2" w14:textId="3B9A8E4E">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Are the opinions of target groups i.e., women reflected in nutrition services? </w:t>
            </w:r>
          </w:p>
          <w:p w:rsidR="153B97D1" w:rsidP="61DEA0AF" w:rsidRDefault="153B97D1" w14:paraId="4AB2FBF6" w14:textId="458E1CED">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Do nutrition respect and practice non-discrimination in the provision of services? </w:t>
            </w:r>
          </w:p>
          <w:p w:rsidR="153B97D1" w:rsidP="61DEA0AF" w:rsidRDefault="153B97D1" w14:paraId="45FAE3EA" w14:textId="079C16FD">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Are certain groups excluded from nutrition because of language barriers? </w:t>
            </w:r>
          </w:p>
          <w:p w:rsidR="153B97D1" w:rsidP="61DEA0AF" w:rsidRDefault="153B97D1" w14:paraId="7100F23E" w14:textId="741BC139">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Are there adequate numbers of female frontline workers? </w:t>
            </w:r>
          </w:p>
          <w:p w:rsidR="153B97D1" w:rsidP="61DEA0AF" w:rsidRDefault="153B97D1" w14:paraId="412E4942" w14:textId="155A36AE">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Are there social norms/cultural barriers that hinder women, men i.e., </w:t>
            </w:r>
            <w:r w:rsidRPr="61DEA0AF" w:rsidR="61DEA0AF">
              <w:rPr>
                <w:rFonts w:ascii="Calibri" w:hAnsi="Calibri" w:eastAsia="Calibri" w:cs="Calibri" w:asciiTheme="minorAscii" w:hAnsiTheme="minorAscii" w:eastAsiaTheme="minorAscii" w:cstheme="minorAscii"/>
                <w:color w:val="0070C0"/>
                <w:sz w:val="24"/>
                <w:szCs w:val="24"/>
                <w:lang w:val="en-GB"/>
              </w:rPr>
              <w:t>single father</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with children under 5 and children’s access nutrition services?</w:t>
            </w:r>
          </w:p>
          <w:p w:rsidR="153B97D1" w:rsidP="61DEA0AF" w:rsidRDefault="153B97D1" w14:paraId="3051700A" w14:textId="7E9BF393">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Are there social norms/cultural barriers that hinder local women from working at nutrition services?</w:t>
            </w:r>
          </w:p>
        </w:tc>
      </w:tr>
      <w:tr w:rsidR="153B97D1" w:rsidTr="61DEA0AF" w14:paraId="0B8FAA65">
        <w:tc>
          <w:tcPr>
            <w:tcW w:w="2625" w:type="dxa"/>
            <w:tcBorders>
              <w:top w:val="single" w:sz="8"/>
              <w:left w:val="single" w:sz="8"/>
              <w:bottom w:val="single" w:sz="8"/>
              <w:right w:val="single" w:sz="8"/>
            </w:tcBorders>
            <w:tcMar/>
            <w:vAlign w:val="top"/>
          </w:tcPr>
          <w:p w:rsidR="153B97D1" w:rsidP="61DEA0AF" w:rsidRDefault="153B97D1" w14:paraId="5672D019" w14:textId="1C014C5E">
            <w:pPr>
              <w:jc w:val="left"/>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Information accessibility</w:t>
            </w:r>
          </w:p>
        </w:tc>
        <w:tc>
          <w:tcPr>
            <w:tcW w:w="6735" w:type="dxa"/>
            <w:tcBorders>
              <w:top w:val="single" w:sz="8"/>
              <w:left w:val="single" w:sz="8"/>
              <w:bottom w:val="single" w:sz="8"/>
              <w:right w:val="single" w:sz="8"/>
            </w:tcBorders>
            <w:tcMar/>
            <w:vAlign w:val="top"/>
          </w:tcPr>
          <w:p w:rsidR="153B97D1" w:rsidP="61DEA0AF" w:rsidRDefault="153B97D1" w14:paraId="0AAFE4A8" w14:textId="54C581AF">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How is information about nutrition services communicated to the community? Are both men and women receive the information?</w:t>
            </w:r>
          </w:p>
          <w:p w:rsidR="153B97D1" w:rsidP="61DEA0AF" w:rsidRDefault="153B97D1" w14:paraId="3576ECF6" w14:textId="173CAC19">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Do men understand importance of nutrition services, proper </w:t>
            </w:r>
            <w:r w:rsidRPr="61DEA0AF" w:rsidR="61DEA0AF">
              <w:rPr>
                <w:rFonts w:ascii="Calibri" w:hAnsi="Calibri" w:eastAsia="Calibri" w:cs="Calibri" w:asciiTheme="minorAscii" w:hAnsiTheme="minorAscii" w:eastAsiaTheme="minorAscii" w:cstheme="minorAscii"/>
                <w:color w:val="0070C0"/>
                <w:sz w:val="24"/>
                <w:szCs w:val="24"/>
                <w:lang w:val="en-GB"/>
              </w:rPr>
              <w:t>diet</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and breastfeeding?</w:t>
            </w:r>
          </w:p>
          <w:p w:rsidR="153B97D1" w:rsidP="61DEA0AF" w:rsidRDefault="153B97D1" w14:paraId="3083DD47" w14:textId="38EEAF14">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Is there an analysis of who </w:t>
            </w:r>
            <w:r w:rsidRPr="61DEA0AF" w:rsidR="61DEA0AF">
              <w:rPr>
                <w:rFonts w:ascii="Calibri" w:hAnsi="Calibri" w:eastAsia="Calibri" w:cs="Calibri" w:asciiTheme="minorAscii" w:hAnsiTheme="minorAscii" w:eastAsiaTheme="minorAscii" w:cstheme="minorAscii"/>
                <w:color w:val="0070C0"/>
                <w:sz w:val="24"/>
                <w:szCs w:val="24"/>
                <w:lang w:val="en-GB"/>
              </w:rPr>
              <w:t>makes a decision</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w:t>
            </w:r>
            <w:r w:rsidRPr="61DEA0AF" w:rsidR="61DEA0AF">
              <w:rPr>
                <w:rFonts w:ascii="Calibri" w:hAnsi="Calibri" w:eastAsia="Calibri" w:cs="Calibri" w:asciiTheme="minorAscii" w:hAnsiTheme="minorAscii" w:eastAsiaTheme="minorAscii" w:cstheme="minorAscii"/>
                <w:color w:val="0070C0"/>
                <w:sz w:val="24"/>
                <w:szCs w:val="24"/>
                <w:lang w:val="en-GB"/>
              </w:rPr>
              <w:t>regarding</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nutrition at home and targeting a right person for information campaign? </w:t>
            </w:r>
          </w:p>
          <w:p w:rsidR="153B97D1" w:rsidP="61DEA0AF" w:rsidRDefault="153B97D1" w14:paraId="63A5F8ED" w14:textId="37005138">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Are there alternatives to printed information </w:t>
            </w:r>
            <w:r w:rsidRPr="61DEA0AF" w:rsidR="61DEA0AF">
              <w:rPr>
                <w:rFonts w:ascii="Calibri" w:hAnsi="Calibri" w:eastAsia="Calibri" w:cs="Calibri" w:asciiTheme="minorAscii" w:hAnsiTheme="minorAscii" w:eastAsiaTheme="minorAscii" w:cstheme="minorAscii"/>
                <w:color w:val="0070C0"/>
                <w:sz w:val="24"/>
                <w:szCs w:val="24"/>
                <w:lang w:val="en-GB"/>
              </w:rPr>
              <w:t>in order to</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reach illiterate members of the community? </w:t>
            </w:r>
          </w:p>
          <w:p w:rsidR="153B97D1" w:rsidP="61DEA0AF" w:rsidRDefault="153B97D1" w14:paraId="1A2BCB8C" w14:textId="32238F92">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Is personal information treated confidentially?</w:t>
            </w:r>
          </w:p>
        </w:tc>
      </w:tr>
      <w:tr w:rsidR="153B97D1" w:rsidTr="61DEA0AF" w14:paraId="3639B557">
        <w:tc>
          <w:tcPr>
            <w:tcW w:w="2625" w:type="dxa"/>
            <w:tcBorders>
              <w:top w:val="single" w:sz="8"/>
              <w:left w:val="single" w:sz="8"/>
              <w:bottom w:val="single" w:sz="8"/>
              <w:right w:val="single" w:sz="8"/>
            </w:tcBorders>
            <w:tcMar/>
            <w:vAlign w:val="top"/>
          </w:tcPr>
          <w:p w:rsidR="153B97D1" w:rsidP="61DEA0AF" w:rsidRDefault="153B97D1" w14:paraId="2B000627" w14:textId="5988505E">
            <w:pPr>
              <w:jc w:val="left"/>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Acceptability</w:t>
            </w:r>
          </w:p>
        </w:tc>
        <w:tc>
          <w:tcPr>
            <w:tcW w:w="6735" w:type="dxa"/>
            <w:tcBorders>
              <w:top w:val="single" w:sz="8"/>
              <w:left w:val="single" w:sz="8"/>
              <w:bottom w:val="single" w:sz="8"/>
              <w:right w:val="single" w:sz="8"/>
            </w:tcBorders>
            <w:tcMar/>
            <w:vAlign w:val="top"/>
          </w:tcPr>
          <w:p w:rsidR="153B97D1" w:rsidP="61DEA0AF" w:rsidRDefault="153B97D1" w14:paraId="4D84DBDC" w14:textId="230942D5">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Are nutrition services respectful of the culture of individuals, minorities, peoples, and communities? </w:t>
            </w:r>
          </w:p>
          <w:p w:rsidR="153B97D1" w:rsidP="61DEA0AF" w:rsidRDefault="153B97D1" w14:paraId="18C69092" w14:textId="1B5EFEB2">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Is the nutrition service gender-sensitive? </w:t>
            </w:r>
          </w:p>
          <w:p w:rsidR="153B97D1" w:rsidP="61DEA0AF" w:rsidRDefault="153B97D1" w14:paraId="7BC0EACF" w14:textId="01503195">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Are there certain characteristics of the nutrition services (gender balance of frontline workers, attitude/behaviours of teachers etc) that make the community more/less comfortable accessing services?</w:t>
            </w:r>
          </w:p>
          <w:p w:rsidR="153B97D1" w:rsidP="61DEA0AF" w:rsidRDefault="153B97D1" w14:paraId="7D1C88D8" w14:textId="235D6B25">
            <w:pPr>
              <w:pStyle w:val="ListParagraph"/>
              <w:numPr>
                <w:ilvl w:val="0"/>
                <w:numId w:val="4"/>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Are there adequate numbers of female staff and volunteers in WASH? If not, are there a plan to increase numbers of female staff/volunteers?</w:t>
            </w:r>
          </w:p>
        </w:tc>
      </w:tr>
      <w:tr w:rsidR="153B97D1" w:rsidTr="61DEA0AF" w14:paraId="72C3ED9F">
        <w:tc>
          <w:tcPr>
            <w:tcW w:w="2625" w:type="dxa"/>
            <w:tcBorders>
              <w:top w:val="single" w:sz="8"/>
              <w:left w:val="single" w:sz="8"/>
              <w:bottom w:val="single" w:sz="8"/>
              <w:right w:val="single" w:sz="8"/>
            </w:tcBorders>
            <w:tcMar/>
            <w:vAlign w:val="top"/>
          </w:tcPr>
          <w:p w:rsidR="153B97D1" w:rsidP="61DEA0AF" w:rsidRDefault="153B97D1" w14:paraId="18EC2050" w14:textId="05D72263">
            <w:pPr>
              <w:jc w:val="left"/>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Quality </w:t>
            </w:r>
          </w:p>
        </w:tc>
        <w:tc>
          <w:tcPr>
            <w:tcW w:w="6735" w:type="dxa"/>
            <w:tcBorders>
              <w:top w:val="single" w:sz="8"/>
              <w:left w:val="single" w:sz="8"/>
              <w:bottom w:val="single" w:sz="8"/>
              <w:right w:val="single" w:sz="8"/>
            </w:tcBorders>
            <w:tcMar/>
            <w:vAlign w:val="top"/>
          </w:tcPr>
          <w:p w:rsidR="153B97D1" w:rsidP="61DEA0AF" w:rsidRDefault="153B97D1" w14:paraId="0C605D30" w14:textId="0D969560">
            <w:pPr>
              <w:pStyle w:val="ListParagraph"/>
              <w:numPr>
                <w:ilvl w:val="0"/>
                <w:numId w:val="5"/>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Is there a Code of Conduct (CoC) for nutrition frontline workers which include PSEA? Are they trained and signed the CoC?</w:t>
            </w:r>
          </w:p>
          <w:p w:rsidR="153B97D1" w:rsidP="61DEA0AF" w:rsidRDefault="153B97D1" w14:paraId="5B1E5037" w14:textId="7751DB8D">
            <w:pPr>
              <w:pStyle w:val="ListParagraph"/>
              <w:numPr>
                <w:ilvl w:val="0"/>
                <w:numId w:val="5"/>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Do nutrition frontline workers know how to </w:t>
            </w:r>
            <w:r w:rsidRPr="61DEA0AF" w:rsidR="61DEA0AF">
              <w:rPr>
                <w:rFonts w:ascii="Calibri" w:hAnsi="Calibri" w:eastAsia="Calibri" w:cs="Calibri" w:asciiTheme="minorAscii" w:hAnsiTheme="minorAscii" w:eastAsiaTheme="minorAscii" w:cstheme="minorAscii"/>
                <w:color w:val="0070C0"/>
                <w:sz w:val="24"/>
                <w:szCs w:val="24"/>
                <w:lang w:val="en-GB"/>
              </w:rPr>
              <w:t>ethically and safely refer GBV survivors</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to services?</w:t>
            </w:r>
          </w:p>
          <w:p w:rsidR="153B97D1" w:rsidP="61DEA0AF" w:rsidRDefault="153B97D1" w14:paraId="4A6C125B" w14:textId="44859549">
            <w:pPr>
              <w:pStyle w:val="ListParagraph"/>
              <w:numPr>
                <w:ilvl w:val="0"/>
                <w:numId w:val="5"/>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Are the quality of nutrition services meet the nutrition </w:t>
            </w:r>
            <w:r w:rsidRPr="61DEA0AF" w:rsidR="61DEA0AF">
              <w:rPr>
                <w:rFonts w:ascii="Calibri" w:hAnsi="Calibri" w:eastAsia="Calibri" w:cs="Calibri" w:asciiTheme="minorAscii" w:hAnsiTheme="minorAscii" w:eastAsiaTheme="minorAscii" w:cstheme="minorAscii"/>
                <w:color w:val="0070C0"/>
                <w:sz w:val="24"/>
                <w:szCs w:val="24"/>
                <w:lang w:val="en-GB"/>
              </w:rPr>
              <w:t>minimum</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standards?</w:t>
            </w:r>
          </w:p>
          <w:p w:rsidR="153B97D1" w:rsidP="61DEA0AF" w:rsidRDefault="153B97D1" w14:paraId="6AED43D9" w14:textId="75CF2203">
            <w:pPr>
              <w:pStyle w:val="ListParagraph"/>
              <w:numPr>
                <w:ilvl w:val="0"/>
                <w:numId w:val="5"/>
              </w:numPr>
              <w:rPr>
                <w:rFonts w:ascii="Calibri" w:hAnsi="Calibri" w:eastAsia="Calibri" w:cs="Calibri" w:asciiTheme="minorAscii" w:hAnsiTheme="minorAscii" w:eastAsiaTheme="minorAscii" w:cstheme="minorAscii"/>
                <w:color w:val="0070C0"/>
                <w:sz w:val="24"/>
                <w:szCs w:val="24"/>
                <w:lang w:val="en-GB"/>
              </w:rPr>
            </w:pPr>
            <w:r w:rsidRPr="61DEA0AF" w:rsidR="61DEA0AF">
              <w:rPr>
                <w:rFonts w:ascii="Calibri" w:hAnsi="Calibri" w:eastAsia="Calibri" w:cs="Calibri" w:asciiTheme="minorAscii" w:hAnsiTheme="minorAscii" w:eastAsiaTheme="minorAscii" w:cstheme="minorAscii"/>
                <w:color w:val="0070C0"/>
                <w:sz w:val="24"/>
                <w:szCs w:val="24"/>
                <w:lang w:val="en-GB"/>
              </w:rPr>
              <w:t xml:space="preserve">Do all users regardless sex, age, </w:t>
            </w:r>
            <w:r w:rsidRPr="61DEA0AF" w:rsidR="61DEA0AF">
              <w:rPr>
                <w:rFonts w:ascii="Calibri" w:hAnsi="Calibri" w:eastAsia="Calibri" w:cs="Calibri" w:asciiTheme="minorAscii" w:hAnsiTheme="minorAscii" w:eastAsiaTheme="minorAscii" w:cstheme="minorAscii"/>
                <w:color w:val="0070C0"/>
                <w:sz w:val="24"/>
                <w:szCs w:val="24"/>
                <w:lang w:val="en-GB"/>
              </w:rPr>
              <w:t>disability</w:t>
            </w:r>
            <w:r w:rsidRPr="61DEA0AF" w:rsidR="61DEA0AF">
              <w:rPr>
                <w:rFonts w:ascii="Calibri" w:hAnsi="Calibri" w:eastAsia="Calibri" w:cs="Calibri" w:asciiTheme="minorAscii" w:hAnsiTheme="minorAscii" w:eastAsiaTheme="minorAscii" w:cstheme="minorAscii"/>
                <w:color w:val="0070C0"/>
                <w:sz w:val="24"/>
                <w:szCs w:val="24"/>
                <w:lang w:val="en-GB"/>
              </w:rPr>
              <w:t xml:space="preserve"> and their social status such as refugee, IDPs etc., feel respected in nutrition services? </w:t>
            </w:r>
          </w:p>
        </w:tc>
      </w:tr>
    </w:tbl>
    <w:p w:rsidR="153B97D1" w:rsidP="153B97D1" w:rsidRDefault="153B97D1" w14:paraId="2A345DAC" w14:textId="4A2B1500">
      <w:pPr>
        <w:rPr>
          <w:rFonts w:ascii="Calibri" w:hAnsi="Calibri" w:eastAsia="Calibri" w:cs="Calibri" w:asciiTheme="minorAscii" w:hAnsiTheme="minorAscii" w:eastAsiaTheme="minorAscii" w:cstheme="minorAscii"/>
          <w:sz w:val="24"/>
          <w:szCs w:val="24"/>
        </w:rPr>
      </w:pPr>
      <w:r>
        <w:br/>
      </w:r>
      <w:r>
        <w:br/>
      </w:r>
    </w:p>
    <w:p w:rsidR="00E90E1F" w:rsidP="61DEA0AF" w:rsidRDefault="00E90E1F" w14:paraId="6FE1601A" w14:textId="41F6BB2F">
      <w:pPr>
        <w:jc w:val="left"/>
        <w:rPr>
          <w:rFonts w:ascii="Calibri" w:hAnsi="Calibri" w:eastAsia="Calibri" w:cs="Calibri" w:asciiTheme="minorAscii" w:hAnsiTheme="minorAscii" w:eastAsiaTheme="minorAscii" w:cstheme="minorAscii"/>
          <w:noProof w:val="0"/>
          <w:sz w:val="24"/>
          <w:szCs w:val="24"/>
          <w:lang w:val="en-GB"/>
        </w:rPr>
      </w:pPr>
      <w:hyperlink w:anchor="_ftnref1" r:id="R5fd439d28659484f">
        <w:r w:rsidRPr="61DEA0AF" w:rsidR="61DEA0AF">
          <w:rPr>
            <w:rStyle w:val="Hyperlink"/>
            <w:rFonts w:ascii="Calibri" w:hAnsi="Calibri" w:eastAsia="Calibri" w:cs="Calibri" w:asciiTheme="minorAscii" w:hAnsiTheme="minorAscii" w:eastAsiaTheme="minorAscii" w:cstheme="minorAscii"/>
            <w:noProof w:val="0"/>
            <w:sz w:val="24"/>
            <w:szCs w:val="24"/>
            <w:vertAlign w:val="superscript"/>
            <w:lang w:val="en-GB"/>
          </w:rPr>
          <w:t>[1]</w:t>
        </w:r>
      </w:hyperlink>
      <w:r w:rsidRPr="61DEA0AF" w:rsidR="61DEA0AF">
        <w:rPr>
          <w:rFonts w:ascii="Calibri" w:hAnsi="Calibri" w:eastAsia="Calibri" w:cs="Calibri" w:asciiTheme="minorAscii" w:hAnsiTheme="minorAscii" w:eastAsiaTheme="minorAscii" w:cstheme="minorAscii"/>
          <w:noProof w:val="0"/>
          <w:sz w:val="24"/>
          <w:szCs w:val="24"/>
          <w:lang w:val="en-GB"/>
        </w:rPr>
        <w:t xml:space="preserve"> </w:t>
      </w:r>
      <w:r w:rsidRPr="61DEA0AF" w:rsidR="61DEA0AF">
        <w:rPr>
          <w:rFonts w:ascii="Calibri" w:hAnsi="Calibri" w:eastAsia="Calibri" w:cs="Calibri" w:asciiTheme="minorAscii" w:hAnsiTheme="minorAscii" w:eastAsiaTheme="minorAscii" w:cstheme="minorAscii"/>
          <w:noProof w:val="0"/>
          <w:color w:val="0070C0"/>
          <w:sz w:val="24"/>
          <w:szCs w:val="24"/>
          <w:lang w:val="en-GB"/>
        </w:rPr>
        <w:t xml:space="preserve">It includes all facilities or places where nutrition services are provided such as IYCF centre, OTP services, health facilities, places where nutrition services are provided, places where distribution happens, places where mothers to </w:t>
      </w:r>
      <w:proofErr w:type="gramStart"/>
      <w:r w:rsidRPr="61DEA0AF" w:rsidR="61DEA0AF">
        <w:rPr>
          <w:rFonts w:ascii="Calibri" w:hAnsi="Calibri" w:eastAsia="Calibri" w:cs="Calibri" w:asciiTheme="minorAscii" w:hAnsiTheme="minorAscii" w:eastAsiaTheme="minorAscii" w:cstheme="minorAscii"/>
          <w:noProof w:val="0"/>
          <w:color w:val="0070C0"/>
          <w:sz w:val="24"/>
          <w:szCs w:val="24"/>
          <w:lang w:val="en-GB"/>
        </w:rPr>
        <w:t>mothers</w:t>
      </w:r>
      <w:proofErr w:type="gramEnd"/>
      <w:r w:rsidRPr="61DEA0AF" w:rsidR="61DEA0AF">
        <w:rPr>
          <w:rFonts w:ascii="Calibri" w:hAnsi="Calibri" w:eastAsia="Calibri" w:cs="Calibri" w:asciiTheme="minorAscii" w:hAnsiTheme="minorAscii" w:eastAsiaTheme="minorAscii" w:cstheme="minorAscii"/>
          <w:noProof w:val="0"/>
          <w:color w:val="0070C0"/>
          <w:sz w:val="24"/>
          <w:szCs w:val="24"/>
          <w:lang w:val="en-GB"/>
        </w:rPr>
        <w:t xml:space="preserve"> groups happen.</w:t>
      </w:r>
    </w:p>
    <w:p w:rsidR="61DEA0AF" w:rsidP="61DEA0AF" w:rsidRDefault="61DEA0AF" w14:paraId="3EFD8824" w14:textId="66B67F6D">
      <w:pPr>
        <w:pStyle w:val="Normal"/>
        <w:jc w:val="left"/>
        <w:rPr>
          <w:rFonts w:ascii="Calibri" w:hAnsi="Calibri" w:eastAsia="Calibri" w:cs="Calibri" w:asciiTheme="minorAscii" w:hAnsiTheme="minorAscii" w:eastAsiaTheme="minorAscii" w:cstheme="minorAscii"/>
          <w:noProof w:val="0"/>
          <w:color w:val="0070C0"/>
          <w:sz w:val="24"/>
          <w:szCs w:val="24"/>
          <w:lang w:val="en-GB"/>
        </w:rPr>
      </w:pPr>
    </w:p>
    <w:p w:rsidR="00737763" w:rsidP="153B97D1" w:rsidRDefault="00B319F6" w14:paraId="03CCC45F" w14:textId="79A49750">
      <w:pPr>
        <w:rPr>
          <w:rFonts w:ascii="Calibri" w:hAnsi="Calibri" w:eastAsia="Calibri" w:cs="Calibri" w:asciiTheme="minorAscii" w:hAnsiTheme="minorAscii" w:eastAsiaTheme="minorAscii" w:cstheme="minorAscii"/>
          <w:sz w:val="24"/>
          <w:szCs w:val="24"/>
        </w:rPr>
      </w:pPr>
      <w:r w:rsidRPr="61DEA0AF" w:rsidR="61DEA0AF">
        <w:rPr>
          <w:rFonts w:ascii="Calibri" w:hAnsi="Calibri" w:eastAsia="Calibri" w:cs="Calibri" w:asciiTheme="minorAscii" w:hAnsiTheme="minorAscii" w:eastAsiaTheme="minorAscii" w:cstheme="minorAscii"/>
          <w:b w:val="1"/>
          <w:bCs w:val="1"/>
          <w:sz w:val="24"/>
          <w:szCs w:val="24"/>
        </w:rPr>
        <w:t>Question 7:</w:t>
      </w:r>
      <w:r w:rsidRPr="61DEA0AF" w:rsidR="61DEA0AF">
        <w:rPr>
          <w:rFonts w:ascii="Calibri" w:hAnsi="Calibri" w:eastAsia="Calibri" w:cs="Calibri" w:asciiTheme="minorAscii" w:hAnsiTheme="minorAscii" w:eastAsiaTheme="minorAscii" w:cstheme="minorAscii"/>
          <w:sz w:val="24"/>
          <w:szCs w:val="24"/>
        </w:rPr>
        <w:t xml:space="preserve"> How can we enhance community awareness and engagement in nutrition programming since community engagement is at the heart of the Community-Based Management of Acute Malnutrition (CMAM) program as well as an important entry point to address GBV risks related to the nutrition programming.</w:t>
      </w:r>
    </w:p>
    <w:p w:rsidR="004E3475" w:rsidP="153B97D1" w:rsidRDefault="00B319F6" w14:paraId="2963E644" w14:textId="18D7551B">
      <w:pPr>
        <w:rPr>
          <w:rFonts w:ascii="Calibri" w:hAnsi="Calibri" w:eastAsia="Calibri" w:cs="Calibri" w:asciiTheme="minorAscii" w:hAnsiTheme="minorAscii" w:eastAsiaTheme="minorAscii" w:cstheme="minorAscii"/>
          <w:color w:val="0070C0"/>
          <w:sz w:val="24"/>
          <w:szCs w:val="24"/>
        </w:rPr>
      </w:pPr>
      <w:r w:rsidRPr="61DEA0AF" w:rsidR="61DEA0AF">
        <w:rPr>
          <w:rFonts w:ascii="Calibri" w:hAnsi="Calibri" w:eastAsia="Calibri" w:cs="Calibri" w:asciiTheme="minorAscii" w:hAnsiTheme="minorAscii" w:eastAsiaTheme="minorAscii" w:cstheme="minorAscii"/>
          <w:b w:val="1"/>
          <w:bCs w:val="1"/>
          <w:color w:val="0070C0"/>
          <w:sz w:val="24"/>
          <w:szCs w:val="24"/>
        </w:rPr>
        <w:t xml:space="preserve">Answer 7: </w:t>
      </w:r>
      <w:r w:rsidRPr="61DEA0AF" w:rsidR="61DEA0AF">
        <w:rPr>
          <w:rFonts w:ascii="Calibri" w:hAnsi="Calibri" w:eastAsia="Calibri" w:cs="Calibri" w:asciiTheme="minorAscii" w:hAnsiTheme="minorAscii" w:eastAsiaTheme="minorAscii" w:cstheme="minorAscii"/>
          <w:color w:val="0070C0"/>
          <w:sz w:val="24"/>
          <w:szCs w:val="24"/>
        </w:rPr>
        <w:t xml:space="preserve">The use of the </w:t>
      </w:r>
      <w:proofErr w:type="spellStart"/>
      <w:r w:rsidRPr="61DEA0AF" w:rsidR="61DEA0AF">
        <w:rPr>
          <w:rFonts w:ascii="Calibri" w:hAnsi="Calibri" w:eastAsia="Calibri" w:cs="Calibri" w:asciiTheme="minorAscii" w:hAnsiTheme="minorAscii" w:eastAsiaTheme="minorAscii" w:cstheme="minorAscii"/>
          <w:color w:val="0070C0"/>
          <w:sz w:val="24"/>
          <w:szCs w:val="24"/>
        </w:rPr>
        <w:t>caregroup</w:t>
      </w:r>
      <w:proofErr w:type="spellEnd"/>
      <w:r w:rsidRPr="61DEA0AF" w:rsidR="61DEA0AF">
        <w:rPr>
          <w:rFonts w:ascii="Calibri" w:hAnsi="Calibri" w:eastAsia="Calibri" w:cs="Calibri" w:asciiTheme="minorAscii" w:hAnsiTheme="minorAscii" w:eastAsiaTheme="minorAscii" w:cstheme="minorAscii"/>
          <w:color w:val="0070C0"/>
          <w:sz w:val="24"/>
          <w:szCs w:val="24"/>
        </w:rPr>
        <w:t xml:space="preserve"> model in scaling up nutrition messaging and mainstreaming nutrition messaging through the </w:t>
      </w:r>
      <w:r w:rsidRPr="61DEA0AF" w:rsidR="61DEA0AF">
        <w:rPr>
          <w:rFonts w:ascii="Calibri" w:hAnsi="Calibri" w:eastAsia="Calibri" w:cs="Calibri" w:asciiTheme="minorAscii" w:hAnsiTheme="minorAscii" w:eastAsiaTheme="minorAscii" w:cstheme="minorAscii"/>
          <w:color w:val="0070C0"/>
          <w:sz w:val="24"/>
          <w:szCs w:val="24"/>
        </w:rPr>
        <w:t>FFS approach and lead farmer approach would help, using TFD and SFD.</w:t>
      </w:r>
    </w:p>
    <w:p w:rsidR="00F7576D" w:rsidP="153B97D1" w:rsidRDefault="00F7576D" w14:paraId="5F492BD7" w14:textId="5A19C798">
      <w:pPr>
        <w:rPr>
          <w:rFonts w:ascii="Calibri" w:hAnsi="Calibri" w:eastAsia="Calibri" w:cs="Calibri" w:asciiTheme="minorAscii" w:hAnsiTheme="minorAscii" w:eastAsiaTheme="minorAscii" w:cstheme="minorAscii"/>
          <w:color w:val="0070C0"/>
          <w:sz w:val="24"/>
          <w:szCs w:val="24"/>
        </w:rPr>
      </w:pPr>
      <w:r w:rsidRPr="153B97D1" w:rsidR="153B97D1">
        <w:rPr>
          <w:rFonts w:ascii="Calibri" w:hAnsi="Calibri" w:eastAsia="Calibri" w:cs="Calibri" w:asciiTheme="minorAscii" w:hAnsiTheme="minorAscii" w:eastAsiaTheme="minorAscii" w:cstheme="minorAscii"/>
          <w:color w:val="0070C0"/>
          <w:sz w:val="24"/>
          <w:szCs w:val="24"/>
        </w:rPr>
        <w:t xml:space="preserve">To address the issues, one </w:t>
      </w:r>
      <w:r w:rsidRPr="153B97D1" w:rsidR="153B97D1">
        <w:rPr>
          <w:rFonts w:ascii="Calibri" w:hAnsi="Calibri" w:eastAsia="Calibri" w:cs="Calibri" w:asciiTheme="minorAscii" w:hAnsiTheme="minorAscii" w:eastAsiaTheme="minorAscii" w:cstheme="minorAscii"/>
          <w:color w:val="0070C0"/>
          <w:sz w:val="24"/>
          <w:szCs w:val="24"/>
        </w:rPr>
        <w:t>option</w:t>
      </w:r>
      <w:r w:rsidRPr="153B97D1" w:rsidR="153B97D1">
        <w:rPr>
          <w:rFonts w:ascii="Calibri" w:hAnsi="Calibri" w:eastAsia="Calibri" w:cs="Calibri" w:asciiTheme="minorAscii" w:hAnsiTheme="minorAscii" w:eastAsiaTheme="minorAscii" w:cstheme="minorAscii"/>
          <w:color w:val="0070C0"/>
          <w:sz w:val="24"/>
          <w:szCs w:val="24"/>
        </w:rPr>
        <w:t xml:space="preserve"> is to advocate for governments and policymakers to promote nutrition key messages.</w:t>
      </w:r>
    </w:p>
    <w:p w:rsidR="00913141" w:rsidP="153B97D1" w:rsidRDefault="00307A3F" w14:paraId="4D2300A9" w14:textId="39B02B2C">
      <w:pPr>
        <w:rPr>
          <w:rFonts w:ascii="Calibri" w:hAnsi="Calibri" w:eastAsia="Calibri" w:cs="Calibri" w:asciiTheme="minorAscii" w:hAnsiTheme="minorAscii" w:eastAsiaTheme="minorAscii" w:cstheme="minorAscii"/>
          <w:color w:val="0070C0"/>
          <w:sz w:val="24"/>
          <w:szCs w:val="24"/>
        </w:rPr>
      </w:pPr>
      <w:r w:rsidRPr="153B97D1" w:rsidR="153B97D1">
        <w:rPr>
          <w:rFonts w:ascii="Calibri" w:hAnsi="Calibri" w:eastAsia="Calibri" w:cs="Calibri" w:asciiTheme="minorAscii" w:hAnsiTheme="minorAscii" w:eastAsiaTheme="minorAscii" w:cstheme="minorAscii"/>
          <w:color w:val="0070C0"/>
          <w:sz w:val="24"/>
          <w:szCs w:val="24"/>
        </w:rPr>
        <w:t>We also introduced birth spacing options for them to delay the second child and plan for their future also taking good care of themselves and the baby.</w:t>
      </w:r>
    </w:p>
    <w:p w:rsidRPr="00DD5DB3" w:rsidR="00B000E4" w:rsidP="153B97D1" w:rsidRDefault="00B000E4" w14:paraId="6BF6790C" w14:textId="77777777">
      <w:pPr>
        <w:rPr>
          <w:rFonts w:ascii="Calibri" w:hAnsi="Calibri" w:eastAsia="Calibri" w:cs="Calibri" w:asciiTheme="minorAscii" w:hAnsiTheme="minorAscii" w:eastAsiaTheme="minorAscii" w:cstheme="minorAscii"/>
          <w:color w:val="0070C0"/>
          <w:sz w:val="24"/>
          <w:szCs w:val="24"/>
        </w:rPr>
      </w:pPr>
    </w:p>
    <w:p w:rsidR="004F788B" w:rsidP="153B97D1" w:rsidRDefault="00B319F6" w14:paraId="114637E7" w14:textId="40855EEC">
      <w:pPr>
        <w:rPr>
          <w:rFonts w:ascii="Calibri" w:hAnsi="Calibri" w:eastAsia="Calibri" w:cs="Calibri" w:asciiTheme="minorAscii" w:hAnsiTheme="minorAscii" w:eastAsiaTheme="minorAscii" w:cstheme="minorAscii"/>
          <w:sz w:val="24"/>
          <w:szCs w:val="24"/>
        </w:rPr>
      </w:pPr>
      <w:r w:rsidRPr="61DEA0AF" w:rsidR="61DEA0AF">
        <w:rPr>
          <w:rFonts w:ascii="Calibri" w:hAnsi="Calibri" w:eastAsia="Calibri" w:cs="Calibri" w:asciiTheme="minorAscii" w:hAnsiTheme="minorAscii" w:eastAsiaTheme="minorAscii" w:cstheme="minorAscii"/>
          <w:b w:val="1"/>
          <w:bCs w:val="1"/>
          <w:sz w:val="24"/>
          <w:szCs w:val="24"/>
        </w:rPr>
        <w:t>Question 8:</w:t>
      </w:r>
      <w:r w:rsidRPr="61DEA0AF" w:rsidR="61DEA0AF">
        <w:rPr>
          <w:rFonts w:ascii="Calibri" w:hAnsi="Calibri" w:eastAsia="Calibri" w:cs="Calibri" w:asciiTheme="minorAscii" w:hAnsiTheme="minorAscii" w:eastAsiaTheme="minorAscii" w:cstheme="minorAscii"/>
          <w:sz w:val="24"/>
          <w:szCs w:val="24"/>
        </w:rPr>
        <w:t xml:space="preserve"> </w:t>
      </w:r>
      <w:proofErr w:type="gramStart"/>
      <w:r w:rsidRPr="61DEA0AF" w:rsidR="61DEA0AF">
        <w:rPr>
          <w:rFonts w:ascii="Calibri" w:hAnsi="Calibri" w:eastAsia="Calibri" w:cs="Calibri" w:asciiTheme="minorAscii" w:hAnsiTheme="minorAscii" w:eastAsiaTheme="minorAscii" w:cstheme="minorAscii"/>
          <w:sz w:val="24"/>
          <w:szCs w:val="24"/>
        </w:rPr>
        <w:t>where</w:t>
      </w:r>
      <w:proofErr w:type="gramEnd"/>
      <w:r w:rsidRPr="61DEA0AF" w:rsidR="61DEA0AF">
        <w:rPr>
          <w:rFonts w:ascii="Calibri" w:hAnsi="Calibri" w:eastAsia="Calibri" w:cs="Calibri" w:asciiTheme="minorAscii" w:hAnsiTheme="minorAscii" w:eastAsiaTheme="minorAscii" w:cstheme="minorAscii"/>
          <w:sz w:val="24"/>
          <w:szCs w:val="24"/>
        </w:rPr>
        <w:t xml:space="preserve"> can we find the gender rapid assessment tool?</w:t>
      </w:r>
    </w:p>
    <w:p w:rsidRPr="0012177B" w:rsidR="00913141" w:rsidP="153B97D1" w:rsidRDefault="00B319F6" w14:paraId="7E832D4B" w14:textId="613D92EC">
      <w:pPr>
        <w:rPr>
          <w:rFonts w:ascii="Calibri" w:hAnsi="Calibri" w:eastAsia="Calibri" w:cs="Calibri" w:asciiTheme="minorAscii" w:hAnsiTheme="minorAscii" w:eastAsiaTheme="minorAscii" w:cstheme="minorAscii"/>
          <w:b w:val="1"/>
          <w:bCs w:val="1"/>
          <w:color w:val="0070C0"/>
          <w:sz w:val="24"/>
          <w:szCs w:val="24"/>
        </w:rPr>
      </w:pPr>
      <w:r w:rsidRPr="61DEA0AF" w:rsidR="61DEA0AF">
        <w:rPr>
          <w:rFonts w:ascii="Calibri" w:hAnsi="Calibri" w:eastAsia="Calibri" w:cs="Calibri" w:asciiTheme="minorAscii" w:hAnsiTheme="minorAscii" w:eastAsiaTheme="minorAscii" w:cstheme="minorAscii"/>
          <w:b w:val="1"/>
          <w:bCs w:val="1"/>
          <w:color w:val="0070C0"/>
          <w:sz w:val="24"/>
          <w:szCs w:val="24"/>
        </w:rPr>
        <w:t xml:space="preserve">Answer 8: </w:t>
      </w:r>
      <w:r w:rsidRPr="61DEA0AF" w:rsidR="61DEA0AF">
        <w:rPr>
          <w:rFonts w:ascii="Calibri" w:hAnsi="Calibri" w:eastAsia="Calibri" w:cs="Calibri" w:asciiTheme="minorAscii" w:hAnsiTheme="minorAscii" w:eastAsiaTheme="minorAscii" w:cstheme="minorAscii"/>
          <w:color w:val="0070C0"/>
          <w:sz w:val="24"/>
          <w:szCs w:val="24"/>
        </w:rPr>
        <w:t xml:space="preserve">Humanitarian </w:t>
      </w:r>
      <w:proofErr w:type="spellStart"/>
      <w:r w:rsidRPr="61DEA0AF" w:rsidR="61DEA0AF">
        <w:rPr>
          <w:rFonts w:ascii="Calibri" w:hAnsi="Calibri" w:eastAsia="Calibri" w:cs="Calibri" w:asciiTheme="minorAscii" w:hAnsiTheme="minorAscii" w:eastAsiaTheme="minorAscii" w:cstheme="minorAscii"/>
          <w:color w:val="0070C0"/>
          <w:sz w:val="24"/>
          <w:szCs w:val="24"/>
        </w:rPr>
        <w:t>Programme</w:t>
      </w:r>
      <w:proofErr w:type="spellEnd"/>
      <w:r w:rsidRPr="61DEA0AF" w:rsidR="61DEA0AF">
        <w:rPr>
          <w:rFonts w:ascii="Calibri" w:hAnsi="Calibri" w:eastAsia="Calibri" w:cs="Calibri" w:asciiTheme="minorAscii" w:hAnsiTheme="minorAscii" w:eastAsiaTheme="minorAscii" w:cstheme="minorAscii"/>
          <w:color w:val="0070C0"/>
          <w:sz w:val="24"/>
          <w:szCs w:val="24"/>
        </w:rPr>
        <w:t xml:space="preserve"> Cycle (HPC) Toolkit on GBV Risk Mitigation </w:t>
      </w:r>
      <w:proofErr w:type="gramStart"/>
      <w:r w:rsidRPr="61DEA0AF" w:rsidR="61DEA0AF">
        <w:rPr>
          <w:rFonts w:ascii="Calibri" w:hAnsi="Calibri" w:eastAsia="Calibri" w:cs="Calibri" w:asciiTheme="minorAscii" w:hAnsiTheme="minorAscii" w:eastAsiaTheme="minorAscii" w:cstheme="minorAscii"/>
          <w:color w:val="0070C0"/>
          <w:sz w:val="24"/>
          <w:szCs w:val="24"/>
        </w:rPr>
        <w:t>for  Nutrition</w:t>
      </w:r>
      <w:proofErr w:type="gramEnd"/>
      <w:r w:rsidRPr="61DEA0AF" w:rsidR="61DEA0AF">
        <w:rPr>
          <w:rFonts w:ascii="Calibri" w:hAnsi="Calibri" w:eastAsia="Calibri" w:cs="Calibri" w:asciiTheme="minorAscii" w:hAnsiTheme="minorAscii" w:eastAsiaTheme="minorAscii" w:cstheme="minorAscii"/>
          <w:color w:val="0070C0"/>
          <w:sz w:val="24"/>
          <w:szCs w:val="24"/>
        </w:rPr>
        <w:t xml:space="preserve"> Clusters: </w:t>
      </w:r>
      <w:hyperlink r:id="Rd8b38d1be4174eed">
        <w:r w:rsidRPr="61DEA0AF" w:rsidR="61DEA0AF">
          <w:rPr>
            <w:rStyle w:val="Hyperlink"/>
            <w:rFonts w:ascii="Calibri" w:hAnsi="Calibri" w:eastAsia="Calibri" w:cs="Calibri" w:asciiTheme="minorAscii" w:hAnsiTheme="minorAscii" w:eastAsiaTheme="minorAscii" w:cstheme="minorAscii"/>
            <w:sz w:val="24"/>
            <w:szCs w:val="24"/>
          </w:rPr>
          <w:t>https://gbvguidelines.org/en/documents/humanitarian-programme-cycle-hpc-toolkit-for-nutrition-cluster/</w:t>
        </w:r>
      </w:hyperlink>
      <w:r w:rsidRPr="61DEA0AF" w:rsidR="61DEA0AF">
        <w:rPr>
          <w:rFonts w:ascii="Calibri" w:hAnsi="Calibri" w:eastAsia="Calibri" w:cs="Calibri" w:asciiTheme="minorAscii" w:hAnsiTheme="minorAscii" w:eastAsiaTheme="minorAscii" w:cstheme="minorAscii"/>
          <w:b w:val="1"/>
          <w:bCs w:val="1"/>
          <w:color w:val="0070C0"/>
          <w:sz w:val="24"/>
          <w:szCs w:val="24"/>
        </w:rPr>
        <w:t xml:space="preserve"> </w:t>
      </w:r>
    </w:p>
    <w:p w:rsidR="0012177B" w:rsidP="153B97D1" w:rsidRDefault="0012177B" w14:paraId="6094BC8A" w14:textId="77777777">
      <w:pPr>
        <w:rPr>
          <w:rFonts w:ascii="Calibri" w:hAnsi="Calibri" w:eastAsia="Calibri" w:cs="Calibri" w:asciiTheme="minorAscii" w:hAnsiTheme="minorAscii" w:eastAsiaTheme="minorAscii" w:cstheme="minorAscii"/>
          <w:color w:val="0070C0"/>
          <w:sz w:val="24"/>
          <w:szCs w:val="24"/>
        </w:rPr>
      </w:pPr>
    </w:p>
    <w:p w:rsidR="0012177B" w:rsidP="153B97D1" w:rsidRDefault="00F27650" w14:paraId="5C141A0E" w14:textId="1A774A8E">
      <w:pPr>
        <w:rPr>
          <w:rFonts w:ascii="Calibri" w:hAnsi="Calibri" w:eastAsia="Calibri" w:cs="Calibri" w:asciiTheme="minorAscii" w:hAnsiTheme="minorAscii" w:eastAsiaTheme="minorAscii" w:cstheme="minorAscii"/>
          <w:sz w:val="24"/>
          <w:szCs w:val="24"/>
        </w:rPr>
      </w:pPr>
      <w:r w:rsidRPr="61DEA0AF" w:rsidR="61DEA0AF">
        <w:rPr>
          <w:rFonts w:ascii="Calibri" w:hAnsi="Calibri" w:eastAsia="Calibri" w:cs="Calibri" w:asciiTheme="minorAscii" w:hAnsiTheme="minorAscii" w:eastAsiaTheme="minorAscii" w:cstheme="minorAscii"/>
          <w:b w:val="1"/>
          <w:bCs w:val="1"/>
          <w:sz w:val="24"/>
          <w:szCs w:val="24"/>
        </w:rPr>
        <w:t xml:space="preserve">Question 9: </w:t>
      </w:r>
      <w:r w:rsidRPr="61DEA0AF" w:rsidR="61DEA0AF">
        <w:rPr>
          <w:rFonts w:ascii="Calibri" w:hAnsi="Calibri" w:eastAsia="Calibri" w:cs="Calibri" w:asciiTheme="minorAscii" w:hAnsiTheme="minorAscii" w:eastAsiaTheme="minorAscii" w:cstheme="minorAscii"/>
          <w:sz w:val="24"/>
          <w:szCs w:val="24"/>
        </w:rPr>
        <w:t>Kindly request to share the presentation including guidance tools related to GBV -Nutrition HRP.</w:t>
      </w:r>
    </w:p>
    <w:p w:rsidRPr="00F27650" w:rsidR="00F27650" w:rsidP="153B97D1" w:rsidRDefault="00F27650" w14:paraId="07453023" w14:textId="7F272BE2">
      <w:pPr>
        <w:rPr>
          <w:rFonts w:ascii="Calibri" w:hAnsi="Calibri" w:eastAsia="Calibri" w:cs="Calibri" w:asciiTheme="minorAscii" w:hAnsiTheme="minorAscii" w:eastAsiaTheme="minorAscii" w:cstheme="minorAscii"/>
          <w:b w:val="1"/>
          <w:bCs w:val="1"/>
          <w:color w:val="0070C0"/>
          <w:sz w:val="24"/>
          <w:szCs w:val="24"/>
        </w:rPr>
      </w:pPr>
      <w:r w:rsidRPr="61DEA0AF" w:rsidR="61DEA0AF">
        <w:rPr>
          <w:rFonts w:ascii="Calibri" w:hAnsi="Calibri" w:eastAsia="Calibri" w:cs="Calibri" w:asciiTheme="minorAscii" w:hAnsiTheme="minorAscii" w:eastAsiaTheme="minorAscii" w:cstheme="minorAscii"/>
          <w:b w:val="1"/>
          <w:bCs w:val="1"/>
          <w:color w:val="0070C0"/>
          <w:sz w:val="24"/>
          <w:szCs w:val="24"/>
        </w:rPr>
        <w:t xml:space="preserve">Answer 9: </w:t>
      </w:r>
      <w:r w:rsidRPr="61DEA0AF" w:rsidR="61DEA0AF">
        <w:rPr>
          <w:rFonts w:ascii="Calibri" w:hAnsi="Calibri" w:eastAsia="Calibri" w:cs="Calibri" w:asciiTheme="minorAscii" w:hAnsiTheme="minorAscii" w:eastAsiaTheme="minorAscii" w:cstheme="minorAscii"/>
          <w:color w:val="0070C0"/>
          <w:sz w:val="24"/>
          <w:szCs w:val="24"/>
        </w:rPr>
        <w:t xml:space="preserve">Recording and presentation slides can be found in GNC Technical Alliance website, here: </w:t>
      </w:r>
      <w:hyperlink r:id="R5db7ff6657db4404">
        <w:r w:rsidRPr="61DEA0AF" w:rsidR="61DEA0AF">
          <w:rPr>
            <w:rStyle w:val="Hyperlink"/>
            <w:rFonts w:ascii="Calibri" w:hAnsi="Calibri" w:eastAsia="Calibri" w:cs="Calibri" w:asciiTheme="minorAscii" w:hAnsiTheme="minorAscii" w:eastAsiaTheme="minorAscii" w:cstheme="minorAscii"/>
            <w:sz w:val="24"/>
            <w:szCs w:val="24"/>
          </w:rPr>
          <w:t>https://ta.nutritioncluster.net/GBV-risk-mitigation-HRP-webinar</w:t>
        </w:r>
      </w:hyperlink>
      <w:r w:rsidRPr="61DEA0AF" w:rsidR="61DEA0AF">
        <w:rPr>
          <w:rFonts w:ascii="Calibri" w:hAnsi="Calibri" w:eastAsia="Calibri" w:cs="Calibri" w:asciiTheme="minorAscii" w:hAnsiTheme="minorAscii" w:eastAsiaTheme="minorAscii" w:cstheme="minorAscii"/>
          <w:b w:val="1"/>
          <w:bCs w:val="1"/>
          <w:color w:val="0070C0"/>
          <w:sz w:val="24"/>
          <w:szCs w:val="24"/>
        </w:rPr>
        <w:t xml:space="preserve"> </w:t>
      </w:r>
    </w:p>
    <w:p w:rsidRPr="0045529C" w:rsidR="0045529C" w:rsidP="153B97D1" w:rsidRDefault="0045529C" w14:paraId="4549E584" w14:textId="77777777">
      <w:pPr>
        <w:rPr>
          <w:rFonts w:ascii="Calibri" w:hAnsi="Calibri" w:eastAsia="Calibri" w:cs="Calibri" w:asciiTheme="minorAscii" w:hAnsiTheme="minorAscii" w:eastAsiaTheme="minorAscii" w:cstheme="minorAscii"/>
          <w:b w:val="1"/>
          <w:bCs w:val="1"/>
          <w:sz w:val="24"/>
          <w:szCs w:val="24"/>
        </w:rPr>
      </w:pPr>
    </w:p>
    <w:p w:rsidRPr="00DD5DB3" w:rsidR="00FE6000" w:rsidP="153B97D1" w:rsidRDefault="004F788B" w14:paraId="5C2984C1" w14:textId="64FAAE3C">
      <w:pPr>
        <w:rPr>
          <w:rFonts w:ascii="Calibri" w:hAnsi="Calibri" w:eastAsia="Calibri" w:cs="Calibri" w:asciiTheme="minorAscii" w:hAnsiTheme="minorAscii" w:eastAsiaTheme="minorAscii" w:cstheme="minorAscii"/>
          <w:color w:val="0070C0"/>
          <w:sz w:val="24"/>
          <w:szCs w:val="24"/>
        </w:rPr>
      </w:pPr>
      <w:r w:rsidRPr="153B97D1" w:rsidR="153B97D1">
        <w:rPr>
          <w:rFonts w:ascii="Calibri" w:hAnsi="Calibri" w:eastAsia="Calibri" w:cs="Calibri" w:asciiTheme="minorAscii" w:hAnsiTheme="minorAscii" w:eastAsiaTheme="minorAscii" w:cstheme="minorAscii"/>
          <w:b w:val="1"/>
          <w:bCs w:val="1"/>
          <w:sz w:val="24"/>
          <w:szCs w:val="24"/>
        </w:rPr>
        <w:t xml:space="preserve">For any </w:t>
      </w:r>
      <w:r w:rsidRPr="153B97D1" w:rsidR="153B97D1">
        <w:rPr>
          <w:rFonts w:ascii="Calibri" w:hAnsi="Calibri" w:eastAsia="Calibri" w:cs="Calibri" w:asciiTheme="minorAscii" w:hAnsiTheme="minorAscii" w:eastAsiaTheme="minorAscii" w:cstheme="minorAscii"/>
          <w:b w:val="1"/>
          <w:bCs w:val="1"/>
          <w:sz w:val="24"/>
          <w:szCs w:val="24"/>
        </w:rPr>
        <w:t>additional</w:t>
      </w:r>
      <w:r w:rsidRPr="153B97D1" w:rsidR="153B97D1">
        <w:rPr>
          <w:rFonts w:ascii="Calibri" w:hAnsi="Calibri" w:eastAsia="Calibri" w:cs="Calibri" w:asciiTheme="minorAscii" w:hAnsiTheme="minorAscii" w:eastAsiaTheme="minorAscii" w:cstheme="minorAscii"/>
          <w:b w:val="1"/>
          <w:bCs w:val="1"/>
          <w:sz w:val="24"/>
          <w:szCs w:val="24"/>
        </w:rPr>
        <w:t xml:space="preserve"> questions, please contact: </w:t>
      </w:r>
      <w:r w:rsidRPr="153B97D1" w:rsidR="153B97D1">
        <w:rPr>
          <w:rFonts w:ascii="Calibri" w:hAnsi="Calibri" w:eastAsia="Calibri" w:cs="Calibri" w:asciiTheme="minorAscii" w:hAnsiTheme="minorAscii" w:eastAsiaTheme="minorAscii" w:cstheme="minorAscii"/>
          <w:sz w:val="24"/>
          <w:szCs w:val="24"/>
        </w:rPr>
        <w:t xml:space="preserve">Pamela Marie Godoy </w:t>
      </w:r>
      <w:hyperlink r:id="Rc857d43ee9c74cb2">
        <w:r w:rsidRPr="153B97D1" w:rsidR="153B97D1">
          <w:rPr>
            <w:rStyle w:val="Hyperlink"/>
            <w:rFonts w:ascii="Calibri" w:hAnsi="Calibri" w:eastAsia="Calibri" w:cs="Calibri" w:asciiTheme="minorAscii" w:hAnsiTheme="minorAscii" w:eastAsiaTheme="minorAscii" w:cstheme="minorAscii"/>
            <w:sz w:val="24"/>
            <w:szCs w:val="24"/>
          </w:rPr>
          <w:t>pgodoy@unicef.org</w:t>
        </w:r>
      </w:hyperlink>
      <w:r w:rsidRPr="153B97D1" w:rsidR="153B97D1">
        <w:rPr>
          <w:rFonts w:ascii="Calibri" w:hAnsi="Calibri" w:eastAsia="Calibri" w:cs="Calibri" w:asciiTheme="minorAscii" w:hAnsiTheme="minorAscii" w:eastAsiaTheme="minorAscii" w:cstheme="minorAscii"/>
          <w:sz w:val="24"/>
          <w:szCs w:val="24"/>
        </w:rPr>
        <w:t xml:space="preserve"> </w:t>
      </w:r>
    </w:p>
    <w:sectPr w:rsidRPr="00DD5DB3" w:rsidR="00FE6000" w:rsidSect="008E72BA">
      <w:pgSz w:w="12240" w:h="15840" w:orient="portrait"/>
      <w:pgMar w:top="1440" w:right="1440" w:bottom="1440" w:left="1440" w:header="708" w:footer="708" w:gutter="0"/>
      <w:cols w:space="708"/>
      <w:docGrid w:linePitch="360"/>
      <w:headerReference w:type="default" r:id="Ra4da8464e24c43c3"/>
      <w:footerReference w:type="default" r:id="R5e71ae9b22c343d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3B97D1" w:rsidTr="153B97D1" w14:paraId="4094105C">
      <w:tc>
        <w:tcPr>
          <w:tcW w:w="3120" w:type="dxa"/>
          <w:tcMar/>
        </w:tcPr>
        <w:p w:rsidR="153B97D1" w:rsidP="153B97D1" w:rsidRDefault="153B97D1" w14:paraId="42F77811" w14:textId="30378B65">
          <w:pPr>
            <w:pStyle w:val="Header"/>
            <w:bidi w:val="0"/>
            <w:ind w:left="-115"/>
            <w:jc w:val="left"/>
          </w:pPr>
        </w:p>
      </w:tc>
      <w:tc>
        <w:tcPr>
          <w:tcW w:w="3120" w:type="dxa"/>
          <w:tcMar/>
        </w:tcPr>
        <w:p w:rsidR="153B97D1" w:rsidP="153B97D1" w:rsidRDefault="153B97D1" w14:paraId="371F9F21" w14:textId="3724D1A9">
          <w:pPr>
            <w:pStyle w:val="Header"/>
            <w:bidi w:val="0"/>
            <w:jc w:val="center"/>
          </w:pPr>
        </w:p>
      </w:tc>
      <w:tc>
        <w:tcPr>
          <w:tcW w:w="3120" w:type="dxa"/>
          <w:tcMar/>
        </w:tcPr>
        <w:p w:rsidR="153B97D1" w:rsidP="153B97D1" w:rsidRDefault="153B97D1" w14:paraId="4CDB2F18" w14:textId="4F8D76B0">
          <w:pPr>
            <w:pStyle w:val="Header"/>
            <w:bidi w:val="0"/>
            <w:ind w:right="-115"/>
            <w:jc w:val="right"/>
          </w:pPr>
        </w:p>
      </w:tc>
    </w:tr>
  </w:tbl>
  <w:p w:rsidR="153B97D1" w:rsidP="153B97D1" w:rsidRDefault="153B97D1" w14:paraId="7A7FAAEF" w14:textId="1FDF3E5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3B97D1" w:rsidTr="153B97D1" w14:paraId="31F84EFA">
      <w:tc>
        <w:tcPr>
          <w:tcW w:w="3120" w:type="dxa"/>
          <w:tcMar/>
        </w:tcPr>
        <w:p w:rsidR="153B97D1" w:rsidP="153B97D1" w:rsidRDefault="153B97D1" w14:paraId="3F59B287" w14:textId="4858338E">
          <w:pPr>
            <w:pStyle w:val="Header"/>
            <w:bidi w:val="0"/>
            <w:ind w:left="-115"/>
            <w:jc w:val="left"/>
          </w:pPr>
        </w:p>
      </w:tc>
      <w:tc>
        <w:tcPr>
          <w:tcW w:w="3120" w:type="dxa"/>
          <w:tcMar/>
        </w:tcPr>
        <w:p w:rsidR="153B97D1" w:rsidP="153B97D1" w:rsidRDefault="153B97D1" w14:paraId="1B4F0F1C" w14:textId="08B40B9E">
          <w:pPr>
            <w:pStyle w:val="Header"/>
            <w:bidi w:val="0"/>
            <w:jc w:val="center"/>
          </w:pPr>
        </w:p>
      </w:tc>
      <w:tc>
        <w:tcPr>
          <w:tcW w:w="3120" w:type="dxa"/>
          <w:tcMar/>
        </w:tcPr>
        <w:p w:rsidR="153B97D1" w:rsidP="153B97D1" w:rsidRDefault="153B97D1" w14:paraId="1DAB9817" w14:textId="28B2A457">
          <w:pPr>
            <w:pStyle w:val="Header"/>
            <w:bidi w:val="0"/>
            <w:ind w:right="-115"/>
            <w:jc w:val="right"/>
          </w:pPr>
        </w:p>
      </w:tc>
    </w:tr>
  </w:tbl>
  <w:p w:rsidR="153B97D1" w:rsidP="153B97D1" w:rsidRDefault="153B97D1" w14:paraId="3E7912E3" w14:textId="6447BC7A">
    <w:pPr>
      <w:pStyle w:val="Header"/>
      <w:bidi w:val="0"/>
    </w:pPr>
  </w:p>
</w:hdr>
</file>

<file path=word/numbering.xml><?xml version="1.0" encoding="utf-8"?>
<w:numbering xmlns:w="http://schemas.openxmlformats.org/wordprocessingml/2006/main">
  <w:abstractNum xmlns:w="http://schemas.openxmlformats.org/wordprocessingml/2006/main" w:abstractNumId="5">
    <w:nsid w:val="4d062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fd93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dcdd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00a1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2ccd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7"/>
    <w:rsid w:val="00045C59"/>
    <w:rsid w:val="00061BC4"/>
    <w:rsid w:val="00064F4F"/>
    <w:rsid w:val="00104206"/>
    <w:rsid w:val="0010730C"/>
    <w:rsid w:val="0012177B"/>
    <w:rsid w:val="001C7FDE"/>
    <w:rsid w:val="001E5900"/>
    <w:rsid w:val="002134CE"/>
    <w:rsid w:val="0022647C"/>
    <w:rsid w:val="00241F3A"/>
    <w:rsid w:val="00244646"/>
    <w:rsid w:val="00277994"/>
    <w:rsid w:val="002951AA"/>
    <w:rsid w:val="002E7E98"/>
    <w:rsid w:val="00307A3F"/>
    <w:rsid w:val="003549EE"/>
    <w:rsid w:val="00381C2F"/>
    <w:rsid w:val="003E13EB"/>
    <w:rsid w:val="00422AAB"/>
    <w:rsid w:val="00444A4F"/>
    <w:rsid w:val="0045529C"/>
    <w:rsid w:val="004B1C2F"/>
    <w:rsid w:val="004E3475"/>
    <w:rsid w:val="004F788B"/>
    <w:rsid w:val="005200DF"/>
    <w:rsid w:val="00532140"/>
    <w:rsid w:val="00580FB8"/>
    <w:rsid w:val="005A49CE"/>
    <w:rsid w:val="006132F1"/>
    <w:rsid w:val="006554D8"/>
    <w:rsid w:val="006A6F34"/>
    <w:rsid w:val="00710EAC"/>
    <w:rsid w:val="007135CA"/>
    <w:rsid w:val="00737763"/>
    <w:rsid w:val="00776526"/>
    <w:rsid w:val="00786D73"/>
    <w:rsid w:val="00832C25"/>
    <w:rsid w:val="008453C7"/>
    <w:rsid w:val="00865C90"/>
    <w:rsid w:val="008E72BA"/>
    <w:rsid w:val="008F7CA6"/>
    <w:rsid w:val="00903454"/>
    <w:rsid w:val="00905E73"/>
    <w:rsid w:val="00913141"/>
    <w:rsid w:val="009A5467"/>
    <w:rsid w:val="009C6220"/>
    <w:rsid w:val="009F6EC9"/>
    <w:rsid w:val="00A10B39"/>
    <w:rsid w:val="00A5672E"/>
    <w:rsid w:val="00AC30AE"/>
    <w:rsid w:val="00AE43BC"/>
    <w:rsid w:val="00AF0BEF"/>
    <w:rsid w:val="00B000E4"/>
    <w:rsid w:val="00B1330D"/>
    <w:rsid w:val="00B319F6"/>
    <w:rsid w:val="00B71119"/>
    <w:rsid w:val="00B87639"/>
    <w:rsid w:val="00BA43F3"/>
    <w:rsid w:val="00C62B85"/>
    <w:rsid w:val="00CC3063"/>
    <w:rsid w:val="00DC6BE7"/>
    <w:rsid w:val="00DD3BD9"/>
    <w:rsid w:val="00DD5DB3"/>
    <w:rsid w:val="00E54425"/>
    <w:rsid w:val="00E90E1F"/>
    <w:rsid w:val="00EE238C"/>
    <w:rsid w:val="00F01E0B"/>
    <w:rsid w:val="00F27650"/>
    <w:rsid w:val="00F32C44"/>
    <w:rsid w:val="00F7576D"/>
    <w:rsid w:val="00FD6607"/>
    <w:rsid w:val="00FE6000"/>
    <w:rsid w:val="00FF0067"/>
    <w:rsid w:val="153B97D1"/>
    <w:rsid w:val="49AE4728"/>
    <w:rsid w:val="61DEA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35DC"/>
  <w15:chartTrackingRefBased/>
  <w15:docId w15:val="{110B9E53-E527-4CC6-BC40-0F1C6059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319F6"/>
    <w:rPr>
      <w:color w:val="0000FF" w:themeColor="hyperlink"/>
      <w:u w:val="single"/>
    </w:rPr>
  </w:style>
  <w:style w:type="character" w:styleId="UnresolvedMention">
    <w:name w:val="Unresolved Mention"/>
    <w:basedOn w:val="DefaultParagraphFont"/>
    <w:uiPriority w:val="99"/>
    <w:semiHidden/>
    <w:unhideWhenUsed/>
    <w:rsid w:val="00B319F6"/>
    <w:rPr>
      <w:color w:val="605E5C"/>
      <w:shd w:val="clear" w:color="auto" w:fill="E1DFDD"/>
    </w:rPr>
  </w:style>
  <w:style w:type="character" w:styleId="FollowedHyperlink">
    <w:name w:val="FollowedHyperlink"/>
    <w:basedOn w:val="DefaultParagraphFont"/>
    <w:uiPriority w:val="99"/>
    <w:semiHidden/>
    <w:unhideWhenUsed/>
    <w:rsid w:val="0010730C"/>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11/relationships/people" Target="people.xml" Id="R9cf2e4e2eefe46bd" /><Relationship Type="http://schemas.microsoft.com/office/2011/relationships/commentsExtended" Target="commentsExtended.xml" Id="R1564d300024e4799" /><Relationship Type="http://schemas.microsoft.com/office/2016/09/relationships/commentsIds" Target="commentsIds.xml" Id="R65c44600b4da403d" /><Relationship Type="http://schemas.openxmlformats.org/officeDocument/2006/relationships/hyperlink" Target="https://gbvguidelines.org/wp/wp-content/uploads/2015/09/TAG-nutrition-08_26_2015.pdf" TargetMode="External" Id="Rbbd57b20d7bf40cb" /><Relationship Type="http://schemas.openxmlformats.org/officeDocument/2006/relationships/hyperlink" Target="https://gbvguidelines.org/en/pocketguide/" TargetMode="External" Id="Rc196609e31964eca" /><Relationship Type="http://schemas.openxmlformats.org/officeDocument/2006/relationships/hyperlink" Target="https://www.nutritioncluster.net/sites/nutritioncluster.com/files/2021-06/NC_Nutrition%20Humanitarian%20Needs%20Analysis%20Guidance_V2_0.pdf" TargetMode="External" Id="R16aed36ab2df47ad" /><Relationship Type="http://schemas.openxmlformats.org/officeDocument/2006/relationships/hyperlink" Target="mailto:pgodoy@unicef.org" TargetMode="External" Id="Rc857d43ee9c74cb2" /><Relationship Type="http://schemas.openxmlformats.org/officeDocument/2006/relationships/header" Target="header.xml" Id="Ra4da8464e24c43c3" /><Relationship Type="http://schemas.openxmlformats.org/officeDocument/2006/relationships/footer" Target="footer.xml" Id="R5e71ae9b22c343d5" /><Relationship Type="http://schemas.openxmlformats.org/officeDocument/2006/relationships/numbering" Target="numbering.xml" Id="R45b3bb6d686b4e7e" /><Relationship Type="http://schemas.openxmlformats.org/officeDocument/2006/relationships/hyperlink" Target="https://cac-word-edit.officeapps.live.com/we/wordeditorframe.aspx?ui=en%2DUS&amp;rs=en%2DUS&amp;wopisrc=https%3A%2F%2Faahcanada.sharepoint.com%2Fsites%2FGNCTechnicalAlliance%2F_vti_bin%2Fwopi.ashx%2Ffiles%2F666cb808c3094253ac72bd6d6c6fed72&amp;wdenableroaming=1&amp;mscc=0&amp;hid=C5B568A0-90F8-2000-81F0-33416987111A&amp;wdorigin=Sharing&amp;jsapi=1&amp;jsapiver=v1&amp;newsession=1&amp;corrid=eb889356-c95e-4bd6-89b1-744e793cc20e&amp;usid=eb889356-c95e-4bd6-89b1-744e793cc20e&amp;sftc=1&amp;cac=1&amp;mtf=1&amp;sfp=1&amp;instantedit=1&amp;wopicomplete=1&amp;wdredirectionreason=Unified_SingleFlush&amp;rct=Medium&amp;ctp=LeastProtected" TargetMode="External" Id="Ra3aadd9c1a924496" /><Relationship Type="http://schemas.openxmlformats.org/officeDocument/2006/relationships/hyperlink" Target="https://cac-word-edit.officeapps.live.com/we/wordeditorframe.aspx?ui=en%2DUS&amp;rs=en%2DUS&amp;wopisrc=https%3A%2F%2Faahcanada.sharepoint.com%2Fsites%2FGNCTechnicalAlliance%2F_vti_bin%2Fwopi.ashx%2Ffiles%2F666cb808c3094253ac72bd6d6c6fed72&amp;wdenableroaming=1&amp;mscc=0&amp;hid=C5B568A0-90F8-2000-81F0-33416987111A&amp;wdorigin=Sharing&amp;jsapi=1&amp;jsapiver=v1&amp;newsession=1&amp;corrid=eb889356-c95e-4bd6-89b1-744e793cc20e&amp;usid=eb889356-c95e-4bd6-89b1-744e793cc20e&amp;sftc=1&amp;cac=1&amp;mtf=1&amp;sfp=1&amp;instantedit=1&amp;wopicomplete=1&amp;wdredirectionreason=Unified_SingleFlush&amp;rct=Medium&amp;ctp=LeastProtected" TargetMode="External" Id="R5fd439d28659484f" /><Relationship Type="http://schemas.openxmlformats.org/officeDocument/2006/relationships/hyperlink" Target="https://gbvguidelines.org/en/documents/humanitarian-programme-cycle-hpc-toolkit-for-nutrition-cluster/" TargetMode="External" Id="Rd8b38d1be4174eed" /><Relationship Type="http://schemas.openxmlformats.org/officeDocument/2006/relationships/hyperlink" Target="https://ta.nutritioncluster.net/GBV-risk-mitigation-HRP-webinar" TargetMode="External" Id="R5db7ff6657db4404"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2DA91-7305-4499-86DD-2488839C1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358d-e310-4d04-b43f-541cad9994cd"/>
    <ds:schemaRef ds:uri="7a9f276f-f162-4cb8-9653-eafef4bd0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869DF-5997-40DE-9309-6C9B2D49C68B}">
  <ds:schemaRefs>
    <ds:schemaRef ds:uri="http://schemas.microsoft.com/office/2006/metadata/properties"/>
    <ds:schemaRef ds:uri="http://schemas.microsoft.com/office/infopath/2007/PartnerControls"/>
    <ds:schemaRef ds:uri="7a9f276f-f162-4cb8-9653-eafef4bd0861"/>
    <ds:schemaRef ds:uri="b545358d-e310-4d04-b43f-541cad9994cd"/>
  </ds:schemaRefs>
</ds:datastoreItem>
</file>

<file path=customXml/itemProps3.xml><?xml version="1.0" encoding="utf-8"?>
<ds:datastoreItem xmlns:ds="http://schemas.openxmlformats.org/officeDocument/2006/customXml" ds:itemID="{143FB505-7C8B-47DC-8CCE-84A0CB6A1A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Sanja Segvic</dc:creator>
  <keywords/>
  <dc:description/>
  <lastModifiedBy>Guest User</lastModifiedBy>
  <revision>70</revision>
  <dcterms:created xsi:type="dcterms:W3CDTF">2022-06-23T11:26:00.0000000Z</dcterms:created>
  <dcterms:modified xsi:type="dcterms:W3CDTF">2022-09-27T11:20:12.2468080Z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y fmtid="{D5CDD505-2E9C-101B-9397-08002B2CF9AE}" pid="3" name="MediaServiceImageTags">
    <vt:lpwstr/>
  </property>
</Properties>
</file>