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2A963" w14:textId="77777777" w:rsidR="00D313CF" w:rsidRPr="00CA2973" w:rsidRDefault="00D40B39" w:rsidP="00A966A3">
      <w:pPr>
        <w:ind w:right="-1440"/>
      </w:pPr>
      <w:r>
        <w:rPr>
          <w:rFonts w:ascii="Arial" w:hAnsi="Arial"/>
          <w:b/>
          <w:noProof/>
          <w:color w:val="000000"/>
        </w:rPr>
        <w:drawing>
          <wp:anchor distT="0" distB="0" distL="114300" distR="114300" simplePos="0" relativeHeight="251872256" behindDoc="0" locked="0" layoutInCell="1" allowOverlap="1" wp14:anchorId="3041412D" wp14:editId="526E17E4">
            <wp:simplePos x="0" y="0"/>
            <wp:positionH relativeFrom="margin">
              <wp:posOffset>4605655</wp:posOffset>
            </wp:positionH>
            <wp:positionV relativeFrom="paragraph">
              <wp:posOffset>0</wp:posOffset>
            </wp:positionV>
            <wp:extent cx="1803400" cy="55880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55880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7456" behindDoc="0" locked="0" layoutInCell="1" allowOverlap="1" wp14:anchorId="6497622D" wp14:editId="1E9E4080">
                <wp:simplePos x="0" y="0"/>
                <wp:positionH relativeFrom="page">
                  <wp:posOffset>3411855</wp:posOffset>
                </wp:positionH>
                <wp:positionV relativeFrom="paragraph">
                  <wp:posOffset>0</wp:posOffset>
                </wp:positionV>
                <wp:extent cx="1600200" cy="939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39800"/>
                        </a:xfrm>
                        <a:prstGeom prst="rect">
                          <a:avLst/>
                        </a:prstGeom>
                        <a:solidFill>
                          <a:srgbClr val="FFFFFF"/>
                        </a:solidFill>
                        <a:ln w="9525">
                          <a:noFill/>
                          <a:miter lim="800000"/>
                          <a:headEnd/>
                          <a:tailEnd/>
                        </a:ln>
                      </wps:spPr>
                      <wps:txbx>
                        <w:txbxContent>
                          <w:p w14:paraId="1BACFF24" w14:textId="77777777" w:rsidR="00F61302" w:rsidRPr="00D40B39" w:rsidRDefault="00F61302" w:rsidP="00D40B39">
                            <w:pPr>
                              <w:rPr>
                                <w:rFonts w:ascii="Arial" w:hAnsi="Arial" w:cs="Arial"/>
                                <w:color w:val="808285"/>
                                <w:sz w:val="36"/>
                                <w:szCs w:val="22"/>
                              </w:rPr>
                            </w:pPr>
                            <w:r>
                              <w:rPr>
                                <w:rFonts w:ascii="Arial" w:hAnsi="Arial"/>
                                <w:color w:val="808285"/>
                                <w:sz w:val="36"/>
                              </w:rPr>
                              <w:t>CLUSTER NUTRITION Global</w:t>
                            </w:r>
                          </w:p>
                          <w:p w14:paraId="56C4D4E1" w14:textId="77777777" w:rsidR="00F61302" w:rsidRPr="00D40B39" w:rsidRDefault="00F61302" w:rsidP="00D40B39">
                            <w:pPr>
                              <w:rPr>
                                <w:rFonts w:ascii="Arial" w:hAnsi="Arial" w:cs="Arial"/>
                                <w:b/>
                                <w:color w:val="95C93D"/>
                                <w:sz w:val="40"/>
                                <w:szCs w:val="22"/>
                              </w:rPr>
                            </w:pPr>
                          </w:p>
                          <w:p w14:paraId="58279C8B" w14:textId="77777777" w:rsidR="00F61302" w:rsidRPr="00D40B39" w:rsidRDefault="00F61302" w:rsidP="00D40B39">
                            <w:pPr>
                              <w:rPr>
                                <w:rFonts w:ascii="Arial" w:hAnsi="Arial" w:cs="Arial"/>
                                <w:color w:val="808285"/>
                                <w:sz w:val="36"/>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7622D" id="_x0000_t202" coordsize="21600,21600" o:spt="202" path="m,l,21600r21600,l21600,xe">
                <v:stroke joinstyle="miter"/>
                <v:path gradientshapeok="t" o:connecttype="rect"/>
              </v:shapetype>
              <v:shape id="Text Box 2" o:spid="_x0000_s1026" type="#_x0000_t202" style="position:absolute;margin-left:268.65pt;margin-top:0;width:126pt;height:74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" stroked="f">
                <v:textbox>
                  <w:txbxContent>
                    <w:p w14:paraId="1BACFF24" w14:textId="77777777" w:rsidR="00F61302" w:rsidRPr="00D40B39" w:rsidRDefault="00F61302" w:rsidP="00D40B39">
                      <w:pPr>
                        <w:rPr>
                          <w:rFonts w:ascii="Arial" w:hAnsi="Arial" w:cs="Arial"/>
                          <w:color w:val="808285"/>
                          <w:sz w:val="36"/>
                          <w:szCs w:val="22"/>
                        </w:rPr>
                      </w:pPr>
                      <w:r>
                        <w:rPr>
                          <w:rFonts w:ascii="Arial" w:hAnsi="Arial"/>
                          <w:color w:val="808285"/>
                          <w:sz w:val="36"/>
                        </w:rPr>
                        <w:t>CLUSTER NUTRITION Global</w:t>
                      </w:r>
                    </w:p>
                    <w:p w14:paraId="56C4D4E1" w14:textId="77777777" w:rsidR="00F61302" w:rsidRPr="00D40B39" w:rsidRDefault="00F61302" w:rsidP="00D40B39">
                      <w:pPr>
                        <w:rPr>
                          <w:rFonts w:ascii="Arial" w:hAnsi="Arial" w:cs="Arial"/>
                          <w:b/>
                          <w:color w:val="95C93D"/>
                          <w:sz w:val="40"/>
                          <w:szCs w:val="22"/>
                        </w:rPr>
                      </w:pPr>
                    </w:p>
                    <w:p w14:paraId="58279C8B" w14:textId="77777777" w:rsidR="00F61302" w:rsidRPr="00D40B39" w:rsidRDefault="00F61302" w:rsidP="00D40B39">
                      <w:pPr>
                        <w:rPr>
                          <w:rFonts w:ascii="Arial" w:hAnsi="Arial" w:cs="Arial"/>
                          <w:color w:val="808285"/>
                          <w:sz w:val="36"/>
                          <w:szCs w:val="22"/>
                        </w:rPr>
                      </w:pPr>
                    </w:p>
                  </w:txbxContent>
                </v:textbox>
                <w10:wrap type="square" anchorx="page"/>
              </v:shape>
            </w:pict>
          </mc:Fallback>
        </mc:AlternateContent>
      </w:r>
      <w:r>
        <w:rPr>
          <w:noProof/>
        </w:rPr>
        <w:drawing>
          <wp:anchor distT="0" distB="0" distL="114300" distR="114300" simplePos="0" relativeHeight="251666432" behindDoc="0" locked="0" layoutInCell="1" allowOverlap="1" wp14:anchorId="381D3469" wp14:editId="537065AD">
            <wp:simplePos x="0" y="0"/>
            <wp:positionH relativeFrom="column">
              <wp:posOffset>1938443</wp:posOffset>
            </wp:positionH>
            <wp:positionV relativeFrom="paragraph">
              <wp:posOffset>0</wp:posOffset>
            </wp:positionV>
            <wp:extent cx="732155" cy="732155"/>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astfeeding mother.svg"/>
                    <pic:cNvPicPr/>
                  </pic:nvPicPr>
                  <pic:blipFill>
                    <a:blip r:embed="rId12">
                      <a:extLst>
                        <a:ext uri="{96DAC541-7B7A-43D3-8B79-37D633B846F1}">
                          <asvg:svgBlip xmlns:asvg="http://schemas.microsoft.com/office/drawing/2016/SVG/main" r:embed="rId13"/>
                        </a:ext>
                      </a:extLst>
                    </a:blip>
                    <a:stretch>
                      <a:fillRect/>
                    </a:stretch>
                  </pic:blipFill>
                  <pic:spPr>
                    <a:xfrm>
                      <a:off x="0" y="0"/>
                      <a:ext cx="732155" cy="7321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color w:val="000000"/>
        </w:rPr>
        <w:drawing>
          <wp:anchor distT="0" distB="0" distL="114300" distR="114300" simplePos="0" relativeHeight="251873280" behindDoc="0" locked="0" layoutInCell="1" allowOverlap="1" wp14:anchorId="19F98D45" wp14:editId="15AD475E">
            <wp:simplePos x="0" y="0"/>
            <wp:positionH relativeFrom="margin">
              <wp:posOffset>-270722</wp:posOffset>
            </wp:positionH>
            <wp:positionV relativeFrom="paragraph">
              <wp:posOffset>0</wp:posOffset>
            </wp:positionV>
            <wp:extent cx="1760855" cy="499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0855" cy="499745"/>
                    </a:xfrm>
                    <a:prstGeom prst="rect">
                      <a:avLst/>
                    </a:prstGeom>
                    <a:noFill/>
                    <a:ln>
                      <a:noFill/>
                    </a:ln>
                  </pic:spPr>
                </pic:pic>
              </a:graphicData>
            </a:graphic>
          </wp:anchor>
        </w:drawing>
      </w:r>
      <w:bookmarkStart w:id="0" w:name="_Hlk32051648"/>
      <w:bookmarkEnd w:id="0"/>
    </w:p>
    <w:p w14:paraId="2E590346" w14:textId="77777777" w:rsidR="00D313CF" w:rsidRPr="00CA2973" w:rsidRDefault="00D313CF" w:rsidP="00A966A3">
      <w:pPr>
        <w:ind w:right="-1440"/>
      </w:pPr>
      <w:bookmarkStart w:id="1" w:name="_Hlk36991486"/>
      <w:bookmarkEnd w:id="1"/>
    </w:p>
    <w:p w14:paraId="27DF52C6" w14:textId="77777777" w:rsidR="00D313CF" w:rsidRPr="00CA2973" w:rsidRDefault="00D40B39" w:rsidP="00A966A3">
      <w:pPr>
        <w:ind w:right="-1440"/>
      </w:pPr>
      <w:r>
        <w:rPr>
          <w:noProof/>
        </w:rPr>
        <mc:AlternateContent>
          <mc:Choice Requires="wps">
            <w:drawing>
              <wp:anchor distT="0" distB="0" distL="114300" distR="114300" simplePos="0" relativeHeight="251664384" behindDoc="0" locked="0" layoutInCell="1" allowOverlap="1" wp14:anchorId="33979693" wp14:editId="6B58D09B">
                <wp:simplePos x="0" y="0"/>
                <wp:positionH relativeFrom="margin">
                  <wp:posOffset>-64477</wp:posOffset>
                </wp:positionH>
                <wp:positionV relativeFrom="paragraph">
                  <wp:posOffset>118745</wp:posOffset>
                </wp:positionV>
                <wp:extent cx="6570133" cy="2590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570133" cy="2590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57B9E8" w14:textId="3B3BE855" w:rsidR="00F61302" w:rsidRPr="00215988" w:rsidRDefault="00F61302" w:rsidP="00D313CF">
                            <w:pPr>
                              <w:rPr>
                                <w:rFonts w:ascii="Times New Roman" w:hAnsi="Times New Roman" w:cs="Times New Roman"/>
                                <w:color w:val="95C93D"/>
                                <w:sz w:val="60"/>
                                <w:szCs w:val="60"/>
                              </w:rPr>
                            </w:pPr>
                            <w:r w:rsidRPr="00215988">
                              <w:rPr>
                                <w:rFonts w:ascii="Times New Roman" w:hAnsi="Times New Roman"/>
                                <w:color w:val="95C93D"/>
                                <w:sz w:val="60"/>
                                <w:szCs w:val="60"/>
                              </w:rPr>
                              <w:t>Addend</w:t>
                            </w:r>
                            <w:r>
                              <w:rPr>
                                <w:rFonts w:ascii="Times New Roman" w:hAnsi="Times New Roman"/>
                                <w:color w:val="95C93D"/>
                                <w:sz w:val="60"/>
                                <w:szCs w:val="60"/>
                              </w:rPr>
                              <w:t>um</w:t>
                            </w:r>
                            <w:r w:rsidRPr="00215988">
                              <w:rPr>
                                <w:rFonts w:ascii="Times New Roman" w:hAnsi="Times New Roman"/>
                                <w:color w:val="95C93D"/>
                                <w:sz w:val="60"/>
                                <w:szCs w:val="60"/>
                              </w:rPr>
                              <w:t xml:space="preserve"> : Aspects à prendre en compte dans l’analyse sectorielle de la nutrition et </w:t>
                            </w:r>
                            <w:r>
                              <w:rPr>
                                <w:rFonts w:ascii="Times New Roman" w:hAnsi="Times New Roman"/>
                                <w:color w:val="95C93D"/>
                                <w:sz w:val="60"/>
                                <w:szCs w:val="60"/>
                              </w:rPr>
                              <w:t xml:space="preserve">ses </w:t>
                            </w:r>
                            <w:r w:rsidRPr="00215988">
                              <w:rPr>
                                <w:rFonts w:ascii="Times New Roman" w:hAnsi="Times New Roman"/>
                                <w:color w:val="95C93D"/>
                                <w:sz w:val="60"/>
                                <w:szCs w:val="60"/>
                              </w:rPr>
                              <w:t xml:space="preserve">contributions au JIAF pour le </w:t>
                            </w:r>
                            <w:r>
                              <w:rPr>
                                <w:rFonts w:ascii="Times New Roman" w:hAnsi="Times New Roman"/>
                                <w:color w:val="95C93D"/>
                                <w:sz w:val="60"/>
                                <w:szCs w:val="60"/>
                              </w:rPr>
                              <w:t>C</w:t>
                            </w:r>
                            <w:r w:rsidRPr="00215988">
                              <w:rPr>
                                <w:rFonts w:ascii="Times New Roman" w:hAnsi="Times New Roman"/>
                                <w:color w:val="95C93D"/>
                                <w:sz w:val="60"/>
                                <w:szCs w:val="60"/>
                              </w:rPr>
                              <w:t>ycle d</w:t>
                            </w:r>
                            <w:r>
                              <w:rPr>
                                <w:rFonts w:ascii="Times New Roman" w:hAnsi="Times New Roman"/>
                                <w:color w:val="95C93D"/>
                                <w:sz w:val="60"/>
                                <w:szCs w:val="60"/>
                              </w:rPr>
                              <w:t>u</w:t>
                            </w:r>
                            <w:r w:rsidRPr="00215988">
                              <w:rPr>
                                <w:rFonts w:ascii="Times New Roman" w:hAnsi="Times New Roman"/>
                                <w:color w:val="95C93D"/>
                                <w:sz w:val="60"/>
                                <w:szCs w:val="60"/>
                              </w:rPr>
                              <w:t xml:space="preserve"> </w:t>
                            </w:r>
                            <w:r>
                              <w:rPr>
                                <w:rFonts w:ascii="Times New Roman" w:hAnsi="Times New Roman"/>
                                <w:color w:val="95C93D"/>
                                <w:sz w:val="60"/>
                                <w:szCs w:val="60"/>
                              </w:rPr>
                              <w:t>P</w:t>
                            </w:r>
                            <w:r w:rsidRPr="00215988">
                              <w:rPr>
                                <w:rFonts w:ascii="Times New Roman" w:hAnsi="Times New Roman"/>
                                <w:color w:val="95C93D"/>
                                <w:sz w:val="60"/>
                                <w:szCs w:val="60"/>
                              </w:rPr>
                              <w:t xml:space="preserve">rogramme </w:t>
                            </w:r>
                            <w:r>
                              <w:rPr>
                                <w:rFonts w:ascii="Times New Roman" w:hAnsi="Times New Roman"/>
                                <w:color w:val="95C93D"/>
                                <w:sz w:val="60"/>
                                <w:szCs w:val="60"/>
                              </w:rPr>
                              <w:t>H</w:t>
                            </w:r>
                            <w:r w:rsidRPr="00215988">
                              <w:rPr>
                                <w:rFonts w:ascii="Times New Roman" w:hAnsi="Times New Roman"/>
                                <w:color w:val="95C93D"/>
                                <w:sz w:val="60"/>
                                <w:szCs w:val="60"/>
                              </w:rPr>
                              <w:t>umanitaire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79693" id="Text Box 8" o:spid="_x0000_s1027" type="#_x0000_t202" style="position:absolute;margin-left:-5.1pt;margin-top:9.35pt;width:517.35pt;height:2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" filled="f" stroked="f">
                <v:textbox>
                  <w:txbxContent>
                    <w:p w14:paraId="5357B9E8" w14:textId="3B3BE855" w:rsidR="00F61302" w:rsidRPr="00215988" w:rsidRDefault="00F61302" w:rsidP="00D313CF">
                      <w:pPr>
                        <w:rPr>
                          <w:rFonts w:ascii="Times New Roman" w:hAnsi="Times New Roman" w:cs="Times New Roman"/>
                          <w:color w:val="95C93D"/>
                          <w:sz w:val="60"/>
                          <w:szCs w:val="60"/>
                        </w:rPr>
                      </w:pPr>
                      <w:r w:rsidRPr="00215988">
                        <w:rPr>
                          <w:rFonts w:ascii="Times New Roman" w:hAnsi="Times New Roman"/>
                          <w:color w:val="95C93D"/>
                          <w:sz w:val="60"/>
                          <w:szCs w:val="60"/>
                        </w:rPr>
                        <w:t>Addend</w:t>
                      </w:r>
                      <w:r>
                        <w:rPr>
                          <w:rFonts w:ascii="Times New Roman" w:hAnsi="Times New Roman"/>
                          <w:color w:val="95C93D"/>
                          <w:sz w:val="60"/>
                          <w:szCs w:val="60"/>
                        </w:rPr>
                        <w:t>um</w:t>
                      </w:r>
                      <w:r w:rsidRPr="00215988">
                        <w:rPr>
                          <w:rFonts w:ascii="Times New Roman" w:hAnsi="Times New Roman"/>
                          <w:color w:val="95C93D"/>
                          <w:sz w:val="60"/>
                          <w:szCs w:val="60"/>
                        </w:rPr>
                        <w:t xml:space="preserve"> : Aspects à prendre en compte dans l’analyse sectorielle de la nutrition et </w:t>
                      </w:r>
                      <w:r>
                        <w:rPr>
                          <w:rFonts w:ascii="Times New Roman" w:hAnsi="Times New Roman"/>
                          <w:color w:val="95C93D"/>
                          <w:sz w:val="60"/>
                          <w:szCs w:val="60"/>
                        </w:rPr>
                        <w:t xml:space="preserve">ses </w:t>
                      </w:r>
                      <w:r w:rsidRPr="00215988">
                        <w:rPr>
                          <w:rFonts w:ascii="Times New Roman" w:hAnsi="Times New Roman"/>
                          <w:color w:val="95C93D"/>
                          <w:sz w:val="60"/>
                          <w:szCs w:val="60"/>
                        </w:rPr>
                        <w:t xml:space="preserve">contributions au JIAF pour le </w:t>
                      </w:r>
                      <w:r>
                        <w:rPr>
                          <w:rFonts w:ascii="Times New Roman" w:hAnsi="Times New Roman"/>
                          <w:color w:val="95C93D"/>
                          <w:sz w:val="60"/>
                          <w:szCs w:val="60"/>
                        </w:rPr>
                        <w:t>C</w:t>
                      </w:r>
                      <w:r w:rsidRPr="00215988">
                        <w:rPr>
                          <w:rFonts w:ascii="Times New Roman" w:hAnsi="Times New Roman"/>
                          <w:color w:val="95C93D"/>
                          <w:sz w:val="60"/>
                          <w:szCs w:val="60"/>
                        </w:rPr>
                        <w:t>ycle d</w:t>
                      </w:r>
                      <w:r>
                        <w:rPr>
                          <w:rFonts w:ascii="Times New Roman" w:hAnsi="Times New Roman"/>
                          <w:color w:val="95C93D"/>
                          <w:sz w:val="60"/>
                          <w:szCs w:val="60"/>
                        </w:rPr>
                        <w:t>u</w:t>
                      </w:r>
                      <w:r w:rsidRPr="00215988">
                        <w:rPr>
                          <w:rFonts w:ascii="Times New Roman" w:hAnsi="Times New Roman"/>
                          <w:color w:val="95C93D"/>
                          <w:sz w:val="60"/>
                          <w:szCs w:val="60"/>
                        </w:rPr>
                        <w:t xml:space="preserve"> </w:t>
                      </w:r>
                      <w:r>
                        <w:rPr>
                          <w:rFonts w:ascii="Times New Roman" w:hAnsi="Times New Roman"/>
                          <w:color w:val="95C93D"/>
                          <w:sz w:val="60"/>
                          <w:szCs w:val="60"/>
                        </w:rPr>
                        <w:t>P</w:t>
                      </w:r>
                      <w:r w:rsidRPr="00215988">
                        <w:rPr>
                          <w:rFonts w:ascii="Times New Roman" w:hAnsi="Times New Roman"/>
                          <w:color w:val="95C93D"/>
                          <w:sz w:val="60"/>
                          <w:szCs w:val="60"/>
                        </w:rPr>
                        <w:t xml:space="preserve">rogramme </w:t>
                      </w:r>
                      <w:r>
                        <w:rPr>
                          <w:rFonts w:ascii="Times New Roman" w:hAnsi="Times New Roman"/>
                          <w:color w:val="95C93D"/>
                          <w:sz w:val="60"/>
                          <w:szCs w:val="60"/>
                        </w:rPr>
                        <w:t>H</w:t>
                      </w:r>
                      <w:r w:rsidRPr="00215988">
                        <w:rPr>
                          <w:rFonts w:ascii="Times New Roman" w:hAnsi="Times New Roman"/>
                          <w:color w:val="95C93D"/>
                          <w:sz w:val="60"/>
                          <w:szCs w:val="60"/>
                        </w:rPr>
                        <w:t>umanitaire de 2022</w:t>
                      </w:r>
                    </w:p>
                  </w:txbxContent>
                </v:textbox>
                <w10:wrap anchorx="margin"/>
              </v:shape>
            </w:pict>
          </mc:Fallback>
        </mc:AlternateContent>
      </w:r>
    </w:p>
    <w:p w14:paraId="3D772E34" w14:textId="77777777" w:rsidR="00D313CF" w:rsidRPr="00CA2973" w:rsidRDefault="00D313CF" w:rsidP="00A966A3">
      <w:pPr>
        <w:ind w:right="-1440"/>
      </w:pPr>
    </w:p>
    <w:p w14:paraId="2034442E" w14:textId="77777777" w:rsidR="00D313CF" w:rsidRPr="00CA2973" w:rsidRDefault="00D313CF" w:rsidP="00A966A3">
      <w:pPr>
        <w:ind w:right="-1440"/>
      </w:pPr>
    </w:p>
    <w:p w14:paraId="10285089" w14:textId="77777777" w:rsidR="00D313CF" w:rsidRPr="00CA2973" w:rsidRDefault="00D313CF" w:rsidP="00A966A3">
      <w:pPr>
        <w:ind w:right="-1440"/>
      </w:pPr>
    </w:p>
    <w:p w14:paraId="75A6579B" w14:textId="77777777" w:rsidR="00D313CF" w:rsidRPr="00CA2973" w:rsidRDefault="00D313CF" w:rsidP="00A966A3">
      <w:pPr>
        <w:ind w:right="-1440"/>
      </w:pPr>
    </w:p>
    <w:p w14:paraId="097BCC39" w14:textId="77777777" w:rsidR="00D313CF" w:rsidRPr="00CA2973" w:rsidRDefault="00D313CF" w:rsidP="00A966A3">
      <w:pPr>
        <w:ind w:right="-1440"/>
      </w:pPr>
    </w:p>
    <w:p w14:paraId="6D56645F" w14:textId="77777777" w:rsidR="00D40B39" w:rsidRPr="00CA2973" w:rsidRDefault="00D40B39" w:rsidP="004F060A">
      <w:pPr>
        <w:pStyle w:val="Titre2"/>
        <w:rPr>
          <w:rFonts w:ascii="Arial" w:hAnsi="Arial" w:cs="Arial"/>
          <w:b/>
          <w:color w:val="000000"/>
          <w:sz w:val="24"/>
          <w:szCs w:val="24"/>
        </w:rPr>
      </w:pPr>
      <w:bookmarkStart w:id="2" w:name="_Toc33423315"/>
      <w:bookmarkStart w:id="3" w:name="_Hlk12008241"/>
      <w:bookmarkStart w:id="4" w:name="_Hlk12008416"/>
      <w:bookmarkStart w:id="5" w:name="_Hlk13488819"/>
      <w:bookmarkStart w:id="6" w:name="_Hlk15559094"/>
    </w:p>
    <w:p w14:paraId="26557D29" w14:textId="77777777" w:rsidR="009017E5" w:rsidRDefault="009017E5" w:rsidP="004F060A">
      <w:pPr>
        <w:pStyle w:val="Titre2"/>
        <w:rPr>
          <w:rFonts w:ascii="Arial" w:hAnsi="Arial" w:cs="Arial"/>
          <w:b/>
          <w:color w:val="000000"/>
          <w:sz w:val="24"/>
          <w:szCs w:val="24"/>
        </w:rPr>
      </w:pPr>
    </w:p>
    <w:p w14:paraId="38AF500F" w14:textId="77777777" w:rsidR="009017E5" w:rsidRDefault="009017E5" w:rsidP="004F060A">
      <w:pPr>
        <w:pStyle w:val="Titre2"/>
        <w:rPr>
          <w:rFonts w:ascii="Arial" w:hAnsi="Arial" w:cs="Arial"/>
          <w:b/>
          <w:color w:val="000000"/>
          <w:sz w:val="24"/>
          <w:szCs w:val="24"/>
        </w:rPr>
      </w:pPr>
    </w:p>
    <w:p w14:paraId="389F11D6" w14:textId="77777777" w:rsidR="009017E5" w:rsidRDefault="009017E5" w:rsidP="004F060A">
      <w:pPr>
        <w:pStyle w:val="Titre2"/>
        <w:rPr>
          <w:rFonts w:ascii="Arial" w:hAnsi="Arial" w:cs="Arial"/>
          <w:b/>
          <w:color w:val="000000"/>
          <w:sz w:val="24"/>
          <w:szCs w:val="24"/>
        </w:rPr>
      </w:pPr>
    </w:p>
    <w:p w14:paraId="5ED06C76" w14:textId="77777777" w:rsidR="0058594E" w:rsidRDefault="0058594E" w:rsidP="004F060A">
      <w:pPr>
        <w:pStyle w:val="Titre2"/>
        <w:rPr>
          <w:rFonts w:ascii="Arial" w:hAnsi="Arial"/>
          <w:b/>
          <w:color w:val="000000"/>
          <w:sz w:val="24"/>
        </w:rPr>
      </w:pPr>
    </w:p>
    <w:p w14:paraId="7A0DEEAB" w14:textId="77777777" w:rsidR="0058594E" w:rsidRDefault="0058594E" w:rsidP="004F060A">
      <w:pPr>
        <w:pStyle w:val="Titre2"/>
        <w:rPr>
          <w:rFonts w:ascii="Arial" w:hAnsi="Arial"/>
          <w:b/>
          <w:color w:val="000000"/>
          <w:sz w:val="24"/>
        </w:rPr>
      </w:pPr>
    </w:p>
    <w:p w14:paraId="1D20EF74" w14:textId="77777777" w:rsidR="0058594E" w:rsidRDefault="0058594E" w:rsidP="004F060A">
      <w:pPr>
        <w:pStyle w:val="Titre2"/>
        <w:rPr>
          <w:rFonts w:ascii="Arial" w:hAnsi="Arial"/>
          <w:b/>
          <w:color w:val="000000"/>
          <w:sz w:val="24"/>
        </w:rPr>
      </w:pPr>
    </w:p>
    <w:p w14:paraId="497C1609" w14:textId="19DF0DCB" w:rsidR="004F060A" w:rsidRPr="0009769E" w:rsidRDefault="00196871" w:rsidP="004F060A">
      <w:pPr>
        <w:pStyle w:val="Titre2"/>
        <w:rPr>
          <w:rFonts w:ascii="Arial" w:hAnsi="Arial"/>
          <w:b/>
          <w:color w:val="000000"/>
          <w:sz w:val="24"/>
        </w:rPr>
      </w:pPr>
      <w:bookmarkStart w:id="7" w:name="_Toc90559353"/>
      <w:r>
        <w:rPr>
          <w:rFonts w:ascii="Arial" w:hAnsi="Arial"/>
          <w:b/>
          <w:color w:val="000000"/>
          <w:sz w:val="24"/>
        </w:rPr>
        <w:t>Aperçu de l’addend</w:t>
      </w:r>
      <w:r w:rsidR="005A43CE">
        <w:rPr>
          <w:rFonts w:ascii="Arial" w:hAnsi="Arial"/>
          <w:b/>
          <w:color w:val="000000"/>
          <w:sz w:val="24"/>
        </w:rPr>
        <w:t>um</w:t>
      </w:r>
      <w:bookmarkEnd w:id="7"/>
    </w:p>
    <w:p w14:paraId="38662233" w14:textId="02740333" w:rsidR="004F6A09" w:rsidRDefault="008F3DD4" w:rsidP="004F6A09">
      <w:pPr>
        <w:jc w:val="both"/>
        <w:rPr>
          <w:rFonts w:ascii="Arial" w:hAnsi="Arial" w:cs="Arial"/>
        </w:rPr>
      </w:pPr>
      <w:r>
        <w:rPr>
          <w:rFonts w:ascii="Arial" w:hAnsi="Arial"/>
        </w:rPr>
        <w:t>L’objectif de ce</w:t>
      </w:r>
      <w:r w:rsidR="00AB588B">
        <w:rPr>
          <w:rFonts w:ascii="Arial" w:hAnsi="Arial"/>
        </w:rPr>
        <w:t>t addendum</w:t>
      </w:r>
      <w:r>
        <w:rPr>
          <w:rFonts w:ascii="Arial" w:hAnsi="Arial"/>
        </w:rPr>
        <w:t xml:space="preserve"> est de souligner les principaux aspects à prendre en compte pour l’analyse sectorielle de la nutrition et </w:t>
      </w:r>
      <w:r w:rsidR="00AB588B">
        <w:rPr>
          <w:rFonts w:ascii="Arial" w:hAnsi="Arial"/>
        </w:rPr>
        <w:t>s</w:t>
      </w:r>
      <w:r>
        <w:rPr>
          <w:rFonts w:ascii="Arial" w:hAnsi="Arial"/>
        </w:rPr>
        <w:t>es contributions visant à orienter, appuyer et guider l’élaboration d’une analyse intersectorielle conjointe des besoins, en soutien au cycle d</w:t>
      </w:r>
      <w:r w:rsidR="00577B09">
        <w:rPr>
          <w:rFonts w:ascii="Arial" w:hAnsi="Arial"/>
        </w:rPr>
        <w:t>u</w:t>
      </w:r>
      <w:r>
        <w:rPr>
          <w:rFonts w:ascii="Arial" w:hAnsi="Arial"/>
        </w:rPr>
        <w:t xml:space="preserve"> programme humanitaire (</w:t>
      </w:r>
      <w:r w:rsidR="00B90B38">
        <w:rPr>
          <w:rFonts w:ascii="Arial" w:hAnsi="Arial"/>
        </w:rPr>
        <w:t>CPH</w:t>
      </w:r>
      <w:r>
        <w:rPr>
          <w:rFonts w:ascii="Arial" w:hAnsi="Arial"/>
        </w:rPr>
        <w:t>).</w:t>
      </w:r>
      <w:r w:rsidR="00577B09">
        <w:rPr>
          <w:rFonts w:ascii="Arial" w:hAnsi="Arial"/>
        </w:rPr>
        <w:t xml:space="preserve"> </w:t>
      </w:r>
      <w:r w:rsidR="00CB694F">
        <w:rPr>
          <w:rFonts w:ascii="Arial" w:hAnsi="Arial"/>
        </w:rPr>
        <w:t xml:space="preserve">Elles </w:t>
      </w:r>
      <w:r>
        <w:rPr>
          <w:rFonts w:ascii="Arial" w:hAnsi="Arial"/>
        </w:rPr>
        <w:t>présente</w:t>
      </w:r>
      <w:r w:rsidR="00CB694F">
        <w:rPr>
          <w:rFonts w:ascii="Arial" w:hAnsi="Arial"/>
        </w:rPr>
        <w:t>nt</w:t>
      </w:r>
      <w:r>
        <w:rPr>
          <w:rFonts w:ascii="Arial" w:hAnsi="Arial"/>
        </w:rPr>
        <w:t xml:space="preserve"> un cadre analytique pour cette analyse</w:t>
      </w:r>
      <w:r w:rsidR="009D6D73">
        <w:rPr>
          <w:rFonts w:ascii="Arial" w:hAnsi="Arial"/>
        </w:rPr>
        <w:t>,</w:t>
      </w:r>
      <w:r>
        <w:rPr>
          <w:rFonts w:ascii="Arial" w:hAnsi="Arial"/>
        </w:rPr>
        <w:t xml:space="preserve"> le Cadre d’analyse intersectorielle conjointe (</w:t>
      </w:r>
      <w:r w:rsidR="009D6D73" w:rsidRPr="00E861E3">
        <w:rPr>
          <w:rFonts w:ascii="Arial" w:hAnsi="Arial"/>
        </w:rPr>
        <w:t xml:space="preserve">Joint Inter-sectoral Analysis Framework </w:t>
      </w:r>
      <w:r w:rsidR="009D6D73">
        <w:rPr>
          <w:rFonts w:ascii="Arial" w:hAnsi="Arial"/>
        </w:rPr>
        <w:t xml:space="preserve">– </w:t>
      </w:r>
      <w:r>
        <w:rPr>
          <w:rFonts w:ascii="Arial" w:hAnsi="Arial"/>
        </w:rPr>
        <w:t>JIAF)</w:t>
      </w:r>
      <w:r w:rsidR="009D6D73">
        <w:rPr>
          <w:rFonts w:ascii="Arial" w:hAnsi="Arial"/>
        </w:rPr>
        <w:t>,</w:t>
      </w:r>
      <w:r>
        <w:rPr>
          <w:rFonts w:ascii="Arial" w:hAnsi="Arial"/>
        </w:rPr>
        <w:t xml:space="preserve"> </w:t>
      </w:r>
      <w:r w:rsidR="0022538D">
        <w:rPr>
          <w:rFonts w:ascii="Arial" w:hAnsi="Arial"/>
        </w:rPr>
        <w:t xml:space="preserve">qui vise à </w:t>
      </w:r>
      <w:r>
        <w:rPr>
          <w:rFonts w:ascii="Arial" w:hAnsi="Arial"/>
        </w:rPr>
        <w:t xml:space="preserve">aider les équipes des pays à identifier les corrélations existantes entre les </w:t>
      </w:r>
      <w:r w:rsidR="00B90B38">
        <w:rPr>
          <w:rFonts w:ascii="Arial" w:hAnsi="Arial"/>
        </w:rPr>
        <w:t xml:space="preserve">différents </w:t>
      </w:r>
      <w:r w:rsidR="00CB694F">
        <w:rPr>
          <w:rFonts w:ascii="Arial" w:hAnsi="Arial"/>
        </w:rPr>
        <w:t>moteurs</w:t>
      </w:r>
      <w:r>
        <w:rPr>
          <w:rFonts w:ascii="Arial" w:hAnsi="Arial"/>
        </w:rPr>
        <w:t xml:space="preserve">, facteurs sous-jacents et contributifs, secteurs et conditions humanitaires à prendre en compte. </w:t>
      </w:r>
      <w:r w:rsidRPr="00CB694F">
        <w:rPr>
          <w:rFonts w:ascii="Arial" w:hAnsi="Arial" w:cs="Arial"/>
        </w:rPr>
        <w:t>Cet addend</w:t>
      </w:r>
      <w:r w:rsidR="005A43CE">
        <w:rPr>
          <w:rFonts w:ascii="Arial" w:hAnsi="Arial" w:cs="Arial"/>
        </w:rPr>
        <w:t>um</w:t>
      </w:r>
      <w:r w:rsidRPr="00CB694F">
        <w:rPr>
          <w:rFonts w:ascii="Arial" w:hAnsi="Arial" w:cs="Arial"/>
        </w:rPr>
        <w:t xml:space="preserve"> vient s’ajouter aux ressources </w:t>
      </w:r>
      <w:r w:rsidR="00AB588B">
        <w:rPr>
          <w:rFonts w:ascii="Arial" w:hAnsi="Arial" w:cs="Arial"/>
        </w:rPr>
        <w:t>en disposition</w:t>
      </w:r>
      <w:r w:rsidRPr="00CB694F">
        <w:rPr>
          <w:rFonts w:ascii="Arial" w:hAnsi="Arial" w:cs="Arial"/>
        </w:rPr>
        <w:t xml:space="preserve"> les équipes pays et ne remplace pas les </w:t>
      </w:r>
      <w:hyperlink r:id="rId15" w:history="1">
        <w:r w:rsidRPr="00CB694F">
          <w:rPr>
            <w:rStyle w:val="Lienhypertexte"/>
            <w:rFonts w:ascii="Arial" w:hAnsi="Arial" w:cs="Arial"/>
          </w:rPr>
          <w:t>Directives pour l’analyse des besoins humanitaires en matière de nutrition</w:t>
        </w:r>
      </w:hyperlink>
      <w:r w:rsidR="007979AE">
        <w:rPr>
          <w:rFonts w:ascii="Arial" w:hAnsi="Arial"/>
        </w:rPr>
        <w:t>,</w:t>
      </w:r>
      <w:r>
        <w:rPr>
          <w:rFonts w:ascii="Arial" w:hAnsi="Arial"/>
        </w:rPr>
        <w:t xml:space="preserve"> </w:t>
      </w:r>
      <w:bookmarkEnd w:id="2"/>
      <w:r w:rsidR="007979AE">
        <w:rPr>
          <w:rFonts w:ascii="Arial" w:hAnsi="Arial"/>
        </w:rPr>
        <w:t xml:space="preserve">déjà </w:t>
      </w:r>
      <w:r w:rsidR="00AB588B">
        <w:rPr>
          <w:rFonts w:ascii="Arial" w:hAnsi="Arial"/>
        </w:rPr>
        <w:t>publiés</w:t>
      </w:r>
      <w:r w:rsidR="007979AE">
        <w:rPr>
          <w:rFonts w:ascii="Arial" w:hAnsi="Arial"/>
        </w:rPr>
        <w:t>.</w:t>
      </w:r>
    </w:p>
    <w:p w14:paraId="413ACA94" w14:textId="77777777" w:rsidR="004F6A09" w:rsidRPr="00CA2973" w:rsidRDefault="004F6A09" w:rsidP="004F6A09">
      <w:pPr>
        <w:jc w:val="both"/>
        <w:rPr>
          <w:rFonts w:ascii="Arial" w:hAnsi="Arial" w:cs="Arial"/>
          <w:b/>
          <w:color w:val="000000"/>
        </w:rPr>
      </w:pPr>
    </w:p>
    <w:p w14:paraId="077A779F" w14:textId="77777777" w:rsidR="00BD710C" w:rsidRPr="00CA2973" w:rsidRDefault="00BD710C" w:rsidP="00D40B39">
      <w:pPr>
        <w:rPr>
          <w:rFonts w:ascii="Arial" w:hAnsi="Arial" w:cs="Arial"/>
          <w:b/>
          <w:color w:val="000000"/>
        </w:rPr>
      </w:pPr>
      <w:r>
        <w:rPr>
          <w:rFonts w:ascii="Arial" w:hAnsi="Arial"/>
          <w:b/>
          <w:color w:val="000000"/>
        </w:rPr>
        <w:t>Table des matières</w:t>
      </w:r>
    </w:p>
    <w:p w14:paraId="004BB8CD" w14:textId="77777777" w:rsidR="00BD710C" w:rsidRPr="00CA2973" w:rsidRDefault="00BD710C" w:rsidP="00BD710C">
      <w:pPr>
        <w:rPr>
          <w:lang w:eastAsia="fr-FR"/>
        </w:rPr>
      </w:pPr>
    </w:p>
    <w:sdt>
      <w:sdtPr>
        <w:rPr>
          <w:rFonts w:ascii="Arial" w:eastAsiaTheme="minorHAnsi" w:hAnsi="Arial" w:cs="Arial"/>
          <w:lang w:eastAsia="en-US"/>
        </w:rPr>
        <w:id w:val="78724221"/>
        <w:docPartObj>
          <w:docPartGallery w:val="Table of Contents"/>
          <w:docPartUnique/>
        </w:docPartObj>
      </w:sdtPr>
      <w:sdtEndPr>
        <w:rPr>
          <w:sz w:val="20"/>
          <w:szCs w:val="20"/>
        </w:rPr>
      </w:sdtEndPr>
      <w:sdtContent>
        <w:p w14:paraId="2AE84819" w14:textId="08A21644" w:rsidR="001A764E" w:rsidRDefault="00216EB8">
          <w:pPr>
            <w:pStyle w:val="TM2"/>
            <w:rPr>
              <w:rFonts w:asciiTheme="minorHAnsi" w:eastAsiaTheme="minorEastAsia" w:hAnsiTheme="minorHAnsi" w:cstheme="minorBidi"/>
              <w:noProof/>
              <w:sz w:val="22"/>
              <w:szCs w:val="22"/>
              <w:lang w:val="en-GB" w:eastAsia="en-GB"/>
            </w:rPr>
          </w:pPr>
          <w:r w:rsidRPr="00CA2973">
            <w:rPr>
              <w:rFonts w:ascii="Arial" w:hAnsi="Arial" w:cs="Arial"/>
              <w:sz w:val="18"/>
            </w:rPr>
            <w:fldChar w:fldCharType="begin"/>
          </w:r>
          <w:r w:rsidRPr="00CA2973">
            <w:rPr>
              <w:rFonts w:ascii="Arial" w:hAnsi="Arial" w:cs="Arial"/>
              <w:sz w:val="18"/>
            </w:rPr>
            <w:instrText xml:space="preserve"> TOC \h \u \z </w:instrText>
          </w:r>
          <w:r w:rsidRPr="00CA2973">
            <w:rPr>
              <w:rFonts w:ascii="Arial" w:hAnsi="Arial" w:cs="Arial"/>
              <w:sz w:val="18"/>
            </w:rPr>
            <w:fldChar w:fldCharType="separate"/>
          </w:r>
          <w:hyperlink w:anchor="_Toc90559353" w:history="1">
            <w:r w:rsidR="001A764E" w:rsidRPr="00D152C3">
              <w:rPr>
                <w:rStyle w:val="Lienhypertexte"/>
                <w:rFonts w:ascii="Arial" w:hAnsi="Arial"/>
                <w:b/>
                <w:noProof/>
              </w:rPr>
              <w:t>Aperçu de l’addendum</w:t>
            </w:r>
            <w:r w:rsidR="001A764E">
              <w:rPr>
                <w:noProof/>
                <w:webHidden/>
              </w:rPr>
              <w:tab/>
            </w:r>
            <w:r w:rsidR="001A764E">
              <w:rPr>
                <w:noProof/>
                <w:webHidden/>
              </w:rPr>
              <w:fldChar w:fldCharType="begin"/>
            </w:r>
            <w:r w:rsidR="001A764E">
              <w:rPr>
                <w:noProof/>
                <w:webHidden/>
              </w:rPr>
              <w:instrText xml:space="preserve"> PAGEREF _Toc90559353 \h </w:instrText>
            </w:r>
            <w:r w:rsidR="001A764E">
              <w:rPr>
                <w:noProof/>
                <w:webHidden/>
              </w:rPr>
            </w:r>
            <w:r w:rsidR="001A764E">
              <w:rPr>
                <w:noProof/>
                <w:webHidden/>
              </w:rPr>
              <w:fldChar w:fldCharType="separate"/>
            </w:r>
            <w:r w:rsidR="001A764E">
              <w:rPr>
                <w:noProof/>
                <w:webHidden/>
              </w:rPr>
              <w:t>1</w:t>
            </w:r>
            <w:r w:rsidR="001A764E">
              <w:rPr>
                <w:noProof/>
                <w:webHidden/>
              </w:rPr>
              <w:fldChar w:fldCharType="end"/>
            </w:r>
          </w:hyperlink>
        </w:p>
        <w:p w14:paraId="2C22BCCD" w14:textId="53B7D57B" w:rsidR="001A764E" w:rsidRDefault="001A764E">
          <w:pPr>
            <w:pStyle w:val="TM2"/>
            <w:rPr>
              <w:rFonts w:asciiTheme="minorHAnsi" w:eastAsiaTheme="minorEastAsia" w:hAnsiTheme="minorHAnsi" w:cstheme="minorBidi"/>
              <w:noProof/>
              <w:sz w:val="22"/>
              <w:szCs w:val="22"/>
              <w:lang w:val="en-GB" w:eastAsia="en-GB"/>
            </w:rPr>
          </w:pPr>
          <w:hyperlink w:anchor="_Toc90559354" w:history="1">
            <w:r w:rsidRPr="00D152C3">
              <w:rPr>
                <w:rStyle w:val="Lienhypertexte"/>
                <w:rFonts w:ascii="Arial" w:hAnsi="Arial"/>
                <w:b/>
                <w:noProof/>
              </w:rPr>
              <w:t>Remerciements</w:t>
            </w:r>
            <w:r>
              <w:rPr>
                <w:noProof/>
                <w:webHidden/>
              </w:rPr>
              <w:tab/>
            </w:r>
            <w:r>
              <w:rPr>
                <w:noProof/>
                <w:webHidden/>
              </w:rPr>
              <w:fldChar w:fldCharType="begin"/>
            </w:r>
            <w:r>
              <w:rPr>
                <w:noProof/>
                <w:webHidden/>
              </w:rPr>
              <w:instrText xml:space="preserve"> PAGEREF _Toc90559354 \h </w:instrText>
            </w:r>
            <w:r>
              <w:rPr>
                <w:noProof/>
                <w:webHidden/>
              </w:rPr>
            </w:r>
            <w:r>
              <w:rPr>
                <w:noProof/>
                <w:webHidden/>
              </w:rPr>
              <w:fldChar w:fldCharType="separate"/>
            </w:r>
            <w:r>
              <w:rPr>
                <w:noProof/>
                <w:webHidden/>
              </w:rPr>
              <w:t>2</w:t>
            </w:r>
            <w:r>
              <w:rPr>
                <w:noProof/>
                <w:webHidden/>
              </w:rPr>
              <w:fldChar w:fldCharType="end"/>
            </w:r>
          </w:hyperlink>
        </w:p>
        <w:p w14:paraId="4BB1D685" w14:textId="5FF8D4F5" w:rsidR="001A764E" w:rsidRDefault="001A764E">
          <w:pPr>
            <w:pStyle w:val="TM2"/>
            <w:rPr>
              <w:rFonts w:asciiTheme="minorHAnsi" w:eastAsiaTheme="minorEastAsia" w:hAnsiTheme="minorHAnsi" w:cstheme="minorBidi"/>
              <w:noProof/>
              <w:sz w:val="22"/>
              <w:szCs w:val="22"/>
              <w:lang w:val="en-GB" w:eastAsia="en-GB"/>
            </w:rPr>
          </w:pPr>
          <w:hyperlink w:anchor="_Toc90559355" w:history="1">
            <w:r w:rsidRPr="00D152C3">
              <w:rPr>
                <w:rStyle w:val="Lienhypertexte"/>
                <w:rFonts w:ascii="Arial" w:hAnsi="Arial"/>
                <w:b/>
                <w:noProof/>
              </w:rPr>
              <w:t>Limitations</w:t>
            </w:r>
            <w:r>
              <w:rPr>
                <w:noProof/>
                <w:webHidden/>
              </w:rPr>
              <w:tab/>
            </w:r>
            <w:r>
              <w:rPr>
                <w:noProof/>
                <w:webHidden/>
              </w:rPr>
              <w:fldChar w:fldCharType="begin"/>
            </w:r>
            <w:r>
              <w:rPr>
                <w:noProof/>
                <w:webHidden/>
              </w:rPr>
              <w:instrText xml:space="preserve"> PAGEREF _Toc90559355 \h </w:instrText>
            </w:r>
            <w:r>
              <w:rPr>
                <w:noProof/>
                <w:webHidden/>
              </w:rPr>
            </w:r>
            <w:r>
              <w:rPr>
                <w:noProof/>
                <w:webHidden/>
              </w:rPr>
              <w:fldChar w:fldCharType="separate"/>
            </w:r>
            <w:r>
              <w:rPr>
                <w:noProof/>
                <w:webHidden/>
              </w:rPr>
              <w:t>2</w:t>
            </w:r>
            <w:r>
              <w:rPr>
                <w:noProof/>
                <w:webHidden/>
              </w:rPr>
              <w:fldChar w:fldCharType="end"/>
            </w:r>
          </w:hyperlink>
        </w:p>
        <w:p w14:paraId="007F8230" w14:textId="289E9B21" w:rsidR="001A764E" w:rsidRDefault="001A764E">
          <w:pPr>
            <w:pStyle w:val="TM2"/>
            <w:rPr>
              <w:rFonts w:asciiTheme="minorHAnsi" w:eastAsiaTheme="minorEastAsia" w:hAnsiTheme="minorHAnsi" w:cstheme="minorBidi"/>
              <w:noProof/>
              <w:sz w:val="22"/>
              <w:szCs w:val="22"/>
              <w:lang w:val="en-GB" w:eastAsia="en-GB"/>
            </w:rPr>
          </w:pPr>
          <w:hyperlink w:anchor="_Toc90559356" w:history="1">
            <w:r w:rsidRPr="00D152C3">
              <w:rPr>
                <w:rStyle w:val="Lienhypertexte"/>
                <w:rFonts w:ascii="Arial" w:hAnsi="Arial"/>
                <w:b/>
                <w:noProof/>
              </w:rPr>
              <w:t>Abréviations</w:t>
            </w:r>
            <w:r>
              <w:rPr>
                <w:noProof/>
                <w:webHidden/>
              </w:rPr>
              <w:tab/>
            </w:r>
            <w:r>
              <w:rPr>
                <w:noProof/>
                <w:webHidden/>
              </w:rPr>
              <w:fldChar w:fldCharType="begin"/>
            </w:r>
            <w:r>
              <w:rPr>
                <w:noProof/>
                <w:webHidden/>
              </w:rPr>
              <w:instrText xml:space="preserve"> PAGEREF _Toc90559356 \h </w:instrText>
            </w:r>
            <w:r>
              <w:rPr>
                <w:noProof/>
                <w:webHidden/>
              </w:rPr>
            </w:r>
            <w:r>
              <w:rPr>
                <w:noProof/>
                <w:webHidden/>
              </w:rPr>
              <w:fldChar w:fldCharType="separate"/>
            </w:r>
            <w:r>
              <w:rPr>
                <w:noProof/>
                <w:webHidden/>
              </w:rPr>
              <w:t>2</w:t>
            </w:r>
            <w:r>
              <w:rPr>
                <w:noProof/>
                <w:webHidden/>
              </w:rPr>
              <w:fldChar w:fldCharType="end"/>
            </w:r>
          </w:hyperlink>
        </w:p>
        <w:p w14:paraId="36B2250F" w14:textId="0F66AA7C" w:rsidR="001A764E" w:rsidRDefault="001A764E">
          <w:pPr>
            <w:pStyle w:val="TM2"/>
            <w:rPr>
              <w:rFonts w:asciiTheme="minorHAnsi" w:eastAsiaTheme="minorEastAsia" w:hAnsiTheme="minorHAnsi" w:cstheme="minorBidi"/>
              <w:noProof/>
              <w:sz w:val="22"/>
              <w:szCs w:val="22"/>
              <w:lang w:val="en-GB" w:eastAsia="en-GB"/>
            </w:rPr>
          </w:pPr>
          <w:hyperlink w:anchor="_Toc90559357" w:history="1">
            <w:r w:rsidRPr="00D152C3">
              <w:rPr>
                <w:rStyle w:val="Lienhypertexte"/>
                <w:rFonts w:ascii="Arial" w:hAnsi="Arial"/>
                <w:b/>
                <w:noProof/>
              </w:rPr>
              <w:t>Liste de tableaux</w:t>
            </w:r>
            <w:r>
              <w:rPr>
                <w:noProof/>
                <w:webHidden/>
              </w:rPr>
              <w:tab/>
            </w:r>
            <w:r>
              <w:rPr>
                <w:noProof/>
                <w:webHidden/>
              </w:rPr>
              <w:fldChar w:fldCharType="begin"/>
            </w:r>
            <w:r>
              <w:rPr>
                <w:noProof/>
                <w:webHidden/>
              </w:rPr>
              <w:instrText xml:space="preserve"> PAGEREF _Toc90559357 \h </w:instrText>
            </w:r>
            <w:r>
              <w:rPr>
                <w:noProof/>
                <w:webHidden/>
              </w:rPr>
            </w:r>
            <w:r>
              <w:rPr>
                <w:noProof/>
                <w:webHidden/>
              </w:rPr>
              <w:fldChar w:fldCharType="separate"/>
            </w:r>
            <w:r>
              <w:rPr>
                <w:noProof/>
                <w:webHidden/>
              </w:rPr>
              <w:t>3</w:t>
            </w:r>
            <w:r>
              <w:rPr>
                <w:noProof/>
                <w:webHidden/>
              </w:rPr>
              <w:fldChar w:fldCharType="end"/>
            </w:r>
          </w:hyperlink>
        </w:p>
        <w:p w14:paraId="6B447E13" w14:textId="1CF02E84" w:rsidR="001A764E" w:rsidRDefault="001A764E">
          <w:pPr>
            <w:pStyle w:val="TM2"/>
            <w:rPr>
              <w:rFonts w:asciiTheme="minorHAnsi" w:eastAsiaTheme="minorEastAsia" w:hAnsiTheme="minorHAnsi" w:cstheme="minorBidi"/>
              <w:noProof/>
              <w:sz w:val="22"/>
              <w:szCs w:val="22"/>
              <w:lang w:val="en-GB" w:eastAsia="en-GB"/>
            </w:rPr>
          </w:pPr>
          <w:hyperlink w:anchor="_Toc90559358" w:history="1">
            <w:r w:rsidRPr="00D152C3">
              <w:rPr>
                <w:rStyle w:val="Lienhypertexte"/>
                <w:rFonts w:ascii="Arial" w:hAnsi="Arial"/>
                <w:b/>
                <w:noProof/>
              </w:rPr>
              <w:t>Objectif, public et champ d’application</w:t>
            </w:r>
            <w:r>
              <w:rPr>
                <w:noProof/>
                <w:webHidden/>
              </w:rPr>
              <w:tab/>
            </w:r>
            <w:r>
              <w:rPr>
                <w:noProof/>
                <w:webHidden/>
              </w:rPr>
              <w:fldChar w:fldCharType="begin"/>
            </w:r>
            <w:r>
              <w:rPr>
                <w:noProof/>
                <w:webHidden/>
              </w:rPr>
              <w:instrText xml:space="preserve"> PAGEREF _Toc90559358 \h </w:instrText>
            </w:r>
            <w:r>
              <w:rPr>
                <w:noProof/>
                <w:webHidden/>
              </w:rPr>
            </w:r>
            <w:r>
              <w:rPr>
                <w:noProof/>
                <w:webHidden/>
              </w:rPr>
              <w:fldChar w:fldCharType="separate"/>
            </w:r>
            <w:r>
              <w:rPr>
                <w:noProof/>
                <w:webHidden/>
              </w:rPr>
              <w:t>4</w:t>
            </w:r>
            <w:r>
              <w:rPr>
                <w:noProof/>
                <w:webHidden/>
              </w:rPr>
              <w:fldChar w:fldCharType="end"/>
            </w:r>
          </w:hyperlink>
        </w:p>
        <w:p w14:paraId="3DA58B19" w14:textId="795EE007" w:rsidR="001A764E" w:rsidRDefault="001A764E">
          <w:pPr>
            <w:pStyle w:val="TM2"/>
            <w:rPr>
              <w:rFonts w:asciiTheme="minorHAnsi" w:eastAsiaTheme="minorEastAsia" w:hAnsiTheme="minorHAnsi" w:cstheme="minorBidi"/>
              <w:noProof/>
              <w:sz w:val="22"/>
              <w:szCs w:val="22"/>
              <w:lang w:val="en-GB" w:eastAsia="en-GB"/>
            </w:rPr>
          </w:pPr>
          <w:hyperlink w:anchor="_Toc90559359" w:history="1">
            <w:r w:rsidRPr="00D152C3">
              <w:rPr>
                <w:rStyle w:val="Lienhypertexte"/>
                <w:rFonts w:ascii="Arial" w:hAnsi="Arial" w:cs="Arial"/>
                <w:b/>
                <w:noProof/>
              </w:rPr>
              <w:t>1)</w:t>
            </w:r>
            <w:r>
              <w:rPr>
                <w:rFonts w:asciiTheme="minorHAnsi" w:eastAsiaTheme="minorEastAsia" w:hAnsiTheme="minorHAnsi" w:cstheme="minorBidi"/>
                <w:noProof/>
                <w:sz w:val="22"/>
                <w:szCs w:val="22"/>
                <w:lang w:val="en-GB" w:eastAsia="en-GB"/>
              </w:rPr>
              <w:tab/>
            </w:r>
            <w:r w:rsidRPr="00D152C3">
              <w:rPr>
                <w:rStyle w:val="Lienhypertexte"/>
                <w:rFonts w:ascii="Arial" w:hAnsi="Arial"/>
                <w:b/>
                <w:noProof/>
              </w:rPr>
              <w:t>Qu’est-ce que le Cadre d’analyse intersectorielle conjointe ?</w:t>
            </w:r>
            <w:r>
              <w:rPr>
                <w:noProof/>
                <w:webHidden/>
              </w:rPr>
              <w:tab/>
            </w:r>
            <w:r>
              <w:rPr>
                <w:noProof/>
                <w:webHidden/>
              </w:rPr>
              <w:fldChar w:fldCharType="begin"/>
            </w:r>
            <w:r>
              <w:rPr>
                <w:noProof/>
                <w:webHidden/>
              </w:rPr>
              <w:instrText xml:space="preserve"> PAGEREF _Toc90559359 \h </w:instrText>
            </w:r>
            <w:r>
              <w:rPr>
                <w:noProof/>
                <w:webHidden/>
              </w:rPr>
            </w:r>
            <w:r>
              <w:rPr>
                <w:noProof/>
                <w:webHidden/>
              </w:rPr>
              <w:fldChar w:fldCharType="separate"/>
            </w:r>
            <w:r>
              <w:rPr>
                <w:noProof/>
                <w:webHidden/>
              </w:rPr>
              <w:t>4</w:t>
            </w:r>
            <w:r>
              <w:rPr>
                <w:noProof/>
                <w:webHidden/>
              </w:rPr>
              <w:fldChar w:fldCharType="end"/>
            </w:r>
          </w:hyperlink>
        </w:p>
        <w:p w14:paraId="12D62303" w14:textId="3C5D074F" w:rsidR="001A764E" w:rsidRDefault="001A764E">
          <w:pPr>
            <w:pStyle w:val="TM2"/>
            <w:rPr>
              <w:rFonts w:asciiTheme="minorHAnsi" w:eastAsiaTheme="minorEastAsia" w:hAnsiTheme="minorHAnsi" w:cstheme="minorBidi"/>
              <w:noProof/>
              <w:sz w:val="22"/>
              <w:szCs w:val="22"/>
              <w:lang w:val="en-GB" w:eastAsia="en-GB"/>
            </w:rPr>
          </w:pPr>
          <w:hyperlink w:anchor="_Toc90559360" w:history="1">
            <w:r w:rsidRPr="00D152C3">
              <w:rPr>
                <w:rStyle w:val="Lienhypertexte"/>
                <w:rFonts w:ascii="Arial" w:hAnsi="Arial" w:cs="Arial"/>
                <w:b/>
                <w:noProof/>
              </w:rPr>
              <w:t>2)</w:t>
            </w:r>
            <w:r>
              <w:rPr>
                <w:rFonts w:asciiTheme="minorHAnsi" w:eastAsiaTheme="minorEastAsia" w:hAnsiTheme="minorHAnsi" w:cstheme="minorBidi"/>
                <w:noProof/>
                <w:sz w:val="22"/>
                <w:szCs w:val="22"/>
                <w:lang w:val="en-GB" w:eastAsia="en-GB"/>
              </w:rPr>
              <w:tab/>
            </w:r>
            <w:r w:rsidRPr="00D152C3">
              <w:rPr>
                <w:rStyle w:val="Lienhypertexte"/>
                <w:rFonts w:ascii="Arial" w:hAnsi="Arial"/>
                <w:b/>
                <w:noProof/>
              </w:rPr>
              <w:t>Présentation générale du JIAF</w:t>
            </w:r>
            <w:r>
              <w:rPr>
                <w:noProof/>
                <w:webHidden/>
              </w:rPr>
              <w:tab/>
            </w:r>
            <w:r>
              <w:rPr>
                <w:noProof/>
                <w:webHidden/>
              </w:rPr>
              <w:fldChar w:fldCharType="begin"/>
            </w:r>
            <w:r>
              <w:rPr>
                <w:noProof/>
                <w:webHidden/>
              </w:rPr>
              <w:instrText xml:space="preserve"> PAGEREF _Toc90559360 \h </w:instrText>
            </w:r>
            <w:r>
              <w:rPr>
                <w:noProof/>
                <w:webHidden/>
              </w:rPr>
            </w:r>
            <w:r>
              <w:rPr>
                <w:noProof/>
                <w:webHidden/>
              </w:rPr>
              <w:fldChar w:fldCharType="separate"/>
            </w:r>
            <w:r>
              <w:rPr>
                <w:noProof/>
                <w:webHidden/>
              </w:rPr>
              <w:t>5</w:t>
            </w:r>
            <w:r>
              <w:rPr>
                <w:noProof/>
                <w:webHidden/>
              </w:rPr>
              <w:fldChar w:fldCharType="end"/>
            </w:r>
          </w:hyperlink>
        </w:p>
        <w:p w14:paraId="3C09F744" w14:textId="14BE175F" w:rsidR="001A764E" w:rsidRDefault="001A764E">
          <w:pPr>
            <w:pStyle w:val="TM2"/>
            <w:rPr>
              <w:rFonts w:asciiTheme="minorHAnsi" w:eastAsiaTheme="minorEastAsia" w:hAnsiTheme="minorHAnsi" w:cstheme="minorBidi"/>
              <w:noProof/>
              <w:sz w:val="22"/>
              <w:szCs w:val="22"/>
              <w:lang w:val="en-GB" w:eastAsia="en-GB"/>
            </w:rPr>
          </w:pPr>
          <w:hyperlink w:anchor="_Toc90559361" w:history="1">
            <w:r w:rsidRPr="00D152C3">
              <w:rPr>
                <w:rStyle w:val="Lienhypertexte"/>
                <w:rFonts w:ascii="Arial" w:hAnsi="Arial" w:cs="Arial"/>
                <w:b/>
                <w:noProof/>
              </w:rPr>
              <w:t>3)</w:t>
            </w:r>
            <w:r>
              <w:rPr>
                <w:rFonts w:asciiTheme="minorHAnsi" w:eastAsiaTheme="minorEastAsia" w:hAnsiTheme="minorHAnsi" w:cstheme="minorBidi"/>
                <w:noProof/>
                <w:sz w:val="22"/>
                <w:szCs w:val="22"/>
                <w:lang w:val="en-GB" w:eastAsia="en-GB"/>
              </w:rPr>
              <w:tab/>
            </w:r>
            <w:r w:rsidRPr="00D152C3">
              <w:rPr>
                <w:rStyle w:val="Lienhypertexte"/>
                <w:rFonts w:ascii="Arial" w:hAnsi="Arial"/>
                <w:b/>
                <w:noProof/>
              </w:rPr>
              <w:t>Principaux points à prendre en compte lors de la conduite de l’analyse sectorielle de la nutrition</w:t>
            </w:r>
            <w:r>
              <w:rPr>
                <w:noProof/>
                <w:webHidden/>
              </w:rPr>
              <w:tab/>
            </w:r>
            <w:r>
              <w:rPr>
                <w:noProof/>
                <w:webHidden/>
              </w:rPr>
              <w:fldChar w:fldCharType="begin"/>
            </w:r>
            <w:r>
              <w:rPr>
                <w:noProof/>
                <w:webHidden/>
              </w:rPr>
              <w:instrText xml:space="preserve"> PAGEREF _Toc90559361 \h </w:instrText>
            </w:r>
            <w:r>
              <w:rPr>
                <w:noProof/>
                <w:webHidden/>
              </w:rPr>
            </w:r>
            <w:r>
              <w:rPr>
                <w:noProof/>
                <w:webHidden/>
              </w:rPr>
              <w:fldChar w:fldCharType="separate"/>
            </w:r>
            <w:r>
              <w:rPr>
                <w:noProof/>
                <w:webHidden/>
              </w:rPr>
              <w:t>6</w:t>
            </w:r>
            <w:r>
              <w:rPr>
                <w:noProof/>
                <w:webHidden/>
              </w:rPr>
              <w:fldChar w:fldCharType="end"/>
            </w:r>
          </w:hyperlink>
        </w:p>
        <w:p w14:paraId="655FC8FD" w14:textId="6EA89C06" w:rsidR="001A764E" w:rsidRDefault="001A764E">
          <w:pPr>
            <w:pStyle w:val="TM2"/>
            <w:rPr>
              <w:rFonts w:asciiTheme="minorHAnsi" w:eastAsiaTheme="minorEastAsia" w:hAnsiTheme="minorHAnsi" w:cstheme="minorBidi"/>
              <w:noProof/>
              <w:sz w:val="22"/>
              <w:szCs w:val="22"/>
              <w:lang w:val="en-GB" w:eastAsia="en-GB"/>
            </w:rPr>
          </w:pPr>
          <w:hyperlink w:anchor="_Toc90559362" w:history="1">
            <w:r w:rsidRPr="00D152C3">
              <w:rPr>
                <w:rStyle w:val="Lienhypertexte"/>
                <w:rFonts w:ascii="Arial" w:hAnsi="Arial"/>
                <w:b/>
                <w:noProof/>
              </w:rPr>
              <w:t>4) Contributions du secteur nutrition à l’analyse de la situation selon JIAF</w:t>
            </w:r>
            <w:r>
              <w:rPr>
                <w:noProof/>
                <w:webHidden/>
              </w:rPr>
              <w:tab/>
            </w:r>
            <w:r>
              <w:rPr>
                <w:noProof/>
                <w:webHidden/>
              </w:rPr>
              <w:fldChar w:fldCharType="begin"/>
            </w:r>
            <w:r>
              <w:rPr>
                <w:noProof/>
                <w:webHidden/>
              </w:rPr>
              <w:instrText xml:space="preserve"> PAGEREF _Toc90559362 \h </w:instrText>
            </w:r>
            <w:r>
              <w:rPr>
                <w:noProof/>
                <w:webHidden/>
              </w:rPr>
            </w:r>
            <w:r>
              <w:rPr>
                <w:noProof/>
                <w:webHidden/>
              </w:rPr>
              <w:fldChar w:fldCharType="separate"/>
            </w:r>
            <w:r>
              <w:rPr>
                <w:noProof/>
                <w:webHidden/>
              </w:rPr>
              <w:t>10</w:t>
            </w:r>
            <w:r>
              <w:rPr>
                <w:noProof/>
                <w:webHidden/>
              </w:rPr>
              <w:fldChar w:fldCharType="end"/>
            </w:r>
          </w:hyperlink>
        </w:p>
        <w:p w14:paraId="26AE7139" w14:textId="6033B6CC" w:rsidR="001A764E" w:rsidRDefault="001A764E">
          <w:pPr>
            <w:pStyle w:val="TM2"/>
            <w:rPr>
              <w:rFonts w:asciiTheme="minorHAnsi" w:eastAsiaTheme="minorEastAsia" w:hAnsiTheme="minorHAnsi" w:cstheme="minorBidi"/>
              <w:noProof/>
              <w:sz w:val="22"/>
              <w:szCs w:val="22"/>
              <w:lang w:val="en-GB" w:eastAsia="en-GB"/>
            </w:rPr>
          </w:pPr>
          <w:hyperlink w:anchor="_Toc90559363" w:history="1">
            <w:r w:rsidRPr="00D152C3">
              <w:rPr>
                <w:rStyle w:val="Lienhypertexte"/>
                <w:rFonts w:ascii="Arial" w:hAnsi="Arial"/>
                <w:b/>
                <w:noProof/>
              </w:rPr>
              <w:t>5) Estimations cumulées du nombre de Personnes dans le besoin (PiN) en matière de nutrition pour le JIAF</w:t>
            </w:r>
            <w:r>
              <w:rPr>
                <w:noProof/>
                <w:webHidden/>
              </w:rPr>
              <w:tab/>
            </w:r>
            <w:r>
              <w:rPr>
                <w:noProof/>
                <w:webHidden/>
              </w:rPr>
              <w:fldChar w:fldCharType="begin"/>
            </w:r>
            <w:r>
              <w:rPr>
                <w:noProof/>
                <w:webHidden/>
              </w:rPr>
              <w:instrText xml:space="preserve"> PAGEREF _Toc90559363 \h </w:instrText>
            </w:r>
            <w:r>
              <w:rPr>
                <w:noProof/>
                <w:webHidden/>
              </w:rPr>
            </w:r>
            <w:r>
              <w:rPr>
                <w:noProof/>
                <w:webHidden/>
              </w:rPr>
              <w:fldChar w:fldCharType="separate"/>
            </w:r>
            <w:r>
              <w:rPr>
                <w:noProof/>
                <w:webHidden/>
              </w:rPr>
              <w:t>11</w:t>
            </w:r>
            <w:r>
              <w:rPr>
                <w:noProof/>
                <w:webHidden/>
              </w:rPr>
              <w:fldChar w:fldCharType="end"/>
            </w:r>
          </w:hyperlink>
        </w:p>
        <w:p w14:paraId="0D3A4CFC" w14:textId="30E201DE" w:rsidR="001A764E" w:rsidRDefault="001A764E">
          <w:pPr>
            <w:pStyle w:val="TM2"/>
            <w:rPr>
              <w:rFonts w:asciiTheme="minorHAnsi" w:eastAsiaTheme="minorEastAsia" w:hAnsiTheme="minorHAnsi" w:cstheme="minorBidi"/>
              <w:noProof/>
              <w:sz w:val="22"/>
              <w:szCs w:val="22"/>
              <w:lang w:val="en-GB" w:eastAsia="en-GB"/>
            </w:rPr>
          </w:pPr>
          <w:hyperlink w:anchor="_Toc90559364" w:history="1">
            <w:r w:rsidRPr="00D152C3">
              <w:rPr>
                <w:rStyle w:val="Lienhypertexte"/>
                <w:rFonts w:ascii="Arial" w:hAnsi="Arial"/>
                <w:b/>
                <w:noProof/>
              </w:rPr>
              <w:t>6) Prévisions des conditions à venir</w:t>
            </w:r>
            <w:r>
              <w:rPr>
                <w:noProof/>
                <w:webHidden/>
              </w:rPr>
              <w:tab/>
            </w:r>
            <w:r>
              <w:rPr>
                <w:noProof/>
                <w:webHidden/>
              </w:rPr>
              <w:fldChar w:fldCharType="begin"/>
            </w:r>
            <w:r>
              <w:rPr>
                <w:noProof/>
                <w:webHidden/>
              </w:rPr>
              <w:instrText xml:space="preserve"> PAGEREF _Toc90559364 \h </w:instrText>
            </w:r>
            <w:r>
              <w:rPr>
                <w:noProof/>
                <w:webHidden/>
              </w:rPr>
            </w:r>
            <w:r>
              <w:rPr>
                <w:noProof/>
                <w:webHidden/>
              </w:rPr>
              <w:fldChar w:fldCharType="separate"/>
            </w:r>
            <w:r>
              <w:rPr>
                <w:noProof/>
                <w:webHidden/>
              </w:rPr>
              <w:t>12</w:t>
            </w:r>
            <w:r>
              <w:rPr>
                <w:noProof/>
                <w:webHidden/>
              </w:rPr>
              <w:fldChar w:fldCharType="end"/>
            </w:r>
          </w:hyperlink>
        </w:p>
        <w:p w14:paraId="10A818A5" w14:textId="61E221F5" w:rsidR="001A764E" w:rsidRDefault="001A764E">
          <w:pPr>
            <w:pStyle w:val="TM2"/>
            <w:rPr>
              <w:rFonts w:asciiTheme="minorHAnsi" w:eastAsiaTheme="minorEastAsia" w:hAnsiTheme="minorHAnsi" w:cstheme="minorBidi"/>
              <w:noProof/>
              <w:sz w:val="22"/>
              <w:szCs w:val="22"/>
              <w:lang w:val="en-GB" w:eastAsia="en-GB"/>
            </w:rPr>
          </w:pPr>
          <w:hyperlink w:anchor="_Toc90559365" w:history="1">
            <w:r w:rsidRPr="00D152C3">
              <w:rPr>
                <w:rStyle w:val="Lienhypertexte"/>
                <w:rFonts w:ascii="Arial" w:hAnsi="Arial"/>
                <w:b/>
                <w:noProof/>
              </w:rPr>
              <w:t>7) Préparation des principaux chiffres pour le PRH</w:t>
            </w:r>
            <w:r>
              <w:rPr>
                <w:noProof/>
                <w:webHidden/>
              </w:rPr>
              <w:tab/>
            </w:r>
            <w:r>
              <w:rPr>
                <w:noProof/>
                <w:webHidden/>
              </w:rPr>
              <w:fldChar w:fldCharType="begin"/>
            </w:r>
            <w:r>
              <w:rPr>
                <w:noProof/>
                <w:webHidden/>
              </w:rPr>
              <w:instrText xml:space="preserve"> PAGEREF _Toc90559365 \h </w:instrText>
            </w:r>
            <w:r>
              <w:rPr>
                <w:noProof/>
                <w:webHidden/>
              </w:rPr>
            </w:r>
            <w:r>
              <w:rPr>
                <w:noProof/>
                <w:webHidden/>
              </w:rPr>
              <w:fldChar w:fldCharType="separate"/>
            </w:r>
            <w:r>
              <w:rPr>
                <w:noProof/>
                <w:webHidden/>
              </w:rPr>
              <w:t>13</w:t>
            </w:r>
            <w:r>
              <w:rPr>
                <w:noProof/>
                <w:webHidden/>
              </w:rPr>
              <w:fldChar w:fldCharType="end"/>
            </w:r>
          </w:hyperlink>
        </w:p>
        <w:p w14:paraId="1BC63528" w14:textId="134BE9C0" w:rsidR="001A764E" w:rsidRDefault="001A764E">
          <w:pPr>
            <w:pStyle w:val="TM2"/>
            <w:rPr>
              <w:rFonts w:asciiTheme="minorHAnsi" w:eastAsiaTheme="minorEastAsia" w:hAnsiTheme="minorHAnsi" w:cstheme="minorBidi"/>
              <w:noProof/>
              <w:sz w:val="22"/>
              <w:szCs w:val="22"/>
              <w:lang w:val="en-GB" w:eastAsia="en-GB"/>
            </w:rPr>
          </w:pPr>
          <w:hyperlink w:anchor="_Toc90559366" w:history="1">
            <w:r w:rsidRPr="00D152C3">
              <w:rPr>
                <w:rStyle w:val="Lienhypertexte"/>
                <w:rFonts w:ascii="Arial" w:hAnsi="Arial"/>
                <w:b/>
                <w:noProof/>
              </w:rPr>
              <w:t>Validation finale des besoins intersectoriels</w:t>
            </w:r>
            <w:r>
              <w:rPr>
                <w:noProof/>
                <w:webHidden/>
              </w:rPr>
              <w:tab/>
            </w:r>
            <w:r>
              <w:rPr>
                <w:noProof/>
                <w:webHidden/>
              </w:rPr>
              <w:fldChar w:fldCharType="begin"/>
            </w:r>
            <w:r>
              <w:rPr>
                <w:noProof/>
                <w:webHidden/>
              </w:rPr>
              <w:instrText xml:space="preserve"> PAGEREF _Toc90559366 \h </w:instrText>
            </w:r>
            <w:r>
              <w:rPr>
                <w:noProof/>
                <w:webHidden/>
              </w:rPr>
            </w:r>
            <w:r>
              <w:rPr>
                <w:noProof/>
                <w:webHidden/>
              </w:rPr>
              <w:fldChar w:fldCharType="separate"/>
            </w:r>
            <w:r>
              <w:rPr>
                <w:noProof/>
                <w:webHidden/>
              </w:rPr>
              <w:t>14</w:t>
            </w:r>
            <w:r>
              <w:rPr>
                <w:noProof/>
                <w:webHidden/>
              </w:rPr>
              <w:fldChar w:fldCharType="end"/>
            </w:r>
          </w:hyperlink>
        </w:p>
        <w:p w14:paraId="1DF1F063" w14:textId="5F719FD0" w:rsidR="001A764E" w:rsidRDefault="001A764E">
          <w:pPr>
            <w:pStyle w:val="TM2"/>
            <w:rPr>
              <w:rFonts w:asciiTheme="minorHAnsi" w:eastAsiaTheme="minorEastAsia" w:hAnsiTheme="minorHAnsi" w:cstheme="minorBidi"/>
              <w:noProof/>
              <w:sz w:val="22"/>
              <w:szCs w:val="22"/>
              <w:lang w:val="en-GB" w:eastAsia="en-GB"/>
            </w:rPr>
          </w:pPr>
          <w:hyperlink w:anchor="_Toc90559367" w:history="1">
            <w:r w:rsidRPr="00D152C3">
              <w:rPr>
                <w:rStyle w:val="Lienhypertexte"/>
                <w:rFonts w:ascii="Arial" w:hAnsi="Arial"/>
                <w:b/>
                <w:noProof/>
              </w:rPr>
              <w:t>Références</w:t>
            </w:r>
            <w:r>
              <w:rPr>
                <w:noProof/>
                <w:webHidden/>
              </w:rPr>
              <w:tab/>
            </w:r>
            <w:r>
              <w:rPr>
                <w:noProof/>
                <w:webHidden/>
              </w:rPr>
              <w:fldChar w:fldCharType="begin"/>
            </w:r>
            <w:r>
              <w:rPr>
                <w:noProof/>
                <w:webHidden/>
              </w:rPr>
              <w:instrText xml:space="preserve"> PAGEREF _Toc90559367 \h </w:instrText>
            </w:r>
            <w:r>
              <w:rPr>
                <w:noProof/>
                <w:webHidden/>
              </w:rPr>
            </w:r>
            <w:r>
              <w:rPr>
                <w:noProof/>
                <w:webHidden/>
              </w:rPr>
              <w:fldChar w:fldCharType="separate"/>
            </w:r>
            <w:r>
              <w:rPr>
                <w:noProof/>
                <w:webHidden/>
              </w:rPr>
              <w:t>15</w:t>
            </w:r>
            <w:r>
              <w:rPr>
                <w:noProof/>
                <w:webHidden/>
              </w:rPr>
              <w:fldChar w:fldCharType="end"/>
            </w:r>
          </w:hyperlink>
        </w:p>
        <w:p w14:paraId="659FC9EC" w14:textId="746E9ED9" w:rsidR="001A764E" w:rsidRDefault="001A764E">
          <w:pPr>
            <w:pStyle w:val="TM2"/>
            <w:rPr>
              <w:rFonts w:asciiTheme="minorHAnsi" w:eastAsiaTheme="minorEastAsia" w:hAnsiTheme="minorHAnsi" w:cstheme="minorBidi"/>
              <w:noProof/>
              <w:sz w:val="22"/>
              <w:szCs w:val="22"/>
              <w:lang w:val="en-GB" w:eastAsia="en-GB"/>
            </w:rPr>
          </w:pPr>
          <w:hyperlink w:anchor="_Toc90559368" w:history="1">
            <w:r w:rsidRPr="00D152C3">
              <w:rPr>
                <w:rStyle w:val="Lienhypertexte"/>
                <w:rFonts w:ascii="Arial" w:hAnsi="Arial"/>
                <w:b/>
                <w:noProof/>
              </w:rPr>
              <w:t>Annexe 1 : Principales composantes du Cadre conceptuel du JIAF</w:t>
            </w:r>
            <w:r>
              <w:rPr>
                <w:noProof/>
                <w:webHidden/>
              </w:rPr>
              <w:tab/>
            </w:r>
            <w:r>
              <w:rPr>
                <w:noProof/>
                <w:webHidden/>
              </w:rPr>
              <w:fldChar w:fldCharType="begin"/>
            </w:r>
            <w:r>
              <w:rPr>
                <w:noProof/>
                <w:webHidden/>
              </w:rPr>
              <w:instrText xml:space="preserve"> PAGEREF _Toc90559368 \h </w:instrText>
            </w:r>
            <w:r>
              <w:rPr>
                <w:noProof/>
                <w:webHidden/>
              </w:rPr>
            </w:r>
            <w:r>
              <w:rPr>
                <w:noProof/>
                <w:webHidden/>
              </w:rPr>
              <w:fldChar w:fldCharType="separate"/>
            </w:r>
            <w:r>
              <w:rPr>
                <w:noProof/>
                <w:webHidden/>
              </w:rPr>
              <w:t>16</w:t>
            </w:r>
            <w:r>
              <w:rPr>
                <w:noProof/>
                <w:webHidden/>
              </w:rPr>
              <w:fldChar w:fldCharType="end"/>
            </w:r>
          </w:hyperlink>
        </w:p>
        <w:p w14:paraId="2E3E9B10" w14:textId="77777777" w:rsidR="00216EB8" w:rsidRPr="00CA2973" w:rsidRDefault="00216EB8" w:rsidP="00216EB8">
          <w:pPr>
            <w:rPr>
              <w:rFonts w:ascii="Arial" w:hAnsi="Arial" w:cs="Arial"/>
              <w:sz w:val="20"/>
            </w:rPr>
          </w:pPr>
          <w:r w:rsidRPr="00CA2973">
            <w:rPr>
              <w:rFonts w:ascii="Arial" w:hAnsi="Arial" w:cs="Arial"/>
              <w:sz w:val="18"/>
            </w:rPr>
            <w:fldChar w:fldCharType="end"/>
          </w:r>
        </w:p>
      </w:sdtContent>
    </w:sdt>
    <w:bookmarkEnd w:id="6" w:displacedByCustomXml="prev"/>
    <w:bookmarkEnd w:id="5" w:displacedByCustomXml="prev"/>
    <w:p w14:paraId="32CF7062" w14:textId="77777777" w:rsidR="00216EB8" w:rsidRPr="00CA2973" w:rsidRDefault="00216EB8" w:rsidP="00216EB8">
      <w:pPr>
        <w:pStyle w:val="Titre2"/>
        <w:rPr>
          <w:rFonts w:ascii="Arial" w:hAnsi="Arial" w:cs="Arial"/>
          <w:b/>
          <w:color w:val="000000"/>
          <w:sz w:val="24"/>
          <w:szCs w:val="24"/>
        </w:rPr>
      </w:pPr>
      <w:bookmarkStart w:id="8" w:name="_Toc90559354"/>
      <w:bookmarkEnd w:id="3"/>
      <w:bookmarkEnd w:id="4"/>
      <w:r>
        <w:rPr>
          <w:rFonts w:ascii="Arial" w:hAnsi="Arial"/>
          <w:b/>
          <w:color w:val="000000"/>
          <w:sz w:val="24"/>
        </w:rPr>
        <w:t>Remerciements</w:t>
      </w:r>
      <w:bookmarkEnd w:id="8"/>
    </w:p>
    <w:p w14:paraId="5B172296" w14:textId="2CC780F4" w:rsidR="004F6A09" w:rsidRDefault="00B8312C" w:rsidP="00BD6956">
      <w:pPr>
        <w:jc w:val="both"/>
        <w:rPr>
          <w:rFonts w:ascii="Arial" w:hAnsi="Arial" w:cs="Arial"/>
          <w:sz w:val="18"/>
          <w:szCs w:val="18"/>
        </w:rPr>
      </w:pPr>
      <w:r>
        <w:rPr>
          <w:rFonts w:ascii="Arial" w:hAnsi="Arial"/>
          <w:sz w:val="18"/>
        </w:rPr>
        <w:t>Cette note d’orientation a été élaborée par le Cluster Nutrition Global (GNC), grâce au soutien de l’Agence américaine pour le développement international</w:t>
      </w:r>
      <w:r w:rsidR="00AB588B">
        <w:rPr>
          <w:rFonts w:ascii="Arial" w:hAnsi="Arial"/>
          <w:sz w:val="18"/>
        </w:rPr>
        <w:t xml:space="preserve"> (USAID)</w:t>
      </w:r>
      <w:r>
        <w:rPr>
          <w:rFonts w:ascii="Arial" w:hAnsi="Arial"/>
          <w:sz w:val="18"/>
        </w:rPr>
        <w:t>, conformément aux conditions de l’attribution n° 720FDZ20IO00019. Les opinions exprimées dans cette publication sont celles du ou des auteur(s) et ne reflètent pas nécessairement celles d</w:t>
      </w:r>
      <w:r w:rsidR="00F15C8C">
        <w:rPr>
          <w:rFonts w:ascii="Arial" w:hAnsi="Arial"/>
          <w:sz w:val="18"/>
        </w:rPr>
        <w:t>’</w:t>
      </w:r>
      <w:r w:rsidR="00AB588B">
        <w:rPr>
          <w:rFonts w:ascii="Arial" w:hAnsi="Arial"/>
          <w:sz w:val="18"/>
        </w:rPr>
        <w:t>USAID</w:t>
      </w:r>
      <w:r>
        <w:rPr>
          <w:rFonts w:ascii="Arial" w:hAnsi="Arial"/>
          <w:sz w:val="18"/>
        </w:rPr>
        <w:t xml:space="preserve">. </w:t>
      </w:r>
    </w:p>
    <w:p w14:paraId="2196BD2B" w14:textId="77777777" w:rsidR="004F6A09" w:rsidRPr="00215988" w:rsidRDefault="004F6A09" w:rsidP="00BD6956">
      <w:pPr>
        <w:jc w:val="both"/>
        <w:rPr>
          <w:rFonts w:ascii="Arial" w:hAnsi="Arial" w:cs="Arial"/>
          <w:sz w:val="18"/>
          <w:szCs w:val="18"/>
        </w:rPr>
      </w:pPr>
    </w:p>
    <w:p w14:paraId="2EE3EAF2" w14:textId="1E5A47AE" w:rsidR="00BD6956" w:rsidRPr="00CA2973" w:rsidRDefault="004F6A09" w:rsidP="00BD6956">
      <w:pPr>
        <w:jc w:val="both"/>
        <w:rPr>
          <w:rFonts w:ascii="Arial" w:hAnsi="Arial" w:cs="Arial"/>
          <w:color w:val="FF0000"/>
          <w:sz w:val="18"/>
          <w:szCs w:val="18"/>
        </w:rPr>
      </w:pPr>
      <w:r>
        <w:rPr>
          <w:rFonts w:ascii="Arial" w:hAnsi="Arial"/>
          <w:sz w:val="18"/>
        </w:rPr>
        <w:t xml:space="preserve">Sous la direction de la Coordinatrice adjointe du GNC, Anna Ziolkovska, le GNC </w:t>
      </w:r>
      <w:r w:rsidR="00CC3305">
        <w:rPr>
          <w:rFonts w:ascii="Arial" w:hAnsi="Arial"/>
          <w:sz w:val="18"/>
        </w:rPr>
        <w:t>salue</w:t>
      </w:r>
      <w:r>
        <w:rPr>
          <w:rFonts w:ascii="Arial" w:hAnsi="Arial"/>
          <w:sz w:val="18"/>
        </w:rPr>
        <w:t xml:space="preserve"> la contribution technique de Victoria Sauveplane, qui a préparé la version initiale de cet addend</w:t>
      </w:r>
      <w:r w:rsidR="008869F6">
        <w:rPr>
          <w:rFonts w:ascii="Arial" w:hAnsi="Arial"/>
          <w:sz w:val="18"/>
        </w:rPr>
        <w:t>um</w:t>
      </w:r>
      <w:r>
        <w:rPr>
          <w:rFonts w:ascii="Arial" w:hAnsi="Arial"/>
          <w:sz w:val="18"/>
        </w:rPr>
        <w:t xml:space="preserve">. Nous remercions en particulier les membres du groupe de travail : Alessandro Iellamo (Save the Children, Comité de pilotage de l’IFE Core Group), Anna Ziolkovska (GNC-CT), Douglas Jayasekaran (Unité </w:t>
      </w:r>
      <w:r w:rsidR="00CC3305">
        <w:rPr>
          <w:rFonts w:ascii="Arial" w:hAnsi="Arial"/>
          <w:sz w:val="18"/>
        </w:rPr>
        <w:t>de soutien</w:t>
      </w:r>
      <w:r>
        <w:rPr>
          <w:rFonts w:ascii="Arial" w:hAnsi="Arial"/>
          <w:sz w:val="18"/>
        </w:rPr>
        <w:t xml:space="preserve"> mondial de l’IPC), Gwenaelle Garnier (PAM), Hassan Ali Ahmed (Action contre la faim Canada), Lilian Kastner (UNICEF), Louise Mwirigi (UNICEF) et Shabib AlQobati (GNC-CT).</w:t>
      </w:r>
    </w:p>
    <w:p w14:paraId="78B914F6" w14:textId="77777777" w:rsidR="00BD6956" w:rsidRPr="00CA2973" w:rsidRDefault="00BD6956" w:rsidP="00BD6956">
      <w:pPr>
        <w:jc w:val="both"/>
        <w:rPr>
          <w:rFonts w:ascii="Arial" w:hAnsi="Arial" w:cs="Arial"/>
          <w:color w:val="FF0000"/>
          <w:sz w:val="18"/>
          <w:szCs w:val="18"/>
        </w:rPr>
      </w:pPr>
    </w:p>
    <w:p w14:paraId="6F661368" w14:textId="77777777" w:rsidR="00265947" w:rsidRPr="00ED4099" w:rsidRDefault="00265947" w:rsidP="00265947">
      <w:pPr>
        <w:pStyle w:val="Titre2"/>
        <w:rPr>
          <w:rFonts w:ascii="Arial" w:hAnsi="Arial" w:cs="Arial"/>
          <w:b/>
          <w:color w:val="auto"/>
          <w:sz w:val="24"/>
          <w:szCs w:val="24"/>
        </w:rPr>
      </w:pPr>
      <w:bookmarkStart w:id="9" w:name="_Toc90559355"/>
      <w:r>
        <w:rPr>
          <w:rFonts w:ascii="Arial" w:hAnsi="Arial"/>
          <w:b/>
          <w:color w:val="auto"/>
          <w:sz w:val="24"/>
        </w:rPr>
        <w:t>Limitations</w:t>
      </w:r>
      <w:bookmarkEnd w:id="9"/>
    </w:p>
    <w:p w14:paraId="3A03684E" w14:textId="1F607D04" w:rsidR="004F6A09" w:rsidRDefault="004F6A09" w:rsidP="004F6A09">
      <w:pPr>
        <w:jc w:val="both"/>
        <w:rPr>
          <w:rFonts w:ascii="Arial" w:hAnsi="Arial" w:cs="Arial"/>
          <w:sz w:val="18"/>
          <w:szCs w:val="18"/>
        </w:rPr>
      </w:pPr>
      <w:r>
        <w:rPr>
          <w:rFonts w:ascii="Arial" w:hAnsi="Arial"/>
          <w:sz w:val="18"/>
        </w:rPr>
        <w:t>Le JIAF continue d’évoluer et cet addend</w:t>
      </w:r>
      <w:r w:rsidR="0065212F">
        <w:rPr>
          <w:rFonts w:ascii="Arial" w:hAnsi="Arial"/>
          <w:sz w:val="18"/>
        </w:rPr>
        <w:t>um</w:t>
      </w:r>
      <w:r>
        <w:rPr>
          <w:rFonts w:ascii="Arial" w:hAnsi="Arial"/>
          <w:sz w:val="18"/>
        </w:rPr>
        <w:t xml:space="preserve">, qui </w:t>
      </w:r>
      <w:r w:rsidR="00CC3305">
        <w:rPr>
          <w:rFonts w:ascii="Arial" w:hAnsi="Arial"/>
          <w:sz w:val="18"/>
        </w:rPr>
        <w:t>repose sur l</w:t>
      </w:r>
      <w:r>
        <w:rPr>
          <w:rFonts w:ascii="Arial" w:hAnsi="Arial"/>
          <w:sz w:val="18"/>
        </w:rPr>
        <w:t xml:space="preserve">es </w:t>
      </w:r>
      <w:r w:rsidR="00CC3305">
        <w:rPr>
          <w:rFonts w:ascii="Arial" w:hAnsi="Arial"/>
          <w:sz w:val="18"/>
        </w:rPr>
        <w:t>directives</w:t>
      </w:r>
      <w:r>
        <w:rPr>
          <w:rFonts w:ascii="Arial" w:hAnsi="Arial"/>
          <w:sz w:val="18"/>
        </w:rPr>
        <w:t xml:space="preserve"> actuelles, constitue une première tentative de formalisation. Compte tenu de la complexité du cadre et de sa nature innovante, il est essentiel de tirer des enseignements de ses </w:t>
      </w:r>
      <w:r w:rsidR="00CC3305">
        <w:rPr>
          <w:rFonts w:ascii="Arial" w:hAnsi="Arial"/>
          <w:sz w:val="18"/>
        </w:rPr>
        <w:t xml:space="preserve">deux premiers exercices de </w:t>
      </w:r>
      <w:r>
        <w:rPr>
          <w:rFonts w:ascii="Arial" w:hAnsi="Arial"/>
          <w:sz w:val="18"/>
        </w:rPr>
        <w:t xml:space="preserve">mise en œuvre </w:t>
      </w:r>
      <w:r w:rsidR="00CC3305">
        <w:rPr>
          <w:rFonts w:ascii="Arial" w:hAnsi="Arial"/>
          <w:sz w:val="18"/>
        </w:rPr>
        <w:t>de</w:t>
      </w:r>
      <w:r>
        <w:rPr>
          <w:rFonts w:ascii="Arial" w:hAnsi="Arial"/>
          <w:sz w:val="18"/>
        </w:rPr>
        <w:t xml:space="preserve"> 2020 et 2021 et d</w:t>
      </w:r>
      <w:r w:rsidR="00CC3305">
        <w:rPr>
          <w:rFonts w:ascii="Arial" w:hAnsi="Arial"/>
          <w:sz w:val="18"/>
        </w:rPr>
        <w:t>’y apporter</w:t>
      </w:r>
      <w:r>
        <w:rPr>
          <w:rFonts w:ascii="Arial" w:hAnsi="Arial"/>
          <w:sz w:val="18"/>
        </w:rPr>
        <w:t xml:space="preserve"> </w:t>
      </w:r>
      <w:r w:rsidR="00CC3305">
        <w:rPr>
          <w:rFonts w:ascii="Arial" w:hAnsi="Arial"/>
          <w:sz w:val="18"/>
        </w:rPr>
        <w:t xml:space="preserve">les </w:t>
      </w:r>
      <w:r>
        <w:rPr>
          <w:rFonts w:ascii="Arial" w:hAnsi="Arial"/>
          <w:sz w:val="18"/>
        </w:rPr>
        <w:t xml:space="preserve">changements et </w:t>
      </w:r>
      <w:r w:rsidR="00CC3305">
        <w:rPr>
          <w:rFonts w:ascii="Arial" w:hAnsi="Arial"/>
          <w:sz w:val="18"/>
        </w:rPr>
        <w:t xml:space="preserve">les </w:t>
      </w:r>
      <w:r>
        <w:rPr>
          <w:rFonts w:ascii="Arial" w:hAnsi="Arial"/>
          <w:sz w:val="18"/>
        </w:rPr>
        <w:t xml:space="preserve">ajustements nécessaires pour la prochaine itération. Le JIAF s’appuie sur une combinaison de données primaires et secondaires qui sont souvent recueillies dans le cadre de méthodologies </w:t>
      </w:r>
      <w:r w:rsidR="00E2473D">
        <w:rPr>
          <w:rFonts w:ascii="Arial" w:hAnsi="Arial"/>
          <w:sz w:val="18"/>
        </w:rPr>
        <w:t xml:space="preserve">diverses présentant </w:t>
      </w:r>
      <w:r>
        <w:rPr>
          <w:rFonts w:ascii="Arial" w:hAnsi="Arial"/>
          <w:sz w:val="18"/>
        </w:rPr>
        <w:t xml:space="preserve">toutes des limitations inhérentes aux contextes humanitaires – par exemple, </w:t>
      </w:r>
      <w:r w:rsidR="00E61A8A">
        <w:rPr>
          <w:rFonts w:ascii="Arial" w:hAnsi="Arial"/>
          <w:sz w:val="18"/>
        </w:rPr>
        <w:t>d</w:t>
      </w:r>
      <w:r>
        <w:rPr>
          <w:rFonts w:ascii="Arial" w:hAnsi="Arial"/>
          <w:sz w:val="18"/>
        </w:rPr>
        <w:t xml:space="preserve">es </w:t>
      </w:r>
      <w:r w:rsidR="00E2473D">
        <w:rPr>
          <w:rFonts w:ascii="Arial" w:hAnsi="Arial"/>
          <w:sz w:val="18"/>
        </w:rPr>
        <w:t>problèmes d</w:t>
      </w:r>
      <w:r>
        <w:rPr>
          <w:rFonts w:ascii="Arial" w:hAnsi="Arial"/>
          <w:sz w:val="18"/>
        </w:rPr>
        <w:t>’accès</w:t>
      </w:r>
      <w:r w:rsidR="00845980">
        <w:rPr>
          <w:rFonts w:ascii="Arial" w:hAnsi="Arial"/>
          <w:sz w:val="18"/>
        </w:rPr>
        <w:t xml:space="preserve">, </w:t>
      </w:r>
      <w:r w:rsidR="00E2473D">
        <w:rPr>
          <w:rFonts w:ascii="Arial" w:hAnsi="Arial"/>
          <w:sz w:val="18"/>
        </w:rPr>
        <w:t>de</w:t>
      </w:r>
      <w:r>
        <w:rPr>
          <w:rFonts w:ascii="Arial" w:hAnsi="Arial"/>
          <w:sz w:val="18"/>
        </w:rPr>
        <w:t xml:space="preserve"> sécurité, etc. La COVID-19 </w:t>
      </w:r>
      <w:r w:rsidR="00B43654">
        <w:rPr>
          <w:rFonts w:ascii="Arial" w:hAnsi="Arial"/>
          <w:sz w:val="18"/>
        </w:rPr>
        <w:t xml:space="preserve">ne fait qu’exacerber les </w:t>
      </w:r>
      <w:r>
        <w:rPr>
          <w:rFonts w:ascii="Arial" w:hAnsi="Arial"/>
          <w:sz w:val="18"/>
        </w:rPr>
        <w:t xml:space="preserve">limitations existantes </w:t>
      </w:r>
      <w:r w:rsidR="00B43654">
        <w:rPr>
          <w:rFonts w:ascii="Arial" w:hAnsi="Arial"/>
          <w:sz w:val="18"/>
        </w:rPr>
        <w:t xml:space="preserve">en matière de </w:t>
      </w:r>
      <w:r>
        <w:rPr>
          <w:rFonts w:ascii="Arial" w:hAnsi="Arial"/>
          <w:sz w:val="18"/>
        </w:rPr>
        <w:t xml:space="preserve">collecte de données. De plus, le JIAF n’a pas encore été officiellement testé ni </w:t>
      </w:r>
      <w:r w:rsidR="00845980">
        <w:rPr>
          <w:rFonts w:ascii="Arial" w:hAnsi="Arial"/>
          <w:sz w:val="18"/>
        </w:rPr>
        <w:t xml:space="preserve">revu </w:t>
      </w:r>
      <w:r>
        <w:rPr>
          <w:rFonts w:ascii="Arial" w:hAnsi="Arial"/>
          <w:sz w:val="18"/>
        </w:rPr>
        <w:t xml:space="preserve">par </w:t>
      </w:r>
      <w:r w:rsidR="00845980">
        <w:rPr>
          <w:rFonts w:ascii="Arial" w:hAnsi="Arial"/>
          <w:sz w:val="18"/>
        </w:rPr>
        <w:t>d</w:t>
      </w:r>
      <w:r>
        <w:rPr>
          <w:rFonts w:ascii="Arial" w:hAnsi="Arial"/>
          <w:sz w:val="18"/>
        </w:rPr>
        <w:t xml:space="preserve">es pairs. De manière spécifique, tous les indicateurs et les seuils de sévérité figurant dans les tableaux de référence du JIAF ont été entièrement testés dans le cadre </w:t>
      </w:r>
      <w:r w:rsidR="00845980">
        <w:rPr>
          <w:rFonts w:ascii="Arial" w:hAnsi="Arial"/>
          <w:sz w:val="18"/>
        </w:rPr>
        <w:t>commun</w:t>
      </w:r>
      <w:r>
        <w:rPr>
          <w:rFonts w:ascii="Arial" w:hAnsi="Arial"/>
          <w:sz w:val="18"/>
        </w:rPr>
        <w:t xml:space="preserve"> intersectoriel</w:t>
      </w:r>
      <w:r w:rsidR="004531D1">
        <w:rPr>
          <w:rFonts w:ascii="Arial" w:hAnsi="Arial"/>
          <w:sz w:val="18"/>
        </w:rPr>
        <w:t>.</w:t>
      </w:r>
      <w:r>
        <w:rPr>
          <w:rFonts w:ascii="Arial" w:hAnsi="Arial"/>
          <w:sz w:val="18"/>
        </w:rPr>
        <w:t xml:space="preserve"> Les analyses fondées sur les risques (particulièrement pertinentes </w:t>
      </w:r>
      <w:r w:rsidR="00845980">
        <w:rPr>
          <w:rFonts w:ascii="Arial" w:hAnsi="Arial"/>
          <w:sz w:val="18"/>
        </w:rPr>
        <w:t>dans</w:t>
      </w:r>
      <w:r w:rsidR="004531D1">
        <w:rPr>
          <w:rFonts w:ascii="Arial" w:hAnsi="Arial"/>
          <w:sz w:val="18"/>
        </w:rPr>
        <w:t xml:space="preserve"> </w:t>
      </w:r>
      <w:r>
        <w:rPr>
          <w:rFonts w:ascii="Arial" w:hAnsi="Arial"/>
          <w:sz w:val="18"/>
        </w:rPr>
        <w:t xml:space="preserve">la situation </w:t>
      </w:r>
      <w:r w:rsidR="004531D1">
        <w:rPr>
          <w:rFonts w:ascii="Arial" w:hAnsi="Arial"/>
          <w:sz w:val="18"/>
        </w:rPr>
        <w:t xml:space="preserve">de crise de </w:t>
      </w:r>
      <w:r>
        <w:rPr>
          <w:rFonts w:ascii="Arial" w:hAnsi="Arial"/>
          <w:sz w:val="18"/>
        </w:rPr>
        <w:t>COVID-19</w:t>
      </w:r>
      <w:r w:rsidR="004531D1">
        <w:rPr>
          <w:rFonts w:ascii="Arial" w:hAnsi="Arial"/>
          <w:sz w:val="18"/>
        </w:rPr>
        <w:t xml:space="preserve"> et ses </w:t>
      </w:r>
      <w:r w:rsidR="00845980">
        <w:rPr>
          <w:rFonts w:ascii="Arial" w:hAnsi="Arial"/>
          <w:sz w:val="18"/>
        </w:rPr>
        <w:t>conséquences</w:t>
      </w:r>
      <w:r>
        <w:rPr>
          <w:rFonts w:ascii="Arial" w:hAnsi="Arial"/>
          <w:sz w:val="18"/>
        </w:rPr>
        <w:t xml:space="preserve">) n’ont été intégrées que récemment dans le cadre, notamment en </w:t>
      </w:r>
      <w:r w:rsidR="004531D1">
        <w:rPr>
          <w:rFonts w:ascii="Arial" w:hAnsi="Arial"/>
          <w:sz w:val="18"/>
        </w:rPr>
        <w:t xml:space="preserve">ce qui concerne ses liens </w:t>
      </w:r>
      <w:r>
        <w:rPr>
          <w:rFonts w:ascii="Arial" w:hAnsi="Arial"/>
          <w:sz w:val="18"/>
        </w:rPr>
        <w:t>avec les analyses de la sévérité et le</w:t>
      </w:r>
      <w:r w:rsidR="004531D1">
        <w:rPr>
          <w:rFonts w:ascii="Arial" w:hAnsi="Arial"/>
          <w:sz w:val="18"/>
        </w:rPr>
        <w:t>s</w:t>
      </w:r>
      <w:r>
        <w:rPr>
          <w:rFonts w:ascii="Arial" w:hAnsi="Arial"/>
          <w:sz w:val="18"/>
        </w:rPr>
        <w:t xml:space="preserve"> calculs d</w:t>
      </w:r>
      <w:r w:rsidR="004531D1">
        <w:rPr>
          <w:rFonts w:ascii="Arial" w:hAnsi="Arial"/>
          <w:sz w:val="18"/>
        </w:rPr>
        <w:t>es</w:t>
      </w:r>
      <w:r>
        <w:rPr>
          <w:rFonts w:ascii="Arial" w:hAnsi="Arial"/>
          <w:sz w:val="18"/>
        </w:rPr>
        <w:t xml:space="preserve"> nombre</w:t>
      </w:r>
      <w:r w:rsidR="004531D1">
        <w:rPr>
          <w:rFonts w:ascii="Arial" w:hAnsi="Arial"/>
          <w:sz w:val="18"/>
        </w:rPr>
        <w:t>s</w:t>
      </w:r>
      <w:r>
        <w:rPr>
          <w:rFonts w:ascii="Arial" w:hAnsi="Arial"/>
          <w:sz w:val="18"/>
        </w:rPr>
        <w:t xml:space="preserve"> de personnes dans le besoin (PiN). Les liens avec d’autres cadres d’analyse des risques ne sont pas </w:t>
      </w:r>
      <w:r w:rsidR="00B60803">
        <w:rPr>
          <w:rFonts w:ascii="Arial" w:hAnsi="Arial"/>
          <w:sz w:val="18"/>
        </w:rPr>
        <w:t>examinés</w:t>
      </w:r>
      <w:r>
        <w:rPr>
          <w:rFonts w:ascii="Arial" w:hAnsi="Arial"/>
          <w:sz w:val="18"/>
        </w:rPr>
        <w:t xml:space="preserve"> et devront être établis ultérieurement.</w:t>
      </w:r>
      <w:r w:rsidR="001A6739">
        <w:rPr>
          <w:rFonts w:ascii="Arial" w:hAnsi="Arial"/>
          <w:sz w:val="18"/>
        </w:rPr>
        <w:t xml:space="preserve"> </w:t>
      </w:r>
      <w:r>
        <w:rPr>
          <w:rFonts w:ascii="Arial" w:hAnsi="Arial"/>
          <w:sz w:val="18"/>
        </w:rPr>
        <w:t xml:space="preserve">Les liens entre la sévérité </w:t>
      </w:r>
      <w:r w:rsidR="006D02B1">
        <w:rPr>
          <w:rFonts w:ascii="Arial" w:hAnsi="Arial"/>
          <w:sz w:val="18"/>
        </w:rPr>
        <w:t xml:space="preserve">des besoins </w:t>
      </w:r>
      <w:r>
        <w:rPr>
          <w:rFonts w:ascii="Arial" w:hAnsi="Arial"/>
          <w:sz w:val="18"/>
        </w:rPr>
        <w:t>intersectoriel</w:t>
      </w:r>
      <w:r w:rsidR="006D02B1">
        <w:rPr>
          <w:rFonts w:ascii="Arial" w:hAnsi="Arial"/>
          <w:sz w:val="18"/>
        </w:rPr>
        <w:t>s</w:t>
      </w:r>
      <w:r>
        <w:rPr>
          <w:rFonts w:ascii="Arial" w:hAnsi="Arial"/>
          <w:sz w:val="18"/>
        </w:rPr>
        <w:t xml:space="preserve"> et sectoriel</w:t>
      </w:r>
      <w:r w:rsidR="001A764E">
        <w:rPr>
          <w:rFonts w:ascii="Arial" w:hAnsi="Arial"/>
          <w:sz w:val="18"/>
        </w:rPr>
        <w:t>s</w:t>
      </w:r>
      <w:r>
        <w:rPr>
          <w:rFonts w:ascii="Arial" w:hAnsi="Arial"/>
          <w:sz w:val="18"/>
        </w:rPr>
        <w:t xml:space="preserve"> et les calculs d</w:t>
      </w:r>
      <w:r w:rsidR="00B60803">
        <w:rPr>
          <w:rFonts w:ascii="Arial" w:hAnsi="Arial"/>
          <w:sz w:val="18"/>
        </w:rPr>
        <w:t>es</w:t>
      </w:r>
      <w:r>
        <w:rPr>
          <w:rFonts w:ascii="Arial" w:hAnsi="Arial"/>
          <w:sz w:val="18"/>
        </w:rPr>
        <w:t xml:space="preserve"> nombre</w:t>
      </w:r>
      <w:r w:rsidR="00B60803">
        <w:rPr>
          <w:rFonts w:ascii="Arial" w:hAnsi="Arial"/>
          <w:sz w:val="18"/>
        </w:rPr>
        <w:t>s</w:t>
      </w:r>
      <w:r>
        <w:rPr>
          <w:rFonts w:ascii="Arial" w:hAnsi="Arial"/>
          <w:sz w:val="18"/>
        </w:rPr>
        <w:t xml:space="preserve"> de PiN nécessitent également une discussion plus approfondie et davantage de clarté. La structure et les concepts du JIAF continueront d’évoluer </w:t>
      </w:r>
      <w:r w:rsidR="00B60803">
        <w:rPr>
          <w:rFonts w:ascii="Arial" w:hAnsi="Arial"/>
          <w:sz w:val="18"/>
        </w:rPr>
        <w:t>sur la base d</w:t>
      </w:r>
      <w:r>
        <w:rPr>
          <w:rFonts w:ascii="Arial" w:hAnsi="Arial"/>
          <w:sz w:val="18"/>
        </w:rPr>
        <w:t>es enseignements tirés.</w:t>
      </w:r>
    </w:p>
    <w:p w14:paraId="2FC544FD" w14:textId="77777777" w:rsidR="004F6A09" w:rsidRPr="004F6A09" w:rsidRDefault="004F6A09" w:rsidP="004F6A09">
      <w:pPr>
        <w:rPr>
          <w:rFonts w:ascii="Arial" w:hAnsi="Arial" w:cs="Arial"/>
          <w:sz w:val="18"/>
          <w:szCs w:val="18"/>
        </w:rPr>
      </w:pPr>
    </w:p>
    <w:p w14:paraId="3DF470C8" w14:textId="77777777" w:rsidR="00216EB8" w:rsidRPr="00265947" w:rsidRDefault="00216EB8" w:rsidP="00265947">
      <w:pPr>
        <w:pStyle w:val="Titre2"/>
        <w:rPr>
          <w:rFonts w:ascii="Arial" w:hAnsi="Arial" w:cs="Arial"/>
          <w:b/>
          <w:color w:val="000000"/>
          <w:sz w:val="24"/>
          <w:szCs w:val="24"/>
        </w:rPr>
      </w:pPr>
      <w:bookmarkStart w:id="10" w:name="_Toc90559356"/>
      <w:r>
        <w:rPr>
          <w:rFonts w:ascii="Arial" w:hAnsi="Arial"/>
          <w:b/>
          <w:color w:val="000000"/>
          <w:sz w:val="24"/>
        </w:rPr>
        <w:t>Abréviations</w:t>
      </w:r>
      <w:bookmarkEnd w:id="10"/>
    </w:p>
    <w:p w14:paraId="65977E72" w14:textId="77777777" w:rsidR="00216EB8" w:rsidRPr="00CA2973" w:rsidRDefault="00216EB8" w:rsidP="00216EB8">
      <w:pPr>
        <w:rPr>
          <w:rFonts w:ascii="Arial" w:hAnsi="Arial" w:cs="Arial"/>
          <w:b/>
          <w:bCs/>
          <w:color w:val="000000"/>
        </w:rPr>
        <w:sectPr w:rsidR="00216EB8" w:rsidRPr="00CA2973" w:rsidSect="00216EB8">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6" w:h="16838"/>
          <w:pgMar w:top="1440" w:right="1080" w:bottom="1440" w:left="1080" w:header="144" w:footer="720" w:gutter="0"/>
          <w:pgNumType w:start="1"/>
          <w:cols w:space="720"/>
          <w:docGrid w:linePitch="360"/>
        </w:sectPr>
      </w:pPr>
    </w:p>
    <w:p w14:paraId="7FDADACA" w14:textId="77777777" w:rsidR="00216EB8" w:rsidRPr="00FF1E33" w:rsidRDefault="009D190B" w:rsidP="00216EB8">
      <w:pPr>
        <w:jc w:val="both"/>
        <w:rPr>
          <w:rFonts w:ascii="Arial" w:hAnsi="Arial" w:cs="Arial"/>
          <w:sz w:val="18"/>
          <w:szCs w:val="18"/>
        </w:rPr>
      </w:pPr>
      <w:r>
        <w:rPr>
          <w:rFonts w:ascii="Arial" w:hAnsi="Arial"/>
          <w:sz w:val="18"/>
        </w:rPr>
        <w:t xml:space="preserve">AMN – Malnutrition aiguë </w:t>
      </w:r>
    </w:p>
    <w:p w14:paraId="0A086F7F" w14:textId="77777777" w:rsidR="00216EB8" w:rsidRPr="00FF1E33" w:rsidRDefault="00216EB8" w:rsidP="00216EB8">
      <w:pPr>
        <w:jc w:val="both"/>
        <w:rPr>
          <w:rFonts w:ascii="Arial" w:hAnsi="Arial" w:cs="Arial"/>
          <w:sz w:val="18"/>
          <w:szCs w:val="18"/>
        </w:rPr>
      </w:pPr>
      <w:r>
        <w:rPr>
          <w:rFonts w:ascii="Arial" w:hAnsi="Arial"/>
          <w:sz w:val="18"/>
        </w:rPr>
        <w:t>SLM – Substitut du lait maternel</w:t>
      </w:r>
    </w:p>
    <w:p w14:paraId="00AA1536" w14:textId="77777777" w:rsidR="00216EB8" w:rsidRPr="00FF1E33" w:rsidRDefault="00216EB8" w:rsidP="00216EB8">
      <w:pPr>
        <w:jc w:val="both"/>
        <w:rPr>
          <w:rFonts w:ascii="Arial" w:hAnsi="Arial" w:cs="Arial"/>
          <w:sz w:val="18"/>
          <w:szCs w:val="18"/>
        </w:rPr>
      </w:pPr>
      <w:r>
        <w:rPr>
          <w:rFonts w:ascii="Arial" w:hAnsi="Arial"/>
          <w:sz w:val="18"/>
        </w:rPr>
        <w:t>ENA – Emergency Nutrition Assessment (logiciel d’évaluation de l’urgence nutritionnelle)</w:t>
      </w:r>
    </w:p>
    <w:p w14:paraId="17FC6354" w14:textId="77777777" w:rsidR="008547FD" w:rsidRPr="00B60803" w:rsidRDefault="008547FD" w:rsidP="00216EB8">
      <w:pPr>
        <w:jc w:val="both"/>
        <w:rPr>
          <w:rFonts w:ascii="Arial" w:hAnsi="Arial" w:cs="Arial"/>
          <w:sz w:val="18"/>
          <w:szCs w:val="18"/>
        </w:rPr>
      </w:pPr>
      <w:proofErr w:type="gramStart"/>
      <w:r>
        <w:rPr>
          <w:rFonts w:ascii="Arial" w:hAnsi="Arial"/>
          <w:sz w:val="18"/>
        </w:rPr>
        <w:t>cMAG</w:t>
      </w:r>
      <w:proofErr w:type="gramEnd"/>
      <w:r>
        <w:rPr>
          <w:rFonts w:ascii="Arial" w:hAnsi="Arial"/>
          <w:sz w:val="18"/>
        </w:rPr>
        <w:t xml:space="preserve"> – </w:t>
      </w:r>
      <w:r w:rsidRPr="00B60803">
        <w:rPr>
          <w:rFonts w:ascii="Arial" w:hAnsi="Arial" w:cs="Arial"/>
          <w:sz w:val="18"/>
          <w:szCs w:val="18"/>
        </w:rPr>
        <w:t>Malnutrition aiguë globale combinée (</w:t>
      </w:r>
      <w:bookmarkStart w:id="11" w:name="_Hlk37146476"/>
      <w:r w:rsidRPr="00B60803">
        <w:rPr>
          <w:rFonts w:ascii="Arial" w:hAnsi="Arial" w:cs="Arial"/>
          <w:sz w:val="18"/>
          <w:szCs w:val="18"/>
        </w:rPr>
        <w:t>indicateur combiné de la malnutrition aiguë globale basée sur le rapport poids/taille et de la malnutrition aiguë globale basée sur le périmètre brachial)</w:t>
      </w:r>
    </w:p>
    <w:p w14:paraId="487B5586"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MAG – Malnutrition aiguë globale</w:t>
      </w:r>
    </w:p>
    <w:p w14:paraId="3E8CCA03"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 xml:space="preserve">GNC – Cluster Nutrition Global </w:t>
      </w:r>
    </w:p>
    <w:p w14:paraId="3A2EAC75" w14:textId="08B843C7" w:rsidR="00CE4614" w:rsidRPr="00B60803" w:rsidRDefault="00CE4614" w:rsidP="00CE4614">
      <w:pPr>
        <w:jc w:val="both"/>
        <w:rPr>
          <w:rFonts w:ascii="Arial" w:hAnsi="Arial" w:cs="Arial"/>
          <w:sz w:val="18"/>
          <w:szCs w:val="18"/>
        </w:rPr>
      </w:pPr>
      <w:r w:rsidRPr="00B60803">
        <w:rPr>
          <w:rFonts w:ascii="Arial" w:hAnsi="Arial" w:cs="Arial"/>
          <w:sz w:val="18"/>
          <w:szCs w:val="18"/>
        </w:rPr>
        <w:t xml:space="preserve">GNC-CT – Équipe </w:t>
      </w:r>
      <w:r w:rsidR="006D02B1">
        <w:rPr>
          <w:rFonts w:ascii="Arial" w:hAnsi="Arial" w:cs="Arial"/>
          <w:sz w:val="18"/>
          <w:szCs w:val="18"/>
        </w:rPr>
        <w:t>de coordination</w:t>
      </w:r>
      <w:r w:rsidR="006D02B1" w:rsidRPr="00B60803">
        <w:rPr>
          <w:rFonts w:ascii="Arial" w:hAnsi="Arial" w:cs="Arial"/>
          <w:sz w:val="18"/>
          <w:szCs w:val="18"/>
        </w:rPr>
        <w:t xml:space="preserve"> </w:t>
      </w:r>
      <w:r w:rsidRPr="00B60803">
        <w:rPr>
          <w:rFonts w:ascii="Arial" w:hAnsi="Arial" w:cs="Arial"/>
          <w:sz w:val="18"/>
          <w:szCs w:val="18"/>
        </w:rPr>
        <w:t>du Cluster Nutrition Global</w:t>
      </w:r>
    </w:p>
    <w:p w14:paraId="2B9AD667" w14:textId="77777777" w:rsidR="003C1141" w:rsidRPr="00B60803" w:rsidRDefault="003C1141" w:rsidP="00216EB8">
      <w:pPr>
        <w:jc w:val="both"/>
        <w:rPr>
          <w:rFonts w:ascii="Arial" w:hAnsi="Arial" w:cs="Arial"/>
          <w:sz w:val="18"/>
          <w:szCs w:val="18"/>
        </w:rPr>
      </w:pPr>
      <w:r w:rsidRPr="00B60803">
        <w:rPr>
          <w:rFonts w:ascii="Arial" w:hAnsi="Arial" w:cs="Arial"/>
          <w:sz w:val="18"/>
          <w:szCs w:val="18"/>
        </w:rPr>
        <w:t>GSU – Global Support Unit (Unité de soutien global)</w:t>
      </w:r>
    </w:p>
    <w:p w14:paraId="6E1FF559"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GTAM – G</w:t>
      </w:r>
      <w:bookmarkEnd w:id="11"/>
      <w:r w:rsidRPr="00B60803">
        <w:rPr>
          <w:rFonts w:ascii="Arial" w:hAnsi="Arial" w:cs="Arial"/>
          <w:sz w:val="18"/>
          <w:szCs w:val="18"/>
        </w:rPr>
        <w:t xml:space="preserve">lobal Technical Assistance Mechanism for Nutrition (Mécanisme mondial d’assistance technique pour la nutrition) </w:t>
      </w:r>
    </w:p>
    <w:p w14:paraId="5B143F8E" w14:textId="48918CF0" w:rsidR="00BD514D" w:rsidRPr="00B60803" w:rsidRDefault="00D432BA" w:rsidP="00216EB8">
      <w:pPr>
        <w:jc w:val="both"/>
        <w:rPr>
          <w:rFonts w:ascii="Arial" w:hAnsi="Arial" w:cs="Arial"/>
          <w:sz w:val="18"/>
          <w:szCs w:val="18"/>
        </w:rPr>
      </w:pPr>
      <w:r>
        <w:rPr>
          <w:rFonts w:ascii="Arial" w:hAnsi="Arial" w:cs="Arial"/>
          <w:sz w:val="18"/>
          <w:szCs w:val="18"/>
        </w:rPr>
        <w:t>T</w:t>
      </w:r>
      <w:r w:rsidR="00BD514D" w:rsidRPr="00B60803">
        <w:rPr>
          <w:rFonts w:ascii="Arial" w:hAnsi="Arial" w:cs="Arial"/>
          <w:sz w:val="18"/>
          <w:szCs w:val="18"/>
        </w:rPr>
        <w:t xml:space="preserve">AZ – Rapport </w:t>
      </w:r>
      <w:r>
        <w:rPr>
          <w:rFonts w:ascii="Arial" w:hAnsi="Arial" w:cs="Arial"/>
          <w:sz w:val="18"/>
          <w:szCs w:val="18"/>
        </w:rPr>
        <w:t>taille</w:t>
      </w:r>
      <w:r w:rsidR="00BD514D" w:rsidRPr="00B60803">
        <w:rPr>
          <w:rFonts w:ascii="Arial" w:hAnsi="Arial" w:cs="Arial"/>
          <w:sz w:val="18"/>
          <w:szCs w:val="18"/>
        </w:rPr>
        <w:t>/âge (</w:t>
      </w:r>
      <w:r>
        <w:rPr>
          <w:rFonts w:ascii="Arial" w:hAnsi="Arial" w:cs="Arial"/>
          <w:sz w:val="18"/>
          <w:szCs w:val="18"/>
        </w:rPr>
        <w:t>T</w:t>
      </w:r>
      <w:r w:rsidR="00BD514D" w:rsidRPr="00B60803">
        <w:rPr>
          <w:rFonts w:ascii="Arial" w:hAnsi="Arial" w:cs="Arial"/>
          <w:sz w:val="18"/>
          <w:szCs w:val="18"/>
        </w:rPr>
        <w:t>/</w:t>
      </w:r>
      <w:r>
        <w:rPr>
          <w:rFonts w:ascii="Arial" w:hAnsi="Arial" w:cs="Arial"/>
          <w:sz w:val="18"/>
          <w:szCs w:val="18"/>
        </w:rPr>
        <w:t>A</w:t>
      </w:r>
      <w:r w:rsidR="00BD514D" w:rsidRPr="00B60803">
        <w:rPr>
          <w:rFonts w:ascii="Arial" w:hAnsi="Arial" w:cs="Arial"/>
          <w:sz w:val="18"/>
          <w:szCs w:val="18"/>
        </w:rPr>
        <w:t>)</w:t>
      </w:r>
    </w:p>
    <w:p w14:paraId="32D71DE7"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 xml:space="preserve">ABH – Aperçu des besoins humanitaires </w:t>
      </w:r>
    </w:p>
    <w:p w14:paraId="01A2EF4E"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 xml:space="preserve">IASC – Inter-Agency Standing Committee (Comité permanent interorganisations) </w:t>
      </w:r>
    </w:p>
    <w:p w14:paraId="62C32248" w14:textId="77777777" w:rsidR="008016DC" w:rsidRPr="00B60803" w:rsidRDefault="008016DC" w:rsidP="00216EB8">
      <w:pPr>
        <w:jc w:val="both"/>
        <w:rPr>
          <w:rFonts w:ascii="Arial" w:hAnsi="Arial" w:cs="Arial"/>
          <w:sz w:val="18"/>
          <w:szCs w:val="18"/>
        </w:rPr>
      </w:pPr>
      <w:r w:rsidRPr="00B60803">
        <w:rPr>
          <w:rFonts w:ascii="Arial" w:hAnsi="Arial" w:cs="Arial"/>
          <w:sz w:val="18"/>
          <w:szCs w:val="18"/>
        </w:rPr>
        <w:t xml:space="preserve">IFE Core Group – Groupe d’experts pour la sensibilisation et les ressources en alimentation du nourrisson et du jeune enfant en situation d’urgence </w:t>
      </w:r>
    </w:p>
    <w:p w14:paraId="7306FEAB" w14:textId="3BF6AEAE" w:rsidR="00216EB8" w:rsidRPr="00B60803" w:rsidRDefault="006D02B1" w:rsidP="00216EB8">
      <w:pPr>
        <w:jc w:val="both"/>
        <w:rPr>
          <w:rFonts w:ascii="Arial" w:hAnsi="Arial" w:cs="Arial"/>
          <w:sz w:val="18"/>
          <w:szCs w:val="18"/>
        </w:rPr>
      </w:pPr>
      <w:r>
        <w:rPr>
          <w:rFonts w:ascii="Arial" w:hAnsi="Arial" w:cs="Arial"/>
          <w:sz w:val="18"/>
          <w:szCs w:val="18"/>
        </w:rPr>
        <w:t>P</w:t>
      </w:r>
      <w:r w:rsidR="00216EB8" w:rsidRPr="00B60803">
        <w:rPr>
          <w:rFonts w:ascii="Arial" w:hAnsi="Arial" w:cs="Arial"/>
          <w:sz w:val="18"/>
          <w:szCs w:val="18"/>
        </w:rPr>
        <w:t xml:space="preserve">DI – </w:t>
      </w:r>
      <w:r>
        <w:rPr>
          <w:rFonts w:ascii="Arial" w:hAnsi="Arial" w:cs="Arial"/>
          <w:sz w:val="18"/>
          <w:szCs w:val="18"/>
        </w:rPr>
        <w:t xml:space="preserve">Personnes </w:t>
      </w:r>
      <w:r w:rsidR="00216EB8" w:rsidRPr="00B60803">
        <w:rPr>
          <w:rFonts w:ascii="Arial" w:hAnsi="Arial" w:cs="Arial"/>
          <w:sz w:val="18"/>
          <w:szCs w:val="18"/>
        </w:rPr>
        <w:t xml:space="preserve">Déplacés internes </w:t>
      </w:r>
    </w:p>
    <w:p w14:paraId="6E64DB9B" w14:textId="7893FECB" w:rsidR="00216EB8" w:rsidRPr="00B60803" w:rsidRDefault="00216EB8" w:rsidP="00216EB8">
      <w:pPr>
        <w:jc w:val="both"/>
        <w:rPr>
          <w:rFonts w:ascii="Arial" w:hAnsi="Arial" w:cs="Arial"/>
          <w:sz w:val="18"/>
          <w:szCs w:val="18"/>
        </w:rPr>
      </w:pPr>
      <w:r w:rsidRPr="00B60803">
        <w:rPr>
          <w:rFonts w:ascii="Arial" w:hAnsi="Arial" w:cs="Arial"/>
          <w:sz w:val="18"/>
          <w:szCs w:val="18"/>
        </w:rPr>
        <w:t xml:space="preserve">GI – </w:t>
      </w:r>
      <w:r w:rsidR="006D02B1">
        <w:rPr>
          <w:rFonts w:ascii="Arial" w:hAnsi="Arial" w:cs="Arial"/>
          <w:sz w:val="18"/>
          <w:szCs w:val="18"/>
        </w:rPr>
        <w:t>Gestionnaire</w:t>
      </w:r>
      <w:r w:rsidRPr="00B60803">
        <w:rPr>
          <w:rFonts w:ascii="Arial" w:hAnsi="Arial" w:cs="Arial"/>
          <w:sz w:val="18"/>
          <w:szCs w:val="18"/>
        </w:rPr>
        <w:t xml:space="preserve"> de l’information </w:t>
      </w:r>
    </w:p>
    <w:p w14:paraId="2E49C252"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 xml:space="preserve">IPC – Integrated Food Security Phase Classification (Cadre intégré de classification de la sécurité alimentaire) </w:t>
      </w:r>
    </w:p>
    <w:p w14:paraId="5EB084C0" w14:textId="77777777" w:rsidR="00CE4614" w:rsidRPr="00B60803" w:rsidRDefault="00CE4614" w:rsidP="00CE4614">
      <w:pPr>
        <w:jc w:val="both"/>
        <w:rPr>
          <w:rFonts w:ascii="Arial" w:hAnsi="Arial" w:cs="Arial"/>
          <w:sz w:val="18"/>
          <w:szCs w:val="18"/>
        </w:rPr>
      </w:pPr>
      <w:r w:rsidRPr="00B60803">
        <w:rPr>
          <w:rFonts w:ascii="Arial" w:hAnsi="Arial" w:cs="Arial"/>
          <w:sz w:val="18"/>
          <w:szCs w:val="18"/>
        </w:rPr>
        <w:t>IPC AMN – Integrated Food Security Phase Classification for Acute Malnutrition (Cadre intégré de classification de la sécurité alimentaire pour la malnutrition aiguë)</w:t>
      </w:r>
    </w:p>
    <w:p w14:paraId="34E1A619"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ANJE – Alimentation du nourrisson et du jeune enfant</w:t>
      </w:r>
    </w:p>
    <w:p w14:paraId="4FADD995"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ANJE-U – Alimentation du nourrisson et du jeune enfant en situation d’urgence</w:t>
      </w:r>
    </w:p>
    <w:p w14:paraId="5B81146D" w14:textId="77777777" w:rsidR="00CE4614" w:rsidRPr="00B60803" w:rsidRDefault="00CE4614" w:rsidP="00CE4614">
      <w:pPr>
        <w:jc w:val="both"/>
        <w:rPr>
          <w:rFonts w:ascii="Arial" w:hAnsi="Arial" w:cs="Arial"/>
          <w:sz w:val="18"/>
          <w:szCs w:val="18"/>
        </w:rPr>
      </w:pPr>
      <w:r w:rsidRPr="00B60803">
        <w:rPr>
          <w:rFonts w:ascii="Arial" w:hAnsi="Arial" w:cs="Arial"/>
          <w:sz w:val="18"/>
          <w:szCs w:val="18"/>
        </w:rPr>
        <w:t>JIAF – Joint Inter-sectoral Analysis Framework (Cadre d’analyse intersectorielle conjointe)</w:t>
      </w:r>
    </w:p>
    <w:p w14:paraId="01F977A3" w14:textId="77777777" w:rsidR="00BD514D" w:rsidRPr="00B60803" w:rsidRDefault="00BD514D" w:rsidP="00216EB8">
      <w:pPr>
        <w:jc w:val="both"/>
        <w:rPr>
          <w:rFonts w:ascii="Arial" w:hAnsi="Arial" w:cs="Arial"/>
          <w:sz w:val="18"/>
          <w:szCs w:val="18"/>
        </w:rPr>
      </w:pPr>
      <w:r w:rsidRPr="00B60803">
        <w:rPr>
          <w:rFonts w:ascii="Arial" w:hAnsi="Arial" w:cs="Arial"/>
          <w:sz w:val="18"/>
          <w:szCs w:val="18"/>
        </w:rPr>
        <w:t>FA – Femmes allaitantes</w:t>
      </w:r>
    </w:p>
    <w:p w14:paraId="5A6F5A1E"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MAM – Malnutrition aiguë modérée</w:t>
      </w:r>
    </w:p>
    <w:p w14:paraId="7CE109B0" w14:textId="3357FDC7" w:rsidR="00216EB8" w:rsidRPr="00B60803" w:rsidRDefault="00216EB8" w:rsidP="00216EB8">
      <w:pPr>
        <w:jc w:val="both"/>
        <w:rPr>
          <w:rFonts w:ascii="Arial" w:hAnsi="Arial" w:cs="Arial"/>
          <w:sz w:val="18"/>
          <w:szCs w:val="18"/>
        </w:rPr>
      </w:pPr>
      <w:r w:rsidRPr="00B60803">
        <w:rPr>
          <w:rFonts w:ascii="Arial" w:hAnsi="Arial" w:cs="Arial"/>
          <w:sz w:val="18"/>
          <w:szCs w:val="18"/>
        </w:rPr>
        <w:t>MICS – Multiple Indicator Cluster Survey (Enquête par grappe à indicateurs multiples)</w:t>
      </w:r>
    </w:p>
    <w:p w14:paraId="603D9F25"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PB – Périmètre brachial</w:t>
      </w:r>
    </w:p>
    <w:p w14:paraId="370F322C"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 xml:space="preserve">NCC – Nutrition Cluster Coordinator (Coordinateur du Cluster Nutrition)    </w:t>
      </w:r>
    </w:p>
    <w:p w14:paraId="5D0492C1" w14:textId="77777777" w:rsidR="00216EB8" w:rsidRPr="00B60803" w:rsidRDefault="00216EB8" w:rsidP="00216EB8">
      <w:pPr>
        <w:jc w:val="both"/>
        <w:rPr>
          <w:rFonts w:ascii="Arial" w:hAnsi="Arial" w:cs="Arial"/>
          <w:sz w:val="18"/>
          <w:szCs w:val="18"/>
        </w:rPr>
      </w:pPr>
      <w:r w:rsidRPr="00B60803">
        <w:rPr>
          <w:rFonts w:ascii="Arial" w:hAnsi="Arial" w:cs="Arial"/>
          <w:sz w:val="18"/>
          <w:szCs w:val="18"/>
        </w:rPr>
        <w:t xml:space="preserve">NSU – Nutrition en situation d’urgence     </w:t>
      </w:r>
    </w:p>
    <w:p w14:paraId="137EEEFA" w14:textId="77777777" w:rsidR="00CE4614" w:rsidRPr="00B60803" w:rsidRDefault="00CE4614" w:rsidP="00CE4614">
      <w:pPr>
        <w:jc w:val="both"/>
        <w:rPr>
          <w:rFonts w:ascii="Arial" w:hAnsi="Arial" w:cs="Arial"/>
          <w:sz w:val="18"/>
          <w:szCs w:val="18"/>
        </w:rPr>
      </w:pPr>
      <w:r w:rsidRPr="00B60803">
        <w:rPr>
          <w:rFonts w:ascii="Arial" w:hAnsi="Arial" w:cs="Arial"/>
          <w:sz w:val="18"/>
          <w:szCs w:val="18"/>
        </w:rPr>
        <w:t xml:space="preserve">SIN – Système d’information nutritionnelle </w:t>
      </w:r>
    </w:p>
    <w:p w14:paraId="07A29FC6" w14:textId="77777777" w:rsidR="00C70EB0" w:rsidRPr="00B60803" w:rsidRDefault="00C70EB0" w:rsidP="00216EB8">
      <w:pPr>
        <w:jc w:val="both"/>
        <w:rPr>
          <w:rFonts w:ascii="Arial" w:hAnsi="Arial" w:cs="Arial"/>
          <w:sz w:val="18"/>
          <w:szCs w:val="18"/>
        </w:rPr>
      </w:pPr>
      <w:r w:rsidRPr="00B60803">
        <w:rPr>
          <w:rFonts w:ascii="Arial" w:hAnsi="Arial" w:cs="Arial"/>
          <w:sz w:val="18"/>
          <w:szCs w:val="18"/>
        </w:rPr>
        <w:t xml:space="preserve">GTT SIN – Groupe de travail technique sur les systèmes d’information nutritionnelle     </w:t>
      </w:r>
    </w:p>
    <w:p w14:paraId="04D83631" w14:textId="77777777" w:rsidR="00216EB8" w:rsidRPr="00FF1E33" w:rsidRDefault="00216EB8" w:rsidP="00216EB8">
      <w:pPr>
        <w:jc w:val="both"/>
        <w:rPr>
          <w:rFonts w:ascii="Arial" w:hAnsi="Arial" w:cs="Arial"/>
          <w:sz w:val="18"/>
          <w:szCs w:val="18"/>
        </w:rPr>
      </w:pPr>
      <w:r w:rsidRPr="00B60803">
        <w:rPr>
          <w:rFonts w:ascii="Arial" w:hAnsi="Arial" w:cs="Arial"/>
          <w:sz w:val="18"/>
          <w:szCs w:val="18"/>
        </w:rPr>
        <w:t>OCHA</w:t>
      </w:r>
      <w:r>
        <w:rPr>
          <w:rFonts w:ascii="Arial" w:hAnsi="Arial"/>
          <w:sz w:val="18"/>
        </w:rPr>
        <w:t xml:space="preserve"> – Bureau de la coordination des affaires humanitaires (de l’ONU) </w:t>
      </w:r>
    </w:p>
    <w:p w14:paraId="75A39F4F" w14:textId="77777777" w:rsidR="00CE4614" w:rsidRPr="00FF1E33" w:rsidRDefault="00CE4614" w:rsidP="00CE4614">
      <w:pPr>
        <w:jc w:val="both"/>
        <w:rPr>
          <w:rFonts w:ascii="Arial" w:hAnsi="Arial" w:cs="Arial"/>
          <w:sz w:val="18"/>
          <w:szCs w:val="18"/>
        </w:rPr>
      </w:pPr>
      <w:r>
        <w:rPr>
          <w:rFonts w:ascii="Arial" w:hAnsi="Arial"/>
          <w:sz w:val="18"/>
        </w:rPr>
        <w:t xml:space="preserve">PiN – People in Need (personnes dans le besoin) </w:t>
      </w:r>
    </w:p>
    <w:p w14:paraId="21238BAB" w14:textId="6FC06861" w:rsidR="00BD514D" w:rsidRPr="00FF1E33" w:rsidRDefault="00BD514D" w:rsidP="00216EB8">
      <w:pPr>
        <w:jc w:val="both"/>
        <w:rPr>
          <w:rFonts w:ascii="Arial" w:hAnsi="Arial" w:cs="Arial"/>
          <w:sz w:val="18"/>
          <w:szCs w:val="18"/>
        </w:rPr>
      </w:pPr>
      <w:r>
        <w:rPr>
          <w:rFonts w:ascii="Arial" w:hAnsi="Arial"/>
          <w:sz w:val="18"/>
        </w:rPr>
        <w:t xml:space="preserve">FEFA – Femmes enceintes et </w:t>
      </w:r>
      <w:r w:rsidR="00B9276B">
        <w:rPr>
          <w:rFonts w:ascii="Arial" w:hAnsi="Arial"/>
          <w:sz w:val="18"/>
        </w:rPr>
        <w:t xml:space="preserve">femmes </w:t>
      </w:r>
      <w:r>
        <w:rPr>
          <w:rFonts w:ascii="Arial" w:hAnsi="Arial"/>
          <w:sz w:val="18"/>
        </w:rPr>
        <w:t xml:space="preserve">allaitantes </w:t>
      </w:r>
    </w:p>
    <w:p w14:paraId="6BB1DD3C" w14:textId="77777777" w:rsidR="00216EB8" w:rsidRPr="00FF1E33" w:rsidRDefault="00216EB8" w:rsidP="00216EB8">
      <w:pPr>
        <w:jc w:val="both"/>
        <w:rPr>
          <w:rFonts w:ascii="Arial" w:hAnsi="Arial" w:cs="Arial"/>
          <w:sz w:val="18"/>
          <w:szCs w:val="18"/>
        </w:rPr>
      </w:pPr>
      <w:r>
        <w:rPr>
          <w:rFonts w:ascii="Arial" w:hAnsi="Arial"/>
          <w:sz w:val="18"/>
        </w:rPr>
        <w:t>DVSA – Données ventilées selon le sexe et l’âge</w:t>
      </w:r>
    </w:p>
    <w:p w14:paraId="218136E4" w14:textId="77777777" w:rsidR="005E1E9C" w:rsidRPr="00FF1E33" w:rsidRDefault="005E1E9C" w:rsidP="005E1E9C">
      <w:pPr>
        <w:jc w:val="both"/>
        <w:rPr>
          <w:rFonts w:ascii="Arial" w:hAnsi="Arial" w:cs="Arial"/>
          <w:sz w:val="18"/>
          <w:szCs w:val="18"/>
        </w:rPr>
      </w:pPr>
      <w:proofErr w:type="gramStart"/>
      <w:r>
        <w:rPr>
          <w:rFonts w:ascii="Arial" w:hAnsi="Arial"/>
          <w:sz w:val="18"/>
        </w:rPr>
        <w:lastRenderedPageBreak/>
        <w:t>cMAS</w:t>
      </w:r>
      <w:proofErr w:type="gramEnd"/>
      <w:r>
        <w:rPr>
          <w:rFonts w:ascii="Arial" w:hAnsi="Arial"/>
          <w:sz w:val="18"/>
        </w:rPr>
        <w:t xml:space="preserve"> – Malnutrition aiguë sévère combinée (indicateur combiné de la malnutrition aiguë sévère basée sur le rapport poids/taille et de la malnutrition aiguë sévère basée sur le périmètre brachial)</w:t>
      </w:r>
    </w:p>
    <w:p w14:paraId="75239879" w14:textId="77777777" w:rsidR="00216EB8" w:rsidRPr="00FF1E33" w:rsidRDefault="00216EB8" w:rsidP="00216EB8">
      <w:pPr>
        <w:jc w:val="both"/>
        <w:rPr>
          <w:rFonts w:ascii="Arial" w:hAnsi="Arial" w:cs="Arial"/>
          <w:sz w:val="18"/>
          <w:szCs w:val="18"/>
        </w:rPr>
      </w:pPr>
      <w:r>
        <w:rPr>
          <w:rFonts w:ascii="Arial" w:hAnsi="Arial"/>
          <w:sz w:val="18"/>
        </w:rPr>
        <w:t>MAS – Malnutrition aiguë sévère</w:t>
      </w:r>
    </w:p>
    <w:p w14:paraId="719D5D61" w14:textId="13E696C6" w:rsidR="00216EB8" w:rsidRPr="00FF1E33" w:rsidRDefault="00216EB8" w:rsidP="00216EB8">
      <w:pPr>
        <w:jc w:val="both"/>
        <w:rPr>
          <w:rFonts w:ascii="Arial" w:hAnsi="Arial" w:cs="Arial"/>
          <w:sz w:val="18"/>
          <w:szCs w:val="18"/>
        </w:rPr>
      </w:pPr>
      <w:r>
        <w:rPr>
          <w:rFonts w:ascii="Arial" w:hAnsi="Arial"/>
          <w:sz w:val="18"/>
        </w:rPr>
        <w:t>SMART – Standardized Monitoring and Assessment of Relief and Transitions (Suivi et évaluation</w:t>
      </w:r>
      <w:r w:rsidR="0009769E">
        <w:rPr>
          <w:rFonts w:ascii="Arial" w:hAnsi="Arial"/>
          <w:sz w:val="18"/>
        </w:rPr>
        <w:t xml:space="preserve"> </w:t>
      </w:r>
      <w:r w:rsidR="001A764E">
        <w:rPr>
          <w:rFonts w:ascii="Arial" w:hAnsi="Arial"/>
          <w:sz w:val="18"/>
        </w:rPr>
        <w:t>standardisé</w:t>
      </w:r>
      <w:r w:rsidR="0009769E">
        <w:rPr>
          <w:rFonts w:ascii="Arial" w:hAnsi="Arial"/>
          <w:sz w:val="18"/>
        </w:rPr>
        <w:t>e</w:t>
      </w:r>
      <w:r w:rsidR="001A764E">
        <w:rPr>
          <w:rFonts w:ascii="Arial" w:hAnsi="Arial"/>
          <w:sz w:val="18"/>
        </w:rPr>
        <w:t xml:space="preserve"> dans</w:t>
      </w:r>
      <w:r>
        <w:rPr>
          <w:rFonts w:ascii="Arial" w:hAnsi="Arial"/>
          <w:sz w:val="18"/>
        </w:rPr>
        <w:t xml:space="preserve"> les situations d’urgence et de transition)</w:t>
      </w:r>
    </w:p>
    <w:p w14:paraId="3D144328" w14:textId="77777777" w:rsidR="00216EB8" w:rsidRPr="00FF1E33" w:rsidRDefault="00216EB8" w:rsidP="00216EB8">
      <w:pPr>
        <w:jc w:val="both"/>
        <w:rPr>
          <w:rFonts w:ascii="Arial" w:hAnsi="Arial" w:cs="Arial"/>
          <w:sz w:val="18"/>
          <w:szCs w:val="18"/>
        </w:rPr>
      </w:pPr>
      <w:r>
        <w:rPr>
          <w:rFonts w:ascii="Arial" w:hAnsi="Arial"/>
          <w:sz w:val="18"/>
        </w:rPr>
        <w:t>U2 – Enfants de moins de 2 ans</w:t>
      </w:r>
    </w:p>
    <w:p w14:paraId="4D61252E" w14:textId="77777777" w:rsidR="00216EB8" w:rsidRPr="00FF1E33" w:rsidRDefault="00216EB8" w:rsidP="00216EB8">
      <w:pPr>
        <w:jc w:val="both"/>
        <w:rPr>
          <w:rFonts w:ascii="Arial" w:hAnsi="Arial" w:cs="Arial"/>
          <w:sz w:val="18"/>
          <w:szCs w:val="18"/>
        </w:rPr>
      </w:pPr>
      <w:r>
        <w:rPr>
          <w:rFonts w:ascii="Arial" w:hAnsi="Arial"/>
          <w:sz w:val="18"/>
        </w:rPr>
        <w:t xml:space="preserve">U5 – Enfants de moins de 5 ans </w:t>
      </w:r>
    </w:p>
    <w:p w14:paraId="22DC32C6" w14:textId="77777777" w:rsidR="00216EB8" w:rsidRPr="00FF1E33" w:rsidRDefault="00216EB8" w:rsidP="00216EB8">
      <w:pPr>
        <w:jc w:val="both"/>
        <w:rPr>
          <w:rFonts w:ascii="Arial" w:hAnsi="Arial" w:cs="Arial"/>
          <w:sz w:val="18"/>
          <w:szCs w:val="18"/>
        </w:rPr>
      </w:pPr>
      <w:r>
        <w:rPr>
          <w:rFonts w:ascii="Arial" w:hAnsi="Arial"/>
          <w:sz w:val="18"/>
        </w:rPr>
        <w:t xml:space="preserve">UNICEF – Fonds des Nations Unies pour l’enfance </w:t>
      </w:r>
    </w:p>
    <w:p w14:paraId="7494A055" w14:textId="77777777" w:rsidR="00216EB8" w:rsidRPr="00FF1E33" w:rsidRDefault="00216EB8" w:rsidP="00216EB8">
      <w:pPr>
        <w:jc w:val="both"/>
        <w:rPr>
          <w:rFonts w:ascii="Arial" w:hAnsi="Arial" w:cs="Arial"/>
          <w:sz w:val="18"/>
          <w:szCs w:val="18"/>
        </w:rPr>
      </w:pPr>
      <w:r>
        <w:rPr>
          <w:rFonts w:ascii="Arial" w:hAnsi="Arial"/>
          <w:sz w:val="18"/>
        </w:rPr>
        <w:t>OMS – Organisation mondiale de la Santé</w:t>
      </w:r>
    </w:p>
    <w:p w14:paraId="04D7C4E2" w14:textId="77777777" w:rsidR="00216EB8" w:rsidRPr="00FF1E33" w:rsidRDefault="00216EB8" w:rsidP="00216EB8">
      <w:pPr>
        <w:jc w:val="both"/>
        <w:rPr>
          <w:rFonts w:ascii="Arial" w:hAnsi="Arial" w:cs="Arial"/>
          <w:sz w:val="18"/>
          <w:szCs w:val="18"/>
        </w:rPr>
      </w:pPr>
      <w:r>
        <w:rPr>
          <w:rFonts w:ascii="Arial" w:hAnsi="Arial"/>
          <w:sz w:val="18"/>
        </w:rPr>
        <w:t>PAM – Programme alimentaire mondial</w:t>
      </w:r>
    </w:p>
    <w:p w14:paraId="64A8CA12" w14:textId="4722C2CE" w:rsidR="00216EB8" w:rsidRPr="00FF1E33" w:rsidRDefault="00216EB8" w:rsidP="00216EB8">
      <w:pPr>
        <w:jc w:val="both"/>
        <w:rPr>
          <w:rFonts w:ascii="Arial" w:hAnsi="Arial" w:cs="Arial"/>
          <w:sz w:val="18"/>
          <w:szCs w:val="18"/>
        </w:rPr>
      </w:pPr>
      <w:r>
        <w:rPr>
          <w:rFonts w:ascii="Arial" w:hAnsi="Arial"/>
          <w:sz w:val="18"/>
        </w:rPr>
        <w:t xml:space="preserve">PTZ – </w:t>
      </w:r>
      <w:r w:rsidR="006D02B1">
        <w:rPr>
          <w:rFonts w:ascii="Arial" w:hAnsi="Arial"/>
          <w:sz w:val="18"/>
        </w:rPr>
        <w:t>Z-score du r</w:t>
      </w:r>
      <w:r>
        <w:rPr>
          <w:rFonts w:ascii="Arial" w:hAnsi="Arial"/>
          <w:sz w:val="18"/>
        </w:rPr>
        <w:t>apport poids/taille (P/T)</w:t>
      </w:r>
    </w:p>
    <w:p w14:paraId="3A5D08AE" w14:textId="77777777" w:rsidR="00FF1E33" w:rsidRDefault="00FF1E33">
      <w:pPr>
        <w:rPr>
          <w:rFonts w:ascii="Arial" w:hAnsi="Arial" w:cs="Arial"/>
          <w:b/>
          <w:bCs/>
          <w:color w:val="000000"/>
        </w:rPr>
        <w:sectPr w:rsidR="00FF1E33" w:rsidSect="00FF1E33">
          <w:endnotePr>
            <w:numFmt w:val="decimal"/>
          </w:endnotePr>
          <w:type w:val="continuous"/>
          <w:pgSz w:w="11906" w:h="16838"/>
          <w:pgMar w:top="1440" w:right="1080" w:bottom="1440" w:left="1080" w:header="144" w:footer="720" w:gutter="0"/>
          <w:cols w:num="2" w:space="720"/>
          <w:docGrid w:linePitch="360"/>
        </w:sectPr>
      </w:pPr>
    </w:p>
    <w:p w14:paraId="1E22C385" w14:textId="77777777" w:rsidR="00265947" w:rsidRDefault="00265947">
      <w:pPr>
        <w:rPr>
          <w:rFonts w:ascii="Arial" w:hAnsi="Arial" w:cs="Arial"/>
          <w:b/>
          <w:bCs/>
          <w:color w:val="000000"/>
        </w:rPr>
      </w:pPr>
    </w:p>
    <w:p w14:paraId="36B383A8" w14:textId="77777777" w:rsidR="00216EB8" w:rsidRPr="00265947" w:rsidRDefault="00216EB8" w:rsidP="00265947">
      <w:pPr>
        <w:pStyle w:val="Titre2"/>
        <w:rPr>
          <w:rFonts w:ascii="Arial" w:hAnsi="Arial" w:cs="Arial"/>
          <w:b/>
          <w:color w:val="000000"/>
          <w:sz w:val="24"/>
          <w:szCs w:val="24"/>
        </w:rPr>
      </w:pPr>
      <w:bookmarkStart w:id="12" w:name="_Toc90559357"/>
      <w:r>
        <w:rPr>
          <w:rFonts w:ascii="Arial" w:hAnsi="Arial"/>
          <w:b/>
          <w:color w:val="000000"/>
          <w:sz w:val="24"/>
        </w:rPr>
        <w:t>Liste de tableaux</w:t>
      </w:r>
      <w:bookmarkEnd w:id="12"/>
    </w:p>
    <w:p w14:paraId="1FCEA2AB" w14:textId="77777777" w:rsidR="00C005AB" w:rsidRDefault="00216EB8" w:rsidP="00BD032C">
      <w:pPr>
        <w:jc w:val="both"/>
        <w:rPr>
          <w:rFonts w:ascii="Arial" w:hAnsi="Arial" w:cs="Arial"/>
          <w:sz w:val="18"/>
          <w:szCs w:val="22"/>
        </w:rPr>
      </w:pPr>
      <w:r>
        <w:rPr>
          <w:rFonts w:ascii="Arial" w:hAnsi="Arial"/>
          <w:sz w:val="18"/>
        </w:rPr>
        <w:t xml:space="preserve">Tableau 1 – Liste des indicateurs nutritionnels de base pour les analyses sectorielles de la nutrition et du JIAF </w:t>
      </w:r>
    </w:p>
    <w:p w14:paraId="55433D68" w14:textId="77777777" w:rsidR="0015559E" w:rsidRPr="00235A62" w:rsidRDefault="00C005AB" w:rsidP="00BD032C">
      <w:pPr>
        <w:jc w:val="both"/>
        <w:rPr>
          <w:rFonts w:ascii="Arial" w:hAnsi="Arial" w:cs="Arial"/>
          <w:color w:val="FF0000"/>
          <w:sz w:val="18"/>
          <w:szCs w:val="22"/>
        </w:rPr>
      </w:pPr>
      <w:r>
        <w:rPr>
          <w:rFonts w:ascii="Arial" w:hAnsi="Arial"/>
          <w:sz w:val="18"/>
        </w:rPr>
        <w:t xml:space="preserve">Tableau 2 – Liste des aspects à prendre en compte et des adaptations lors de la conduite de l’analyse sectorielle de la nutrition  </w:t>
      </w:r>
      <w:r>
        <w:rPr>
          <w:rFonts w:ascii="Arial" w:hAnsi="Arial"/>
        </w:rPr>
        <w:br w:type="page"/>
      </w:r>
    </w:p>
    <w:p w14:paraId="0F979CF8" w14:textId="77777777" w:rsidR="00D27B04" w:rsidRPr="00CA2973" w:rsidRDefault="00D27B04" w:rsidP="00366214">
      <w:pPr>
        <w:pStyle w:val="Titre2"/>
        <w:rPr>
          <w:rFonts w:ascii="Arial" w:hAnsi="Arial" w:cs="Arial"/>
          <w:b/>
          <w:bCs/>
          <w:color w:val="auto"/>
          <w:sz w:val="28"/>
          <w:szCs w:val="28"/>
        </w:rPr>
      </w:pPr>
      <w:bookmarkStart w:id="13" w:name="_Toc90559358"/>
      <w:r>
        <w:rPr>
          <w:rFonts w:ascii="Arial" w:hAnsi="Arial"/>
          <w:b/>
          <w:color w:val="auto"/>
          <w:sz w:val="28"/>
        </w:rPr>
        <w:lastRenderedPageBreak/>
        <w:t>Objectif, public et champ d’application</w:t>
      </w:r>
      <w:bookmarkEnd w:id="13"/>
      <w:r>
        <w:rPr>
          <w:rFonts w:ascii="Arial" w:hAnsi="Arial"/>
          <w:b/>
          <w:color w:val="auto"/>
          <w:sz w:val="28"/>
        </w:rPr>
        <w:t xml:space="preserve"> </w:t>
      </w:r>
    </w:p>
    <w:p w14:paraId="466D95EF" w14:textId="36D83229" w:rsidR="00CF4AD8" w:rsidRPr="00CA2973" w:rsidRDefault="00D27B04" w:rsidP="00CF4AD8">
      <w:pPr>
        <w:spacing w:after="120"/>
        <w:jc w:val="both"/>
        <w:rPr>
          <w:rFonts w:ascii="Arial" w:hAnsi="Arial" w:cs="Arial"/>
        </w:rPr>
      </w:pPr>
      <w:r>
        <w:rPr>
          <w:rFonts w:ascii="Arial" w:hAnsi="Arial"/>
        </w:rPr>
        <w:t>L’objectif de cet addend</w:t>
      </w:r>
      <w:r w:rsidR="000D03CB">
        <w:rPr>
          <w:rFonts w:ascii="Arial" w:hAnsi="Arial"/>
        </w:rPr>
        <w:t>um</w:t>
      </w:r>
      <w:r>
        <w:rPr>
          <w:rFonts w:ascii="Arial" w:hAnsi="Arial"/>
        </w:rPr>
        <w:t xml:space="preserve"> est de fournir aux personnes impliquées dans la coordination de la nutrition des outils, </w:t>
      </w:r>
      <w:r w:rsidR="00957F3B">
        <w:rPr>
          <w:rFonts w:ascii="Arial" w:hAnsi="Arial"/>
        </w:rPr>
        <w:t xml:space="preserve">des </w:t>
      </w:r>
      <w:r>
        <w:rPr>
          <w:rFonts w:ascii="Arial" w:hAnsi="Arial"/>
        </w:rPr>
        <w:t xml:space="preserve">informations et </w:t>
      </w:r>
      <w:r w:rsidR="00957F3B">
        <w:rPr>
          <w:rFonts w:ascii="Arial" w:hAnsi="Arial"/>
        </w:rPr>
        <w:t xml:space="preserve">des </w:t>
      </w:r>
      <w:r>
        <w:rPr>
          <w:rFonts w:ascii="Arial" w:hAnsi="Arial"/>
        </w:rPr>
        <w:t>ressources utiles pour contribuer à une analyse intersectorielle conjointe des besoins. Cet addend</w:t>
      </w:r>
      <w:r w:rsidR="000D03CB">
        <w:rPr>
          <w:rFonts w:ascii="Arial" w:hAnsi="Arial"/>
        </w:rPr>
        <w:t>um</w:t>
      </w:r>
      <w:r>
        <w:rPr>
          <w:rFonts w:ascii="Arial" w:hAnsi="Arial"/>
        </w:rPr>
        <w:t xml:space="preserve"> devrait servir de </w:t>
      </w:r>
      <w:r>
        <w:rPr>
          <w:rFonts w:ascii="Arial" w:hAnsi="Arial"/>
          <w:b/>
        </w:rPr>
        <w:t xml:space="preserve">guide pour les </w:t>
      </w:r>
      <w:r w:rsidR="00957F3B">
        <w:rPr>
          <w:rFonts w:ascii="Arial" w:hAnsi="Arial"/>
          <w:b/>
        </w:rPr>
        <w:t>contributions</w:t>
      </w:r>
      <w:r>
        <w:rPr>
          <w:rFonts w:ascii="Arial" w:hAnsi="Arial"/>
          <w:b/>
        </w:rPr>
        <w:t xml:space="preserve"> provenant d’analyses des besoins nutritionnels dans les situations de crise</w:t>
      </w:r>
      <w:r>
        <w:rPr>
          <w:rFonts w:ascii="Arial" w:hAnsi="Arial"/>
        </w:rPr>
        <w:t xml:space="preserve">, sur la base des </w:t>
      </w:r>
      <w:r>
        <w:rPr>
          <w:rFonts w:ascii="Arial" w:hAnsi="Arial"/>
          <w:i/>
        </w:rPr>
        <w:t>Directives du JIAF pour les ABH 2022.</w:t>
      </w:r>
      <w:r>
        <w:rPr>
          <w:rFonts w:ascii="Arial" w:hAnsi="Arial"/>
        </w:rPr>
        <w:t xml:space="preserve"> </w:t>
      </w:r>
    </w:p>
    <w:p w14:paraId="751DC25F" w14:textId="00EEB2DC" w:rsidR="00235A62" w:rsidRPr="00CA2973" w:rsidRDefault="00235A62" w:rsidP="00235A62">
      <w:pPr>
        <w:spacing w:after="120"/>
        <w:jc w:val="both"/>
        <w:rPr>
          <w:rFonts w:ascii="Arial" w:hAnsi="Arial" w:cs="Arial"/>
        </w:rPr>
      </w:pPr>
      <w:r>
        <w:rPr>
          <w:rFonts w:ascii="Arial" w:hAnsi="Arial"/>
        </w:rPr>
        <w:t xml:space="preserve">Parmi les autres personnes </w:t>
      </w:r>
      <w:r w:rsidR="007C4859">
        <w:rPr>
          <w:rFonts w:ascii="Arial" w:hAnsi="Arial"/>
        </w:rPr>
        <w:t xml:space="preserve">participant à </w:t>
      </w:r>
      <w:r>
        <w:rPr>
          <w:rFonts w:ascii="Arial" w:hAnsi="Arial"/>
        </w:rPr>
        <w:t xml:space="preserve">la coordination de la nutrition dans les situations humanitaires, </w:t>
      </w:r>
      <w:r>
        <w:rPr>
          <w:rFonts w:ascii="Arial" w:hAnsi="Arial"/>
          <w:b/>
        </w:rPr>
        <w:t>cet addend</w:t>
      </w:r>
      <w:r w:rsidR="000D03CB">
        <w:rPr>
          <w:rFonts w:ascii="Arial" w:hAnsi="Arial"/>
          <w:b/>
        </w:rPr>
        <w:t>um</w:t>
      </w:r>
      <w:r>
        <w:rPr>
          <w:rFonts w:ascii="Arial" w:hAnsi="Arial"/>
          <w:b/>
        </w:rPr>
        <w:t xml:space="preserve"> opérationnel est principalement destiné au</w:t>
      </w:r>
      <w:r w:rsidR="006E2620">
        <w:rPr>
          <w:rFonts w:ascii="Arial" w:hAnsi="Arial"/>
          <w:b/>
        </w:rPr>
        <w:t>x</w:t>
      </w:r>
      <w:r>
        <w:rPr>
          <w:rFonts w:ascii="Arial" w:hAnsi="Arial"/>
          <w:b/>
        </w:rPr>
        <w:t xml:space="preserve"> point</w:t>
      </w:r>
      <w:r w:rsidR="006E2620">
        <w:rPr>
          <w:rFonts w:ascii="Arial" w:hAnsi="Arial"/>
          <w:b/>
        </w:rPr>
        <w:t>s</w:t>
      </w:r>
      <w:r>
        <w:rPr>
          <w:rFonts w:ascii="Arial" w:hAnsi="Arial"/>
          <w:b/>
        </w:rPr>
        <w:t xml:space="preserve"> </w:t>
      </w:r>
      <w:r w:rsidR="006E2620">
        <w:rPr>
          <w:rFonts w:ascii="Arial" w:hAnsi="Arial"/>
          <w:b/>
        </w:rPr>
        <w:t xml:space="preserve">focaux </w:t>
      </w:r>
      <w:r>
        <w:rPr>
          <w:rFonts w:ascii="Arial" w:hAnsi="Arial"/>
          <w:b/>
        </w:rPr>
        <w:t xml:space="preserve">pour la nutrition à l’échelle du pays – en général, les Coordinateurs des Clusters Nutrition (NCC) – </w:t>
      </w:r>
      <w:r>
        <w:rPr>
          <w:rFonts w:ascii="Arial" w:hAnsi="Arial"/>
        </w:rPr>
        <w:t xml:space="preserve">avec les contributions des </w:t>
      </w:r>
      <w:r w:rsidR="00E41BD1">
        <w:rPr>
          <w:rFonts w:ascii="Arial" w:hAnsi="Arial"/>
        </w:rPr>
        <w:t>gestionnaires</w:t>
      </w:r>
      <w:r>
        <w:rPr>
          <w:rFonts w:ascii="Arial" w:hAnsi="Arial"/>
        </w:rPr>
        <w:t xml:space="preserve"> de l’information (GI), les partenaires des Clusters Nutrition, et le personnel de l’agence</w:t>
      </w:r>
      <w:r w:rsidR="00A176CC">
        <w:rPr>
          <w:rFonts w:ascii="Arial" w:hAnsi="Arial"/>
        </w:rPr>
        <w:t>-</w:t>
      </w:r>
      <w:r>
        <w:rPr>
          <w:rFonts w:ascii="Arial" w:hAnsi="Arial"/>
        </w:rPr>
        <w:t xml:space="preserve">chef de file du cluster </w:t>
      </w:r>
      <w:r w:rsidR="00E41BD1">
        <w:rPr>
          <w:rFonts w:ascii="Arial" w:hAnsi="Arial"/>
        </w:rPr>
        <w:t xml:space="preserve">en </w:t>
      </w:r>
      <w:r w:rsidR="001A764E">
        <w:rPr>
          <w:rFonts w:ascii="Arial" w:hAnsi="Arial"/>
        </w:rPr>
        <w:t>charge</w:t>
      </w:r>
      <w:r>
        <w:rPr>
          <w:rFonts w:ascii="Arial" w:hAnsi="Arial"/>
        </w:rPr>
        <w:t xml:space="preserve"> les résultats nutritionnels, qui sont chargés de la consolidation et de l’analyse de la situation des besoins nutritionnels des populations </w:t>
      </w:r>
      <w:r w:rsidR="00E16221">
        <w:rPr>
          <w:rFonts w:ascii="Arial" w:hAnsi="Arial"/>
        </w:rPr>
        <w:t>touchées</w:t>
      </w:r>
      <w:r>
        <w:rPr>
          <w:rFonts w:ascii="Arial" w:hAnsi="Arial"/>
        </w:rPr>
        <w:t xml:space="preserve">. Les produits découlant de ces </w:t>
      </w:r>
      <w:r w:rsidR="005B305D">
        <w:rPr>
          <w:rFonts w:ascii="Arial" w:hAnsi="Arial"/>
        </w:rPr>
        <w:t>directives</w:t>
      </w:r>
      <w:r>
        <w:rPr>
          <w:rFonts w:ascii="Arial" w:hAnsi="Arial"/>
        </w:rPr>
        <w:t xml:space="preserve"> sont utiles pour tous les acteurs humanitaires, notamment les décideurs, les coordinateurs humanitaires, les </w:t>
      </w:r>
      <w:r w:rsidR="005B305D">
        <w:rPr>
          <w:rFonts w:ascii="Arial" w:hAnsi="Arial"/>
        </w:rPr>
        <w:t>é</w:t>
      </w:r>
      <w:r>
        <w:rPr>
          <w:rFonts w:ascii="Arial" w:hAnsi="Arial"/>
        </w:rPr>
        <w:t xml:space="preserve">quipes humanitaires pays (EHP), les organisations humanitaires contribuant aux évaluations </w:t>
      </w:r>
      <w:r w:rsidR="00E41BD1">
        <w:rPr>
          <w:rFonts w:ascii="Arial" w:hAnsi="Arial"/>
        </w:rPr>
        <w:t>conjointes</w:t>
      </w:r>
      <w:r>
        <w:rPr>
          <w:rFonts w:ascii="Arial" w:hAnsi="Arial"/>
        </w:rPr>
        <w:t xml:space="preserve">, les responsables politiques, les donateurs, </w:t>
      </w:r>
      <w:r w:rsidR="005B305D">
        <w:rPr>
          <w:rFonts w:ascii="Arial" w:hAnsi="Arial"/>
        </w:rPr>
        <w:t xml:space="preserve">ainsi que </w:t>
      </w:r>
      <w:r>
        <w:rPr>
          <w:rFonts w:ascii="Arial" w:hAnsi="Arial"/>
        </w:rPr>
        <w:t>les autorités nationales et locales</w:t>
      </w:r>
      <w:r w:rsidR="005B305D">
        <w:rPr>
          <w:rFonts w:ascii="Arial" w:hAnsi="Arial"/>
        </w:rPr>
        <w:t>,</w:t>
      </w:r>
      <w:r>
        <w:rPr>
          <w:rFonts w:ascii="Arial" w:hAnsi="Arial"/>
        </w:rPr>
        <w:t xml:space="preserve"> pendant les phases de préparation et de </w:t>
      </w:r>
      <w:r w:rsidR="004D6978">
        <w:rPr>
          <w:rFonts w:ascii="Arial" w:hAnsi="Arial"/>
        </w:rPr>
        <w:t xml:space="preserve">la </w:t>
      </w:r>
      <w:r>
        <w:rPr>
          <w:rFonts w:ascii="Arial" w:hAnsi="Arial"/>
        </w:rPr>
        <w:t xml:space="preserve">réponse dans des situations humanitaires. </w:t>
      </w:r>
    </w:p>
    <w:p w14:paraId="11B69A78" w14:textId="484FC684" w:rsidR="00A37061" w:rsidRDefault="00A37061" w:rsidP="00D27B04">
      <w:pPr>
        <w:spacing w:after="120"/>
        <w:jc w:val="both"/>
        <w:rPr>
          <w:rFonts w:ascii="Arial" w:hAnsi="Arial" w:cs="Arial"/>
        </w:rPr>
      </w:pPr>
      <w:r>
        <w:rPr>
          <w:rFonts w:ascii="Arial" w:hAnsi="Arial"/>
        </w:rPr>
        <w:t>Cet addend</w:t>
      </w:r>
      <w:r w:rsidR="000D03CB">
        <w:rPr>
          <w:rFonts w:ascii="Arial" w:hAnsi="Arial"/>
        </w:rPr>
        <w:t>um</w:t>
      </w:r>
      <w:r>
        <w:rPr>
          <w:rFonts w:ascii="Arial" w:hAnsi="Arial"/>
        </w:rPr>
        <w:t xml:space="preserve"> </w:t>
      </w:r>
      <w:r w:rsidR="00770EC5">
        <w:rPr>
          <w:rFonts w:ascii="Arial" w:hAnsi="Arial"/>
        </w:rPr>
        <w:t>s’articule autour des aspects suivants</w:t>
      </w:r>
      <w:r>
        <w:rPr>
          <w:rFonts w:ascii="Arial" w:hAnsi="Arial"/>
        </w:rPr>
        <w:t xml:space="preserve">, qui </w:t>
      </w:r>
      <w:r w:rsidR="00770EC5">
        <w:rPr>
          <w:rFonts w:ascii="Arial" w:hAnsi="Arial"/>
        </w:rPr>
        <w:t xml:space="preserve">ne sont </w:t>
      </w:r>
      <w:r>
        <w:rPr>
          <w:rFonts w:ascii="Arial" w:hAnsi="Arial"/>
        </w:rPr>
        <w:t>pas dans un ordre chronologique spécifique :</w:t>
      </w:r>
    </w:p>
    <w:p w14:paraId="2550AD0F" w14:textId="77777777" w:rsidR="00A37061" w:rsidRPr="00A37061" w:rsidRDefault="00A37061" w:rsidP="00661135">
      <w:pPr>
        <w:pStyle w:val="Paragraphedeliste"/>
        <w:numPr>
          <w:ilvl w:val="0"/>
          <w:numId w:val="10"/>
        </w:numPr>
        <w:spacing w:after="120"/>
        <w:ind w:right="720"/>
        <w:jc w:val="both"/>
        <w:rPr>
          <w:rFonts w:ascii="Arial" w:hAnsi="Arial" w:cs="Arial"/>
        </w:rPr>
      </w:pPr>
      <w:r>
        <w:rPr>
          <w:rFonts w:ascii="Arial" w:hAnsi="Arial"/>
        </w:rPr>
        <w:t>Qu’est-ce que le Cadre d’analyse intersectorielle conjointe ?</w:t>
      </w:r>
      <w:r>
        <w:rPr>
          <w:rFonts w:ascii="Arial" w:hAnsi="Arial"/>
        </w:rPr>
        <w:tab/>
      </w:r>
    </w:p>
    <w:p w14:paraId="230BEC85" w14:textId="0414454D" w:rsidR="00A37061" w:rsidRPr="00A37061" w:rsidRDefault="00A37061" w:rsidP="00661135">
      <w:pPr>
        <w:pStyle w:val="Paragraphedeliste"/>
        <w:numPr>
          <w:ilvl w:val="0"/>
          <w:numId w:val="10"/>
        </w:numPr>
        <w:spacing w:after="120"/>
        <w:ind w:right="720"/>
        <w:jc w:val="both"/>
        <w:rPr>
          <w:rFonts w:ascii="Arial" w:hAnsi="Arial" w:cs="Arial"/>
        </w:rPr>
      </w:pPr>
      <w:r>
        <w:rPr>
          <w:rFonts w:ascii="Arial" w:hAnsi="Arial"/>
        </w:rPr>
        <w:t xml:space="preserve">Aperçu du JIAF (et de son Cadre conceptuel </w:t>
      </w:r>
      <w:r w:rsidR="00E41BD1">
        <w:rPr>
          <w:rFonts w:ascii="Arial" w:hAnsi="Arial"/>
        </w:rPr>
        <w:t xml:space="preserve">en </w:t>
      </w:r>
      <w:r>
        <w:rPr>
          <w:rFonts w:ascii="Arial" w:hAnsi="Arial"/>
          <w:i/>
        </w:rPr>
        <w:t>Annexe 1</w:t>
      </w:r>
      <w:r>
        <w:rPr>
          <w:rFonts w:ascii="Arial" w:hAnsi="Arial"/>
        </w:rPr>
        <w:t>)</w:t>
      </w:r>
      <w:r>
        <w:rPr>
          <w:rFonts w:ascii="Arial" w:hAnsi="Arial"/>
        </w:rPr>
        <w:tab/>
      </w:r>
    </w:p>
    <w:p w14:paraId="1B7D7C84" w14:textId="333133CD" w:rsidR="00A37061" w:rsidRPr="00B02573" w:rsidRDefault="00196871" w:rsidP="00661135">
      <w:pPr>
        <w:pStyle w:val="Paragraphedeliste"/>
        <w:numPr>
          <w:ilvl w:val="0"/>
          <w:numId w:val="10"/>
        </w:numPr>
        <w:spacing w:after="120"/>
        <w:ind w:right="720"/>
        <w:jc w:val="both"/>
        <w:rPr>
          <w:rFonts w:ascii="Arial" w:hAnsi="Arial" w:cs="Arial"/>
        </w:rPr>
      </w:pPr>
      <w:r>
        <w:rPr>
          <w:rFonts w:ascii="Arial" w:hAnsi="Arial"/>
        </w:rPr>
        <w:t xml:space="preserve">Aspects à prendre en compte pour l’analyse sectorielle de la nutrition et </w:t>
      </w:r>
      <w:r w:rsidR="00E41BD1">
        <w:rPr>
          <w:rFonts w:ascii="Arial" w:hAnsi="Arial"/>
        </w:rPr>
        <w:t>s</w:t>
      </w:r>
      <w:r>
        <w:rPr>
          <w:rFonts w:ascii="Arial" w:hAnsi="Arial"/>
        </w:rPr>
        <w:t>es contributions à l’analyse de la situation du JIAF</w:t>
      </w:r>
      <w:r>
        <w:rPr>
          <w:rFonts w:ascii="Arial" w:hAnsi="Arial"/>
        </w:rPr>
        <w:tab/>
      </w:r>
    </w:p>
    <w:p w14:paraId="381E9165" w14:textId="4081B5A2" w:rsidR="00A37061" w:rsidRPr="00B02573" w:rsidRDefault="00A37061" w:rsidP="00661135">
      <w:pPr>
        <w:pStyle w:val="Paragraphedeliste"/>
        <w:numPr>
          <w:ilvl w:val="0"/>
          <w:numId w:val="10"/>
        </w:numPr>
        <w:spacing w:after="120"/>
        <w:ind w:right="720"/>
        <w:jc w:val="both"/>
        <w:rPr>
          <w:rFonts w:ascii="Arial" w:hAnsi="Arial" w:cs="Arial"/>
        </w:rPr>
      </w:pPr>
      <w:r>
        <w:rPr>
          <w:rFonts w:ascii="Arial" w:hAnsi="Arial"/>
        </w:rPr>
        <w:t xml:space="preserve">Estimations agrégées du nombre de personnes dans le besoin </w:t>
      </w:r>
      <w:r w:rsidR="00B1127F">
        <w:rPr>
          <w:rFonts w:ascii="Arial" w:hAnsi="Arial"/>
        </w:rPr>
        <w:t xml:space="preserve">(PiN) dans le secteur de la </w:t>
      </w:r>
      <w:r w:rsidR="00770EC5">
        <w:rPr>
          <w:rFonts w:ascii="Arial" w:hAnsi="Arial"/>
        </w:rPr>
        <w:t>n</w:t>
      </w:r>
      <w:r>
        <w:rPr>
          <w:rFonts w:ascii="Arial" w:hAnsi="Arial"/>
        </w:rPr>
        <w:t>utrition pour le JIAF</w:t>
      </w:r>
      <w:r>
        <w:rPr>
          <w:rFonts w:ascii="Arial" w:hAnsi="Arial"/>
        </w:rPr>
        <w:tab/>
      </w:r>
    </w:p>
    <w:p w14:paraId="07BCA770" w14:textId="77777777" w:rsidR="00196871" w:rsidRPr="00B02573" w:rsidRDefault="00B02573" w:rsidP="00661135">
      <w:pPr>
        <w:pStyle w:val="Paragraphedeliste"/>
        <w:numPr>
          <w:ilvl w:val="0"/>
          <w:numId w:val="10"/>
        </w:numPr>
        <w:spacing w:after="120"/>
        <w:ind w:right="720"/>
        <w:jc w:val="both"/>
        <w:rPr>
          <w:rFonts w:ascii="Arial" w:hAnsi="Arial" w:cs="Arial"/>
        </w:rPr>
      </w:pPr>
      <w:r>
        <w:rPr>
          <w:rFonts w:ascii="Arial" w:hAnsi="Arial"/>
        </w:rPr>
        <w:t>Prévisions des conditions futures</w:t>
      </w:r>
    </w:p>
    <w:p w14:paraId="6B701BB2" w14:textId="77777777" w:rsidR="00A37061" w:rsidRPr="00B02573" w:rsidRDefault="00A37061" w:rsidP="00661135">
      <w:pPr>
        <w:pStyle w:val="Paragraphedeliste"/>
        <w:numPr>
          <w:ilvl w:val="0"/>
          <w:numId w:val="10"/>
        </w:numPr>
        <w:spacing w:after="120"/>
        <w:ind w:right="720"/>
        <w:jc w:val="both"/>
        <w:rPr>
          <w:rFonts w:ascii="Arial" w:hAnsi="Arial" w:cs="Arial"/>
        </w:rPr>
      </w:pPr>
      <w:r>
        <w:rPr>
          <w:rFonts w:ascii="Arial" w:hAnsi="Arial"/>
        </w:rPr>
        <w:t>Validation finale des besoins intersectoriels</w:t>
      </w:r>
    </w:p>
    <w:p w14:paraId="46E37BB7" w14:textId="377F8AEC" w:rsidR="00235A62" w:rsidRPr="00A37061" w:rsidRDefault="00A37061" w:rsidP="00A73816">
      <w:pPr>
        <w:spacing w:after="120"/>
        <w:jc w:val="both"/>
        <w:rPr>
          <w:rFonts w:ascii="Arial" w:hAnsi="Arial" w:cs="Arial"/>
        </w:rPr>
      </w:pPr>
      <w:r>
        <w:rPr>
          <w:rFonts w:ascii="Arial" w:hAnsi="Arial"/>
        </w:rPr>
        <w:t>De plus, cet addend</w:t>
      </w:r>
      <w:r w:rsidR="000D03CB">
        <w:rPr>
          <w:rFonts w:ascii="Arial" w:hAnsi="Arial"/>
        </w:rPr>
        <w:t>um</w:t>
      </w:r>
      <w:r>
        <w:rPr>
          <w:rFonts w:ascii="Arial" w:hAnsi="Arial"/>
        </w:rPr>
        <w:t xml:space="preserve"> devrait être utilisé parallèlement aux </w:t>
      </w:r>
      <w:hyperlink r:id="rId22" w:history="1">
        <w:r>
          <w:rPr>
            <w:rStyle w:val="Lienhypertexte"/>
            <w:rFonts w:ascii="Arial" w:hAnsi="Arial"/>
          </w:rPr>
          <w:t>Directives pour l’analyse des besoins humanitaires en matière de nutrition</w:t>
        </w:r>
      </w:hyperlink>
      <w:r>
        <w:rPr>
          <w:rFonts w:ascii="Arial" w:hAnsi="Arial"/>
        </w:rPr>
        <w:t xml:space="preserve">. </w:t>
      </w:r>
    </w:p>
    <w:p w14:paraId="200E05A8" w14:textId="77777777" w:rsidR="00235A62" w:rsidRDefault="00235A62" w:rsidP="00E1365E">
      <w:pPr>
        <w:rPr>
          <w:rFonts w:ascii="Arial" w:hAnsi="Arial" w:cs="Arial"/>
          <w:b/>
          <w:bCs/>
          <w:sz w:val="28"/>
          <w:szCs w:val="28"/>
        </w:rPr>
      </w:pPr>
    </w:p>
    <w:p w14:paraId="54FBC044" w14:textId="77777777" w:rsidR="004F6A09" w:rsidRPr="00CF4AD8" w:rsidRDefault="004F6A09" w:rsidP="00661135">
      <w:pPr>
        <w:pStyle w:val="Titre2"/>
        <w:numPr>
          <w:ilvl w:val="0"/>
          <w:numId w:val="1"/>
        </w:numPr>
        <w:spacing w:after="120"/>
        <w:jc w:val="both"/>
        <w:rPr>
          <w:rFonts w:ascii="Arial" w:hAnsi="Arial" w:cs="Arial"/>
          <w:b/>
          <w:color w:val="000000"/>
          <w:sz w:val="28"/>
          <w:szCs w:val="28"/>
        </w:rPr>
      </w:pPr>
      <w:bookmarkStart w:id="14" w:name="_Toc90559359"/>
      <w:r>
        <w:rPr>
          <w:rFonts w:ascii="Arial" w:hAnsi="Arial"/>
          <w:b/>
          <w:color w:val="000000"/>
          <w:sz w:val="28"/>
        </w:rPr>
        <w:t>Qu’est-ce que le Cadre d’analyse intersectorielle conjointe ?</w:t>
      </w:r>
      <w:bookmarkEnd w:id="14"/>
    </w:p>
    <w:p w14:paraId="590BE06C" w14:textId="6978A6DF" w:rsidR="004F6A09" w:rsidRPr="004F6A09" w:rsidRDefault="004F6A09" w:rsidP="004F6A09">
      <w:pPr>
        <w:spacing w:after="120"/>
        <w:jc w:val="both"/>
        <w:rPr>
          <w:rFonts w:ascii="Arial" w:hAnsi="Arial" w:cs="Arial"/>
        </w:rPr>
      </w:pPr>
      <w:r>
        <w:rPr>
          <w:rFonts w:ascii="Arial" w:hAnsi="Arial"/>
        </w:rPr>
        <w:t xml:space="preserve">L’objectif principal du JIAF est de fournir aux </w:t>
      </w:r>
      <w:r w:rsidR="005969E4">
        <w:rPr>
          <w:rFonts w:ascii="Arial" w:hAnsi="Arial"/>
        </w:rPr>
        <w:t>équipes pays</w:t>
      </w:r>
      <w:r>
        <w:rPr>
          <w:rFonts w:ascii="Arial" w:hAnsi="Arial"/>
        </w:rPr>
        <w:t xml:space="preserve"> et aux partenaires humanitaires (organisations non gouvernementales internationales et nationales, gouvernement, donateurs, agences de l’ONU, experts, clusters/secteurs, Groupe de coordination intersectorielle, etc.) un cadre, des outils et des méthodes commun</w:t>
      </w:r>
      <w:r w:rsidR="005969E4">
        <w:rPr>
          <w:rFonts w:ascii="Arial" w:hAnsi="Arial"/>
        </w:rPr>
        <w:t>es</w:t>
      </w:r>
      <w:r>
        <w:rPr>
          <w:rFonts w:ascii="Arial" w:hAnsi="Arial"/>
        </w:rPr>
        <w:t xml:space="preserve"> pour mener des analyses intersectorielles</w:t>
      </w:r>
      <w:r w:rsidR="00B1127F">
        <w:rPr>
          <w:rFonts w:ascii="Arial" w:hAnsi="Arial"/>
        </w:rPr>
        <w:t>,</w:t>
      </w:r>
      <w:r>
        <w:rPr>
          <w:rFonts w:ascii="Arial" w:hAnsi="Arial"/>
        </w:rPr>
        <w:t xml:space="preserve"> </w:t>
      </w:r>
      <w:r w:rsidR="00B1127F">
        <w:rPr>
          <w:rFonts w:ascii="Arial" w:hAnsi="Arial"/>
        </w:rPr>
        <w:t xml:space="preserve">ainsi que </w:t>
      </w:r>
      <w:r>
        <w:rPr>
          <w:rFonts w:ascii="Arial" w:hAnsi="Arial"/>
        </w:rPr>
        <w:t xml:space="preserve">pour </w:t>
      </w:r>
      <w:r w:rsidR="00E75341">
        <w:rPr>
          <w:rFonts w:ascii="Arial" w:hAnsi="Arial"/>
        </w:rPr>
        <w:t xml:space="preserve">mettre en place </w:t>
      </w:r>
      <w:r>
        <w:rPr>
          <w:rFonts w:ascii="Arial" w:hAnsi="Arial"/>
        </w:rPr>
        <w:t>l</w:t>
      </w:r>
      <w:r w:rsidR="005969E4">
        <w:rPr>
          <w:rFonts w:ascii="Arial" w:hAnsi="Arial"/>
        </w:rPr>
        <w:t>a</w:t>
      </w:r>
      <w:r>
        <w:rPr>
          <w:rFonts w:ascii="Arial" w:hAnsi="Arial"/>
        </w:rPr>
        <w:t xml:space="preserve"> base d</w:t>
      </w:r>
      <w:r w:rsidR="005969E4">
        <w:rPr>
          <w:rFonts w:ascii="Arial" w:hAnsi="Arial"/>
        </w:rPr>
        <w:t xml:space="preserve">es </w:t>
      </w:r>
      <w:r>
        <w:rPr>
          <w:rFonts w:ascii="Arial" w:hAnsi="Arial"/>
        </w:rPr>
        <w:t>analyses conjointes régulières des besoins</w:t>
      </w:r>
      <w:r w:rsidR="00B1127F">
        <w:rPr>
          <w:rFonts w:ascii="Arial" w:hAnsi="Arial"/>
        </w:rPr>
        <w:t xml:space="preserve"> et</w:t>
      </w:r>
      <w:r>
        <w:rPr>
          <w:rFonts w:ascii="Arial" w:hAnsi="Arial"/>
        </w:rPr>
        <w:t xml:space="preserve"> orienter les décisions stratégiques, l</w:t>
      </w:r>
      <w:r w:rsidR="005969E4">
        <w:rPr>
          <w:rFonts w:ascii="Arial" w:hAnsi="Arial"/>
        </w:rPr>
        <w:t>’</w:t>
      </w:r>
      <w:r>
        <w:rPr>
          <w:rFonts w:ascii="Arial" w:hAnsi="Arial"/>
        </w:rPr>
        <w:t xml:space="preserve">analyse de la réponse, </w:t>
      </w:r>
      <w:r w:rsidR="00B1127F">
        <w:rPr>
          <w:rFonts w:ascii="Arial" w:hAnsi="Arial"/>
        </w:rPr>
        <w:t xml:space="preserve">et </w:t>
      </w:r>
      <w:r>
        <w:rPr>
          <w:rFonts w:ascii="Arial" w:hAnsi="Arial"/>
        </w:rPr>
        <w:t xml:space="preserve">les activités de planification </w:t>
      </w:r>
      <w:r w:rsidR="00E75341">
        <w:rPr>
          <w:rFonts w:ascii="Arial" w:hAnsi="Arial"/>
        </w:rPr>
        <w:t xml:space="preserve">stratégique </w:t>
      </w:r>
      <w:r>
        <w:rPr>
          <w:rFonts w:ascii="Arial" w:hAnsi="Arial"/>
        </w:rPr>
        <w:t xml:space="preserve">et de suivi de la réponse. Le JIAF propose une approche méthodologique et </w:t>
      </w:r>
      <w:r w:rsidR="0009769E">
        <w:rPr>
          <w:rFonts w:ascii="Arial" w:hAnsi="Arial"/>
        </w:rPr>
        <w:t>un processus exhaustif</w:t>
      </w:r>
      <w:r w:rsidR="001402E8">
        <w:rPr>
          <w:rFonts w:ascii="Arial" w:hAnsi="Arial"/>
        </w:rPr>
        <w:t xml:space="preserve"> d’</w:t>
      </w:r>
      <w:r>
        <w:rPr>
          <w:rFonts w:ascii="Arial" w:hAnsi="Arial"/>
        </w:rPr>
        <w:t>analyses conjointes régulières des besoins</w:t>
      </w:r>
      <w:r w:rsidR="00E75341">
        <w:rPr>
          <w:rFonts w:ascii="Arial" w:hAnsi="Arial"/>
        </w:rPr>
        <w:t xml:space="preserve"> à</w:t>
      </w:r>
      <w:r w:rsidR="00736FF0">
        <w:rPr>
          <w:rFonts w:ascii="Arial" w:hAnsi="Arial"/>
        </w:rPr>
        <w:t xml:space="preserve"> travers</w:t>
      </w:r>
      <w:r>
        <w:rPr>
          <w:rFonts w:ascii="Arial" w:hAnsi="Arial"/>
        </w:rPr>
        <w:t> :</w:t>
      </w:r>
    </w:p>
    <w:p w14:paraId="37AD6268" w14:textId="5E33A854" w:rsidR="004F6A09" w:rsidRPr="00550D39" w:rsidRDefault="005969E4" w:rsidP="00661135">
      <w:pPr>
        <w:pStyle w:val="Paragraphedeliste"/>
        <w:numPr>
          <w:ilvl w:val="0"/>
          <w:numId w:val="4"/>
        </w:numPr>
        <w:spacing w:after="120"/>
        <w:jc w:val="both"/>
        <w:rPr>
          <w:rFonts w:ascii="Arial" w:hAnsi="Arial" w:cs="Arial"/>
        </w:rPr>
      </w:pPr>
      <w:r>
        <w:rPr>
          <w:rFonts w:ascii="Arial" w:hAnsi="Arial"/>
        </w:rPr>
        <w:t>Un s</w:t>
      </w:r>
      <w:r w:rsidR="0000721E" w:rsidRPr="0000721E">
        <w:rPr>
          <w:rFonts w:ascii="Arial" w:hAnsi="Arial"/>
        </w:rPr>
        <w:t>out</w:t>
      </w:r>
      <w:r w:rsidR="0000721E">
        <w:rPr>
          <w:rFonts w:ascii="Arial" w:hAnsi="Arial"/>
        </w:rPr>
        <w:t xml:space="preserve">ien </w:t>
      </w:r>
      <w:r w:rsidR="00B13A6E">
        <w:rPr>
          <w:rFonts w:ascii="Arial" w:hAnsi="Arial"/>
        </w:rPr>
        <w:t>à</w:t>
      </w:r>
      <w:r w:rsidR="0000721E" w:rsidRPr="0000721E">
        <w:rPr>
          <w:rFonts w:ascii="Arial" w:hAnsi="Arial"/>
        </w:rPr>
        <w:t xml:space="preserve"> la collecte, l'analyse et le stockage des données en identifiant les principaux résultats et produits analytiques, étape par </w:t>
      </w:r>
      <w:r w:rsidR="0009769E" w:rsidRPr="0000721E">
        <w:rPr>
          <w:rFonts w:ascii="Arial" w:hAnsi="Arial"/>
        </w:rPr>
        <w:t>étape</w:t>
      </w:r>
      <w:r w:rsidR="0009769E" w:rsidRPr="00736FF0">
        <w:rPr>
          <w:rFonts w:ascii="Arial" w:hAnsi="Arial"/>
        </w:rPr>
        <w:t xml:space="preserve"> ;</w:t>
      </w:r>
    </w:p>
    <w:p w14:paraId="11A4FB16" w14:textId="4F58D8B3" w:rsidR="004F6A09" w:rsidRPr="00550D39" w:rsidRDefault="005969E4" w:rsidP="00661135">
      <w:pPr>
        <w:pStyle w:val="Paragraphedeliste"/>
        <w:numPr>
          <w:ilvl w:val="0"/>
          <w:numId w:val="4"/>
        </w:numPr>
        <w:spacing w:after="120"/>
        <w:jc w:val="both"/>
        <w:rPr>
          <w:rFonts w:ascii="Arial" w:hAnsi="Arial" w:cs="Arial"/>
        </w:rPr>
      </w:pPr>
      <w:r>
        <w:rPr>
          <w:rFonts w:ascii="Arial" w:hAnsi="Arial"/>
        </w:rPr>
        <w:t>Une f</w:t>
      </w:r>
      <w:r w:rsidR="0000721E" w:rsidRPr="0000721E">
        <w:rPr>
          <w:rFonts w:ascii="Arial" w:hAnsi="Arial"/>
        </w:rPr>
        <w:t>ourni</w:t>
      </w:r>
      <w:r w:rsidR="0000721E">
        <w:rPr>
          <w:rFonts w:ascii="Arial" w:hAnsi="Arial"/>
        </w:rPr>
        <w:t>ture des</w:t>
      </w:r>
      <w:r w:rsidR="0000721E" w:rsidRPr="0000721E">
        <w:rPr>
          <w:rFonts w:ascii="Arial" w:hAnsi="Arial"/>
        </w:rPr>
        <w:t xml:space="preserve"> moyen</w:t>
      </w:r>
      <w:r w:rsidR="0000721E">
        <w:rPr>
          <w:rFonts w:ascii="Arial" w:hAnsi="Arial"/>
        </w:rPr>
        <w:t>s</w:t>
      </w:r>
      <w:r w:rsidR="0000721E" w:rsidRPr="0000721E">
        <w:rPr>
          <w:rFonts w:ascii="Arial" w:hAnsi="Arial"/>
        </w:rPr>
        <w:t xml:space="preserve"> d'organiser </w:t>
      </w:r>
      <w:r>
        <w:rPr>
          <w:rFonts w:ascii="Arial" w:hAnsi="Arial"/>
        </w:rPr>
        <w:t>la collecte et l’analyse des</w:t>
      </w:r>
      <w:r w:rsidR="0000721E" w:rsidRPr="0000721E">
        <w:rPr>
          <w:rFonts w:ascii="Arial" w:hAnsi="Arial"/>
        </w:rPr>
        <w:t xml:space="preserve"> données</w:t>
      </w:r>
      <w:r>
        <w:rPr>
          <w:rFonts w:ascii="Arial" w:hAnsi="Arial"/>
        </w:rPr>
        <w:t xml:space="preserve"> </w:t>
      </w:r>
      <w:r w:rsidR="0000721E" w:rsidRPr="0000721E">
        <w:rPr>
          <w:rFonts w:ascii="Arial" w:hAnsi="Arial"/>
        </w:rPr>
        <w:t>;</w:t>
      </w:r>
    </w:p>
    <w:p w14:paraId="01414387" w14:textId="02A0C868" w:rsidR="004F6A09" w:rsidRPr="00550D39" w:rsidRDefault="005969E4" w:rsidP="00661135">
      <w:pPr>
        <w:pStyle w:val="Paragraphedeliste"/>
        <w:numPr>
          <w:ilvl w:val="0"/>
          <w:numId w:val="4"/>
        </w:numPr>
        <w:spacing w:after="120"/>
        <w:jc w:val="both"/>
        <w:rPr>
          <w:rFonts w:ascii="Arial" w:hAnsi="Arial" w:cs="Arial"/>
        </w:rPr>
      </w:pPr>
      <w:r>
        <w:rPr>
          <w:rFonts w:ascii="Arial" w:hAnsi="Arial"/>
        </w:rPr>
        <w:t>Une guidance pour le</w:t>
      </w:r>
      <w:r w:rsidR="0000721E" w:rsidRPr="0000721E">
        <w:rPr>
          <w:rFonts w:ascii="Arial" w:hAnsi="Arial"/>
        </w:rPr>
        <w:t xml:space="preserve"> processus d'analyse conjointe impliquant plusieurs parties </w:t>
      </w:r>
      <w:r w:rsidR="0009769E" w:rsidRPr="0000721E">
        <w:rPr>
          <w:rFonts w:ascii="Arial" w:hAnsi="Arial"/>
        </w:rPr>
        <w:t>prenantes</w:t>
      </w:r>
      <w:r w:rsidR="0009769E" w:rsidRPr="009107BE">
        <w:rPr>
          <w:rFonts w:ascii="Arial" w:hAnsi="Arial"/>
        </w:rPr>
        <w:t xml:space="preserve"> ;</w:t>
      </w:r>
    </w:p>
    <w:p w14:paraId="3FC83EED" w14:textId="7E056448" w:rsidR="004F6A09" w:rsidRPr="00550D39" w:rsidRDefault="005969E4" w:rsidP="00661135">
      <w:pPr>
        <w:pStyle w:val="Paragraphedeliste"/>
        <w:numPr>
          <w:ilvl w:val="0"/>
          <w:numId w:val="4"/>
        </w:numPr>
        <w:spacing w:after="120"/>
        <w:jc w:val="both"/>
        <w:rPr>
          <w:rFonts w:ascii="Arial" w:hAnsi="Arial" w:cs="Arial"/>
        </w:rPr>
      </w:pPr>
      <w:r>
        <w:rPr>
          <w:rFonts w:ascii="Arial" w:hAnsi="Arial"/>
        </w:rPr>
        <w:lastRenderedPageBreak/>
        <w:t xml:space="preserve">Un moteur et une référence pour la </w:t>
      </w:r>
      <w:r w:rsidR="004F6A09">
        <w:rPr>
          <w:rFonts w:ascii="Arial" w:hAnsi="Arial"/>
        </w:rPr>
        <w:t>collaboration entre les acteurs humanitaires tout au long du processus d’analyse conjointe ;</w:t>
      </w:r>
    </w:p>
    <w:p w14:paraId="05E543B1" w14:textId="758C1548" w:rsidR="00D30551" w:rsidRPr="00774CD0" w:rsidRDefault="00D30551" w:rsidP="00661135">
      <w:pPr>
        <w:pStyle w:val="Paragraphedeliste"/>
        <w:numPr>
          <w:ilvl w:val="0"/>
          <w:numId w:val="4"/>
        </w:numPr>
        <w:spacing w:after="120"/>
        <w:jc w:val="both"/>
        <w:rPr>
          <w:rFonts w:ascii="Arial" w:hAnsi="Arial" w:cs="Arial"/>
        </w:rPr>
      </w:pPr>
      <w:r>
        <w:rPr>
          <w:rFonts w:ascii="Arial" w:hAnsi="Arial"/>
        </w:rPr>
        <w:t>Un soutien de</w:t>
      </w:r>
      <w:r w:rsidRPr="00D30551">
        <w:rPr>
          <w:rFonts w:ascii="Arial" w:hAnsi="Arial"/>
        </w:rPr>
        <w:t xml:space="preserve"> l'analyse de la réponse et la prise de décision</w:t>
      </w:r>
      <w:r w:rsidR="00B13A6E">
        <w:rPr>
          <w:rFonts w:ascii="Arial" w:hAnsi="Arial"/>
        </w:rPr>
        <w:t>s</w:t>
      </w:r>
      <w:r w:rsidRPr="00D30551">
        <w:rPr>
          <w:rFonts w:ascii="Arial" w:hAnsi="Arial"/>
        </w:rPr>
        <w:t xml:space="preserve"> stratégique</w:t>
      </w:r>
      <w:r w:rsidR="00B13A6E">
        <w:rPr>
          <w:rFonts w:ascii="Arial" w:hAnsi="Arial"/>
        </w:rPr>
        <w:t>s</w:t>
      </w:r>
      <w:r w:rsidRPr="00D30551">
        <w:rPr>
          <w:rFonts w:ascii="Arial" w:hAnsi="Arial"/>
        </w:rPr>
        <w:t xml:space="preserve"> en appuyant, mais pas exclusivement, la production de l'Aperçu des besoins humanitaires (</w:t>
      </w:r>
      <w:r>
        <w:rPr>
          <w:rFonts w:ascii="Arial" w:hAnsi="Arial"/>
        </w:rPr>
        <w:t>ABH</w:t>
      </w:r>
      <w:r w:rsidRPr="00D30551">
        <w:rPr>
          <w:rFonts w:ascii="Arial" w:hAnsi="Arial"/>
        </w:rPr>
        <w:t>) et du Plan de réponse humanitaire (</w:t>
      </w:r>
      <w:r>
        <w:rPr>
          <w:rFonts w:ascii="Arial" w:hAnsi="Arial"/>
        </w:rPr>
        <w:t>PRH</w:t>
      </w:r>
      <w:r w:rsidRPr="00D30551">
        <w:rPr>
          <w:rFonts w:ascii="Arial" w:hAnsi="Arial"/>
        </w:rPr>
        <w:t>) qui en découle.</w:t>
      </w:r>
    </w:p>
    <w:p w14:paraId="546CF862" w14:textId="011E140D" w:rsidR="004F6A09" w:rsidRPr="004F6A09" w:rsidRDefault="004F6A09" w:rsidP="004F6A09">
      <w:pPr>
        <w:spacing w:after="120"/>
        <w:jc w:val="both"/>
        <w:rPr>
          <w:rFonts w:ascii="Arial" w:hAnsi="Arial" w:cs="Arial"/>
        </w:rPr>
      </w:pPr>
      <w:r>
        <w:rPr>
          <w:rFonts w:ascii="Arial" w:hAnsi="Arial"/>
        </w:rPr>
        <w:t xml:space="preserve">Une approche d’analyse intersectorielle est essentielle pour s’assurer que l’ensemble du système humanitaire est en mesure de répondre efficacement aux </w:t>
      </w:r>
      <w:r w:rsidR="009A2046">
        <w:rPr>
          <w:rFonts w:ascii="Arial" w:hAnsi="Arial"/>
        </w:rPr>
        <w:t xml:space="preserve">besoins des </w:t>
      </w:r>
      <w:r>
        <w:rPr>
          <w:rFonts w:ascii="Arial" w:hAnsi="Arial"/>
        </w:rPr>
        <w:t xml:space="preserve">communautés et </w:t>
      </w:r>
      <w:r w:rsidR="009A2046">
        <w:rPr>
          <w:rFonts w:ascii="Arial" w:hAnsi="Arial"/>
        </w:rPr>
        <w:t>des</w:t>
      </w:r>
      <w:r w:rsidR="00BA00D2">
        <w:rPr>
          <w:rFonts w:ascii="Arial" w:hAnsi="Arial"/>
        </w:rPr>
        <w:t xml:space="preserve"> </w:t>
      </w:r>
      <w:r>
        <w:rPr>
          <w:rFonts w:ascii="Arial" w:hAnsi="Arial"/>
        </w:rPr>
        <w:t xml:space="preserve">personnes affectées </w:t>
      </w:r>
      <w:r w:rsidR="0000721E">
        <w:rPr>
          <w:rFonts w:ascii="Arial" w:hAnsi="Arial"/>
        </w:rPr>
        <w:t xml:space="preserve">afin </w:t>
      </w:r>
      <w:r>
        <w:rPr>
          <w:rFonts w:ascii="Arial" w:hAnsi="Arial"/>
        </w:rPr>
        <w:t xml:space="preserve">que les ressources limitées </w:t>
      </w:r>
      <w:r w:rsidR="0000721E">
        <w:rPr>
          <w:rFonts w:ascii="Arial" w:hAnsi="Arial"/>
        </w:rPr>
        <w:t>soient</w:t>
      </w:r>
      <w:r w:rsidR="00BA00D2">
        <w:rPr>
          <w:rFonts w:ascii="Arial" w:hAnsi="Arial"/>
        </w:rPr>
        <w:t xml:space="preserve"> utilisées de manière à en maximiser l’</w:t>
      </w:r>
      <w:r>
        <w:rPr>
          <w:rFonts w:ascii="Arial" w:hAnsi="Arial"/>
        </w:rPr>
        <w:t xml:space="preserve">impact. </w:t>
      </w:r>
      <w:r w:rsidR="00CA1715">
        <w:rPr>
          <w:rFonts w:ascii="Arial" w:hAnsi="Arial"/>
        </w:rPr>
        <w:t>Non seulement i</w:t>
      </w:r>
      <w:r>
        <w:rPr>
          <w:rFonts w:ascii="Arial" w:hAnsi="Arial"/>
        </w:rPr>
        <w:t xml:space="preserve">l est important de comprendre les besoins sectoriels et </w:t>
      </w:r>
      <w:r w:rsidR="009533DC">
        <w:rPr>
          <w:rFonts w:ascii="Arial" w:hAnsi="Arial"/>
        </w:rPr>
        <w:t xml:space="preserve">leur </w:t>
      </w:r>
      <w:r>
        <w:rPr>
          <w:rFonts w:ascii="Arial" w:hAnsi="Arial"/>
        </w:rPr>
        <w:t xml:space="preserve">sévérité, mais également de reconnaître les corrélations et les effets conjugués entre les secteurs. Ceci </w:t>
      </w:r>
      <w:r w:rsidR="009533DC">
        <w:rPr>
          <w:rFonts w:ascii="Arial" w:hAnsi="Arial"/>
        </w:rPr>
        <w:t xml:space="preserve">est </w:t>
      </w:r>
      <w:r>
        <w:rPr>
          <w:rFonts w:ascii="Arial" w:hAnsi="Arial"/>
        </w:rPr>
        <w:t xml:space="preserve">particulièrement </w:t>
      </w:r>
      <w:r w:rsidR="009533DC">
        <w:rPr>
          <w:rFonts w:ascii="Arial" w:hAnsi="Arial"/>
        </w:rPr>
        <w:t xml:space="preserve">vrai </w:t>
      </w:r>
      <w:r w:rsidR="00CA1715">
        <w:rPr>
          <w:rFonts w:ascii="Arial" w:hAnsi="Arial"/>
        </w:rPr>
        <w:t xml:space="preserve">dans les cas où </w:t>
      </w:r>
      <w:r>
        <w:rPr>
          <w:rFonts w:ascii="Arial" w:hAnsi="Arial"/>
        </w:rPr>
        <w:t xml:space="preserve">certains besoins ne seront pas satisfaits </w:t>
      </w:r>
      <w:r w:rsidR="009533DC">
        <w:rPr>
          <w:rFonts w:ascii="Arial" w:hAnsi="Arial"/>
        </w:rPr>
        <w:t>si</w:t>
      </w:r>
      <w:r>
        <w:rPr>
          <w:rFonts w:ascii="Arial" w:hAnsi="Arial"/>
        </w:rPr>
        <w:t xml:space="preserve"> d’autres ne le soient </w:t>
      </w:r>
      <w:r w:rsidR="009533DC">
        <w:rPr>
          <w:rFonts w:ascii="Arial" w:hAnsi="Arial"/>
        </w:rPr>
        <w:t xml:space="preserve">pas </w:t>
      </w:r>
      <w:r>
        <w:rPr>
          <w:rFonts w:ascii="Arial" w:hAnsi="Arial"/>
        </w:rPr>
        <w:t xml:space="preserve">dans le </w:t>
      </w:r>
      <w:r w:rsidR="009533DC">
        <w:rPr>
          <w:rFonts w:ascii="Arial" w:hAnsi="Arial"/>
        </w:rPr>
        <w:t xml:space="preserve">bon </w:t>
      </w:r>
      <w:r>
        <w:rPr>
          <w:rFonts w:ascii="Arial" w:hAnsi="Arial"/>
        </w:rPr>
        <w:t xml:space="preserve">ordre (par exemple, l’alimentation nécessite de l’eau, la couverture des besoins essentiels </w:t>
      </w:r>
      <w:r w:rsidR="009533DC">
        <w:rPr>
          <w:rFonts w:ascii="Arial" w:hAnsi="Arial"/>
        </w:rPr>
        <w:t xml:space="preserve">à </w:t>
      </w:r>
      <w:r w:rsidR="00D30551">
        <w:rPr>
          <w:rFonts w:ascii="Arial" w:hAnsi="Arial"/>
        </w:rPr>
        <w:t xml:space="preserve">l’aide </w:t>
      </w:r>
      <w:r w:rsidR="009533DC">
        <w:rPr>
          <w:rFonts w:ascii="Arial" w:hAnsi="Arial"/>
        </w:rPr>
        <w:t>des</w:t>
      </w:r>
      <w:r>
        <w:rPr>
          <w:rFonts w:ascii="Arial" w:hAnsi="Arial"/>
        </w:rPr>
        <w:t xml:space="preserve"> transfert</w:t>
      </w:r>
      <w:r w:rsidR="009533DC">
        <w:rPr>
          <w:rFonts w:ascii="Arial" w:hAnsi="Arial"/>
        </w:rPr>
        <w:t>s</w:t>
      </w:r>
      <w:r>
        <w:rPr>
          <w:rFonts w:ascii="Arial" w:hAnsi="Arial"/>
        </w:rPr>
        <w:t xml:space="preserve"> monétaire</w:t>
      </w:r>
      <w:r w:rsidR="009533DC">
        <w:rPr>
          <w:rFonts w:ascii="Arial" w:hAnsi="Arial"/>
        </w:rPr>
        <w:t>s</w:t>
      </w:r>
      <w:r>
        <w:rPr>
          <w:rFonts w:ascii="Arial" w:hAnsi="Arial"/>
        </w:rPr>
        <w:t xml:space="preserve"> nécessite que les marchés soient </w:t>
      </w:r>
      <w:r w:rsidR="009533DC">
        <w:rPr>
          <w:rFonts w:ascii="Arial" w:hAnsi="Arial"/>
        </w:rPr>
        <w:t>fonctionnels</w:t>
      </w:r>
      <w:r>
        <w:rPr>
          <w:rFonts w:ascii="Arial" w:hAnsi="Arial"/>
        </w:rPr>
        <w:t>, la reprise de</w:t>
      </w:r>
      <w:r w:rsidR="009533DC">
        <w:rPr>
          <w:rFonts w:ascii="Arial" w:hAnsi="Arial"/>
        </w:rPr>
        <w:t>s activités agricoles</w:t>
      </w:r>
      <w:r>
        <w:rPr>
          <w:rFonts w:ascii="Arial" w:hAnsi="Arial"/>
        </w:rPr>
        <w:t xml:space="preserve"> ou </w:t>
      </w:r>
      <w:r w:rsidR="009533DC">
        <w:rPr>
          <w:rFonts w:ascii="Arial" w:hAnsi="Arial"/>
        </w:rPr>
        <w:t>la poursuite</w:t>
      </w:r>
      <w:r>
        <w:rPr>
          <w:rFonts w:ascii="Arial" w:hAnsi="Arial"/>
        </w:rPr>
        <w:t xml:space="preserve"> de la scolarité nécessite un accès en toute sécurité, etc.). </w:t>
      </w:r>
    </w:p>
    <w:p w14:paraId="7381B991" w14:textId="5BE8CA51" w:rsidR="004F6A09" w:rsidRPr="004F6A09" w:rsidRDefault="004F6A09" w:rsidP="004F6A09">
      <w:pPr>
        <w:spacing w:after="120"/>
        <w:jc w:val="both"/>
        <w:rPr>
          <w:rFonts w:ascii="Arial" w:hAnsi="Arial" w:cs="Arial"/>
        </w:rPr>
      </w:pPr>
      <w:r>
        <w:rPr>
          <w:rFonts w:ascii="Arial" w:hAnsi="Arial"/>
        </w:rPr>
        <w:t>Une approche intersectorielle devrait garantir la centralité de la protection</w:t>
      </w:r>
      <w:r w:rsidR="00CA1715">
        <w:rPr>
          <w:rFonts w:ascii="Arial" w:hAnsi="Arial"/>
        </w:rPr>
        <w:t>,</w:t>
      </w:r>
      <w:r>
        <w:rPr>
          <w:rFonts w:ascii="Arial" w:hAnsi="Arial"/>
        </w:rPr>
        <w:t xml:space="preserve"> intégrer des questions transversales telles que le genre, l’âge et le handicap, et promouvoir des approches de réponse intégrées entre les secteurs. Des mesures concrètes doivent être prises pour veiller à ce que les efforts d’intégration soient </w:t>
      </w:r>
      <w:r w:rsidR="00D30551">
        <w:rPr>
          <w:rFonts w:ascii="Arial" w:hAnsi="Arial"/>
        </w:rPr>
        <w:t>inclusives</w:t>
      </w:r>
      <w:r>
        <w:rPr>
          <w:rFonts w:ascii="Arial" w:hAnsi="Arial"/>
        </w:rPr>
        <w:t xml:space="preserve">, </w:t>
      </w:r>
      <w:r w:rsidR="00B13A6E">
        <w:rPr>
          <w:rFonts w:ascii="Arial" w:hAnsi="Arial"/>
        </w:rPr>
        <w:t xml:space="preserve">réunis et </w:t>
      </w:r>
      <w:r>
        <w:rPr>
          <w:rFonts w:ascii="Arial" w:hAnsi="Arial"/>
        </w:rPr>
        <w:t>bien harmonisés.</w:t>
      </w:r>
    </w:p>
    <w:p w14:paraId="52B8E277" w14:textId="684506FB" w:rsidR="004F6A09" w:rsidRPr="004F6A09" w:rsidRDefault="00CA1715" w:rsidP="004F6A09">
      <w:pPr>
        <w:spacing w:after="120"/>
        <w:jc w:val="both"/>
        <w:rPr>
          <w:rFonts w:ascii="Arial" w:hAnsi="Arial" w:cs="Arial"/>
        </w:rPr>
      </w:pPr>
      <w:r>
        <w:rPr>
          <w:rFonts w:ascii="Arial" w:hAnsi="Arial"/>
        </w:rPr>
        <w:t>Les t</w:t>
      </w:r>
      <w:r w:rsidR="004F6A09">
        <w:rPr>
          <w:rFonts w:ascii="Arial" w:hAnsi="Arial"/>
        </w:rPr>
        <w:t xml:space="preserve">rois avantages spécifiques </w:t>
      </w:r>
      <w:r w:rsidR="00D30551">
        <w:rPr>
          <w:rFonts w:ascii="Arial" w:hAnsi="Arial"/>
        </w:rPr>
        <w:t xml:space="preserve">et </w:t>
      </w:r>
      <w:r w:rsidR="004F6A09">
        <w:rPr>
          <w:rFonts w:ascii="Arial" w:hAnsi="Arial"/>
        </w:rPr>
        <w:t xml:space="preserve">les plus immédiats </w:t>
      </w:r>
      <w:r>
        <w:rPr>
          <w:rFonts w:ascii="Arial" w:hAnsi="Arial"/>
        </w:rPr>
        <w:t xml:space="preserve">qu’offrira cette approche </w:t>
      </w:r>
      <w:r w:rsidR="004F6A09">
        <w:rPr>
          <w:rFonts w:ascii="Arial" w:hAnsi="Arial"/>
        </w:rPr>
        <w:t>seront</w:t>
      </w:r>
      <w:r>
        <w:rPr>
          <w:rFonts w:ascii="Arial" w:hAnsi="Arial"/>
        </w:rPr>
        <w:t> : </w:t>
      </w:r>
      <w:r w:rsidR="004F6A09">
        <w:rPr>
          <w:rFonts w:ascii="Arial" w:hAnsi="Arial"/>
        </w:rPr>
        <w:t xml:space="preserve">une qualité </w:t>
      </w:r>
      <w:r w:rsidR="005969E4">
        <w:rPr>
          <w:rFonts w:ascii="Arial" w:hAnsi="Arial"/>
        </w:rPr>
        <w:t>améliorée</w:t>
      </w:r>
      <w:r w:rsidR="000F4C01">
        <w:rPr>
          <w:rFonts w:ascii="Arial" w:hAnsi="Arial"/>
        </w:rPr>
        <w:t xml:space="preserve"> </w:t>
      </w:r>
      <w:r w:rsidR="004F6A09">
        <w:rPr>
          <w:rFonts w:ascii="Arial" w:hAnsi="Arial"/>
        </w:rPr>
        <w:t xml:space="preserve">des Aperçus des besoins humanitaires (ABH), des Plans de réponse humanitaire (PRH) plus éclairés, </w:t>
      </w:r>
      <w:r w:rsidR="00F7609D">
        <w:rPr>
          <w:rFonts w:ascii="Arial" w:hAnsi="Arial"/>
        </w:rPr>
        <w:t xml:space="preserve">plus </w:t>
      </w:r>
      <w:r w:rsidR="004F6A09">
        <w:rPr>
          <w:rFonts w:ascii="Arial" w:hAnsi="Arial"/>
        </w:rPr>
        <w:t>stratégiques, priorisés et mieux coordonnés</w:t>
      </w:r>
      <w:r w:rsidR="004F1D9D">
        <w:rPr>
          <w:rFonts w:ascii="Arial" w:hAnsi="Arial"/>
        </w:rPr>
        <w:t>,</w:t>
      </w:r>
      <w:r w:rsidR="004F6A09">
        <w:rPr>
          <w:rFonts w:ascii="Arial" w:hAnsi="Arial"/>
        </w:rPr>
        <w:t xml:space="preserve"> et une amélioration du suivi de la réponse et des résultats.</w:t>
      </w:r>
    </w:p>
    <w:p w14:paraId="19D4D390" w14:textId="77777777" w:rsidR="00235A62" w:rsidRDefault="00235A62">
      <w:pPr>
        <w:rPr>
          <w:rFonts w:ascii="Arial" w:eastAsia="Calibri" w:hAnsi="Arial" w:cs="Arial"/>
          <w:b/>
          <w:color w:val="000000"/>
          <w:sz w:val="28"/>
          <w:szCs w:val="28"/>
          <w:lang w:eastAsia="fr-FR"/>
        </w:rPr>
      </w:pPr>
    </w:p>
    <w:p w14:paraId="14C4F71C" w14:textId="0B6E27E0" w:rsidR="004F6A09" w:rsidRPr="00235A62" w:rsidRDefault="00500FB2" w:rsidP="00661135">
      <w:pPr>
        <w:pStyle w:val="Titre2"/>
        <w:numPr>
          <w:ilvl w:val="0"/>
          <w:numId w:val="1"/>
        </w:numPr>
        <w:spacing w:after="120"/>
        <w:jc w:val="both"/>
        <w:rPr>
          <w:rFonts w:ascii="Arial" w:hAnsi="Arial" w:cs="Arial"/>
          <w:b/>
          <w:color w:val="000000"/>
          <w:sz w:val="28"/>
          <w:szCs w:val="28"/>
        </w:rPr>
      </w:pPr>
      <w:bookmarkStart w:id="15" w:name="_Toc90559360"/>
      <w:r>
        <w:rPr>
          <w:rFonts w:ascii="Arial" w:hAnsi="Arial"/>
          <w:b/>
          <w:color w:val="000000"/>
          <w:sz w:val="28"/>
        </w:rPr>
        <w:t>Présentation générale</w:t>
      </w:r>
      <w:r w:rsidR="00CF4AD8">
        <w:rPr>
          <w:rFonts w:ascii="Arial" w:hAnsi="Arial"/>
          <w:b/>
          <w:color w:val="000000"/>
          <w:sz w:val="28"/>
        </w:rPr>
        <w:t xml:space="preserve"> du JIAF</w:t>
      </w:r>
      <w:bookmarkEnd w:id="15"/>
      <w:r w:rsidR="00CF4AD8">
        <w:rPr>
          <w:rFonts w:ascii="Arial" w:hAnsi="Arial"/>
          <w:b/>
          <w:color w:val="000000"/>
          <w:sz w:val="28"/>
        </w:rPr>
        <w:t xml:space="preserve"> </w:t>
      </w:r>
    </w:p>
    <w:p w14:paraId="63489EB3" w14:textId="6D34DD2C" w:rsidR="004F6A09" w:rsidRPr="004F6A09" w:rsidRDefault="004F6A09" w:rsidP="00235A62">
      <w:pPr>
        <w:spacing w:after="40"/>
        <w:jc w:val="both"/>
        <w:rPr>
          <w:rFonts w:ascii="Arial" w:hAnsi="Arial" w:cs="Arial"/>
        </w:rPr>
      </w:pPr>
      <w:r>
        <w:rPr>
          <w:rFonts w:ascii="Arial" w:hAnsi="Arial"/>
        </w:rPr>
        <w:t xml:space="preserve">Le Cadre d’analyse intersectionnelle conjointe </w:t>
      </w:r>
      <w:r w:rsidR="00D30551">
        <w:rPr>
          <w:rFonts w:ascii="Arial" w:hAnsi="Arial"/>
        </w:rPr>
        <w:t xml:space="preserve">(JIAF) </w:t>
      </w:r>
      <w:r>
        <w:rPr>
          <w:rFonts w:ascii="Arial" w:hAnsi="Arial"/>
        </w:rPr>
        <w:t xml:space="preserve">est un ensemble de protocoles, de méthodes et d’outils permettant de classer la sévérité des conditions humanitaires (y compris les besoins humanitaires) </w:t>
      </w:r>
      <w:r w:rsidR="00D30551">
        <w:rPr>
          <w:rFonts w:ascii="Arial" w:hAnsi="Arial"/>
        </w:rPr>
        <w:t>à la suite d’un</w:t>
      </w:r>
      <w:r>
        <w:rPr>
          <w:rFonts w:ascii="Arial" w:hAnsi="Arial"/>
        </w:rPr>
        <w:t xml:space="preserve"> choc</w:t>
      </w:r>
      <w:r w:rsidR="00B13A6E">
        <w:rPr>
          <w:rFonts w:ascii="Arial" w:hAnsi="Arial"/>
        </w:rPr>
        <w:t>, d’un événement</w:t>
      </w:r>
      <w:r>
        <w:rPr>
          <w:rFonts w:ascii="Arial" w:hAnsi="Arial"/>
        </w:rPr>
        <w:t xml:space="preserve"> ou </w:t>
      </w:r>
      <w:r w:rsidR="00500FB2">
        <w:rPr>
          <w:rFonts w:ascii="Arial" w:hAnsi="Arial"/>
        </w:rPr>
        <w:t xml:space="preserve">à </w:t>
      </w:r>
      <w:r>
        <w:rPr>
          <w:rFonts w:ascii="Arial" w:hAnsi="Arial"/>
        </w:rPr>
        <w:t>de</w:t>
      </w:r>
      <w:r w:rsidR="00500FB2">
        <w:rPr>
          <w:rFonts w:ascii="Arial" w:hAnsi="Arial"/>
        </w:rPr>
        <w:t>s</w:t>
      </w:r>
      <w:r>
        <w:rPr>
          <w:rFonts w:ascii="Arial" w:hAnsi="Arial"/>
        </w:rPr>
        <w:t xml:space="preserve"> conditions </w:t>
      </w:r>
      <w:r w:rsidR="00D30551">
        <w:rPr>
          <w:rFonts w:ascii="Arial" w:hAnsi="Arial"/>
        </w:rPr>
        <w:t>en cours</w:t>
      </w:r>
      <w:r>
        <w:rPr>
          <w:rFonts w:ascii="Arial" w:hAnsi="Arial"/>
        </w:rPr>
        <w:t>, d’identifier leurs principaux moteurs et leurs facteurs sous-jacents</w:t>
      </w:r>
      <w:r w:rsidR="00D30551">
        <w:rPr>
          <w:rFonts w:ascii="Arial" w:hAnsi="Arial"/>
        </w:rPr>
        <w:t>,</w:t>
      </w:r>
      <w:r>
        <w:rPr>
          <w:rFonts w:ascii="Arial" w:hAnsi="Arial"/>
        </w:rPr>
        <w:t xml:space="preserve"> et de fournir des informations </w:t>
      </w:r>
      <w:r w:rsidR="00D30551">
        <w:rPr>
          <w:rFonts w:ascii="Arial" w:hAnsi="Arial"/>
        </w:rPr>
        <w:t xml:space="preserve">exploitables </w:t>
      </w:r>
      <w:r>
        <w:rPr>
          <w:rFonts w:ascii="Arial" w:hAnsi="Arial"/>
        </w:rPr>
        <w:t>pour l</w:t>
      </w:r>
      <w:r w:rsidR="00B13A6E">
        <w:rPr>
          <w:rFonts w:ascii="Arial" w:hAnsi="Arial"/>
        </w:rPr>
        <w:t>a</w:t>
      </w:r>
      <w:r>
        <w:rPr>
          <w:rFonts w:ascii="Arial" w:hAnsi="Arial"/>
        </w:rPr>
        <w:t xml:space="preserve"> prise de décisions – voir l’</w:t>
      </w:r>
      <w:r>
        <w:rPr>
          <w:rFonts w:ascii="Arial" w:hAnsi="Arial"/>
          <w:i/>
        </w:rPr>
        <w:t>Annexe 1</w:t>
      </w:r>
      <w:r w:rsidR="00D30551">
        <w:rPr>
          <w:rFonts w:ascii="Arial" w:hAnsi="Arial"/>
          <w:i/>
        </w:rPr>
        <w:t xml:space="preserve">, </w:t>
      </w:r>
      <w:r>
        <w:rPr>
          <w:rFonts w:ascii="Arial" w:hAnsi="Arial"/>
        </w:rPr>
        <w:t xml:space="preserve">le Cadre conceptuel du JIAF. Il comprend un ensemble systématique de procédures menées </w:t>
      </w:r>
      <w:r w:rsidR="00D30551">
        <w:rPr>
          <w:rFonts w:ascii="Arial" w:hAnsi="Arial"/>
        </w:rPr>
        <w:t xml:space="preserve">pour </w:t>
      </w:r>
      <w:r>
        <w:rPr>
          <w:rFonts w:ascii="Arial" w:hAnsi="Arial"/>
        </w:rPr>
        <w:t>établi</w:t>
      </w:r>
      <w:r w:rsidR="00D30551">
        <w:rPr>
          <w:rFonts w:ascii="Arial" w:hAnsi="Arial"/>
        </w:rPr>
        <w:t>r l</w:t>
      </w:r>
      <w:r>
        <w:rPr>
          <w:rFonts w:ascii="Arial" w:hAnsi="Arial"/>
        </w:rPr>
        <w:t xml:space="preserve">es priorités et </w:t>
      </w:r>
      <w:r w:rsidR="00D30551">
        <w:rPr>
          <w:rFonts w:ascii="Arial" w:hAnsi="Arial"/>
        </w:rPr>
        <w:t>l</w:t>
      </w:r>
      <w:r>
        <w:rPr>
          <w:rFonts w:ascii="Arial" w:hAnsi="Arial"/>
        </w:rPr>
        <w:t xml:space="preserve">es décisions sur la stratégie, les programmes, l’amélioration des systèmes et l’affectation des ressources. L’application du JIAF permet de répondre aux questions clés suivantes : </w:t>
      </w:r>
    </w:p>
    <w:p w14:paraId="73FD1556" w14:textId="0962974F" w:rsidR="004F6A09" w:rsidRPr="004F6A09" w:rsidRDefault="004F6A09" w:rsidP="00235A62">
      <w:pPr>
        <w:spacing w:after="40"/>
        <w:jc w:val="both"/>
        <w:rPr>
          <w:rFonts w:ascii="Arial" w:hAnsi="Arial" w:cs="Arial"/>
        </w:rPr>
      </w:pPr>
      <w:r>
        <w:rPr>
          <w:rFonts w:ascii="Arial" w:hAnsi="Arial"/>
        </w:rPr>
        <w:t>●</w:t>
      </w:r>
      <w:r>
        <w:rPr>
          <w:rFonts w:ascii="Arial" w:hAnsi="Arial"/>
        </w:rPr>
        <w:tab/>
        <w:t xml:space="preserve">Quelles régions géographiques et quels groupes démographiques sont les plus </w:t>
      </w:r>
      <w:r w:rsidR="00D30551">
        <w:rPr>
          <w:rFonts w:ascii="Arial" w:hAnsi="Arial"/>
        </w:rPr>
        <w:t xml:space="preserve">sévèrement </w:t>
      </w:r>
      <w:r>
        <w:rPr>
          <w:rFonts w:ascii="Arial" w:hAnsi="Arial"/>
        </w:rPr>
        <w:t xml:space="preserve">touchés ou exposés à des risques </w:t>
      </w:r>
      <w:r w:rsidR="00D30551">
        <w:rPr>
          <w:rFonts w:ascii="Arial" w:hAnsi="Arial"/>
        </w:rPr>
        <w:t xml:space="preserve">à la suite de </w:t>
      </w:r>
      <w:r>
        <w:rPr>
          <w:rFonts w:ascii="Arial" w:hAnsi="Arial"/>
        </w:rPr>
        <w:t xml:space="preserve">la crise et </w:t>
      </w:r>
      <w:r w:rsidR="00D30551">
        <w:rPr>
          <w:rFonts w:ascii="Arial" w:hAnsi="Arial"/>
        </w:rPr>
        <w:t>d</w:t>
      </w:r>
      <w:r>
        <w:rPr>
          <w:rFonts w:ascii="Arial" w:hAnsi="Arial"/>
        </w:rPr>
        <w:t>es chocs ?</w:t>
      </w:r>
    </w:p>
    <w:p w14:paraId="4F287C0D" w14:textId="26535930" w:rsidR="004F6A09" w:rsidRPr="004F6A09" w:rsidRDefault="004F6A09" w:rsidP="00235A62">
      <w:pPr>
        <w:spacing w:after="40"/>
        <w:jc w:val="both"/>
        <w:rPr>
          <w:rFonts w:ascii="Arial" w:hAnsi="Arial" w:cs="Arial"/>
        </w:rPr>
      </w:pPr>
      <w:r>
        <w:rPr>
          <w:rFonts w:ascii="Arial" w:hAnsi="Arial"/>
        </w:rPr>
        <w:t>●</w:t>
      </w:r>
      <w:r>
        <w:rPr>
          <w:rFonts w:ascii="Arial" w:hAnsi="Arial"/>
        </w:rPr>
        <w:tab/>
        <w:t xml:space="preserve">Qui et combien de personnes seront confrontés à des besoins sévères, </w:t>
      </w:r>
      <w:r w:rsidR="00DC7C23">
        <w:rPr>
          <w:rFonts w:ascii="Arial" w:hAnsi="Arial"/>
        </w:rPr>
        <w:t>c</w:t>
      </w:r>
      <w:r w:rsidR="00D30551">
        <w:rPr>
          <w:rFonts w:ascii="Arial" w:hAnsi="Arial"/>
        </w:rPr>
        <w:t xml:space="preserve">ritiques </w:t>
      </w:r>
      <w:r>
        <w:rPr>
          <w:rFonts w:ascii="Arial" w:hAnsi="Arial"/>
        </w:rPr>
        <w:t>et catastrophiques au cours de la période couverte pa</w:t>
      </w:r>
      <w:r w:rsidR="00500FB2">
        <w:rPr>
          <w:rFonts w:ascii="Arial" w:hAnsi="Arial"/>
        </w:rPr>
        <w:t>r</w:t>
      </w:r>
      <w:r>
        <w:rPr>
          <w:rFonts w:ascii="Arial" w:hAnsi="Arial"/>
        </w:rPr>
        <w:t xml:space="preserve"> l’ABH ?</w:t>
      </w:r>
    </w:p>
    <w:p w14:paraId="5F2BE9A5" w14:textId="77777777" w:rsidR="004F6A09" w:rsidRPr="004F6A09" w:rsidRDefault="004F6A09" w:rsidP="00235A62">
      <w:pPr>
        <w:spacing w:after="40"/>
        <w:jc w:val="both"/>
        <w:rPr>
          <w:rFonts w:ascii="Arial" w:hAnsi="Arial" w:cs="Arial"/>
        </w:rPr>
      </w:pPr>
      <w:r>
        <w:rPr>
          <w:rFonts w:ascii="Arial" w:hAnsi="Arial"/>
        </w:rPr>
        <w:t>●</w:t>
      </w:r>
      <w:r>
        <w:rPr>
          <w:rFonts w:ascii="Arial" w:hAnsi="Arial"/>
        </w:rPr>
        <w:tab/>
        <w:t>Où ces personnes se trouvent-elles ?</w:t>
      </w:r>
    </w:p>
    <w:p w14:paraId="32AF4080" w14:textId="77777777" w:rsidR="004F6A09" w:rsidRPr="004F6A09" w:rsidRDefault="004F6A09" w:rsidP="00235A62">
      <w:pPr>
        <w:spacing w:after="40"/>
        <w:jc w:val="both"/>
        <w:rPr>
          <w:rFonts w:ascii="Arial" w:hAnsi="Arial" w:cs="Arial"/>
        </w:rPr>
      </w:pPr>
      <w:r>
        <w:rPr>
          <w:rFonts w:ascii="Arial" w:hAnsi="Arial"/>
        </w:rPr>
        <w:t>●</w:t>
      </w:r>
      <w:r>
        <w:rPr>
          <w:rFonts w:ascii="Arial" w:hAnsi="Arial"/>
        </w:rPr>
        <w:tab/>
        <w:t>Quels sont leurs problèmes en termes de survie et de moyens d’existence et comment y font-elles face ?</w:t>
      </w:r>
    </w:p>
    <w:p w14:paraId="084A3503" w14:textId="2B9560EE" w:rsidR="004F6A09" w:rsidRPr="004F6A09" w:rsidRDefault="004F6A09" w:rsidP="00235A62">
      <w:pPr>
        <w:spacing w:after="40"/>
        <w:jc w:val="both"/>
        <w:rPr>
          <w:rFonts w:ascii="Arial" w:hAnsi="Arial" w:cs="Arial"/>
        </w:rPr>
      </w:pPr>
      <w:r>
        <w:rPr>
          <w:rFonts w:ascii="Arial" w:hAnsi="Arial"/>
        </w:rPr>
        <w:t>●</w:t>
      </w:r>
      <w:r>
        <w:rPr>
          <w:rFonts w:ascii="Arial" w:hAnsi="Arial"/>
        </w:rPr>
        <w:tab/>
        <w:t xml:space="preserve">Pourquoi ces problèmes surviennent-ils (à </w:t>
      </w:r>
      <w:r w:rsidR="00B13A6E">
        <w:rPr>
          <w:rFonts w:ascii="Arial" w:hAnsi="Arial"/>
        </w:rPr>
        <w:t xml:space="preserve">quel </w:t>
      </w:r>
      <w:r>
        <w:rPr>
          <w:rFonts w:ascii="Arial" w:hAnsi="Arial"/>
        </w:rPr>
        <w:t>niveau</w:t>
      </w:r>
      <w:r w:rsidR="00B13A6E">
        <w:rPr>
          <w:rFonts w:ascii="Arial" w:hAnsi="Arial"/>
        </w:rPr>
        <w:t> :</w:t>
      </w:r>
      <w:r>
        <w:rPr>
          <w:rFonts w:ascii="Arial" w:hAnsi="Arial"/>
        </w:rPr>
        <w:t xml:space="preserve"> immédiat</w:t>
      </w:r>
      <w:r w:rsidR="00B13A6E">
        <w:rPr>
          <w:rFonts w:ascii="Arial" w:hAnsi="Arial"/>
        </w:rPr>
        <w:t xml:space="preserve">, </w:t>
      </w:r>
      <w:r>
        <w:rPr>
          <w:rFonts w:ascii="Arial" w:hAnsi="Arial"/>
        </w:rPr>
        <w:t>sous-jacent</w:t>
      </w:r>
      <w:r w:rsidR="00B13A6E">
        <w:rPr>
          <w:rFonts w:ascii="Arial" w:hAnsi="Arial"/>
        </w:rPr>
        <w:t xml:space="preserve">, ou </w:t>
      </w:r>
      <w:r>
        <w:rPr>
          <w:rFonts w:ascii="Arial" w:hAnsi="Arial"/>
        </w:rPr>
        <w:t>structurel) ?</w:t>
      </w:r>
    </w:p>
    <w:p w14:paraId="21E064A5" w14:textId="7B81E04F" w:rsidR="004F6A09" w:rsidRPr="004F6A09" w:rsidRDefault="004F6A09" w:rsidP="00235A62">
      <w:pPr>
        <w:spacing w:after="40"/>
        <w:jc w:val="both"/>
        <w:rPr>
          <w:rFonts w:ascii="Arial" w:hAnsi="Arial" w:cs="Arial"/>
        </w:rPr>
      </w:pPr>
      <w:r>
        <w:rPr>
          <w:rFonts w:ascii="Arial" w:hAnsi="Arial"/>
        </w:rPr>
        <w:t>●</w:t>
      </w:r>
      <w:r>
        <w:rPr>
          <w:rFonts w:ascii="Arial" w:hAnsi="Arial"/>
        </w:rPr>
        <w:tab/>
        <w:t xml:space="preserve">Comment prévoit-on </w:t>
      </w:r>
      <w:r w:rsidR="00DC7C23">
        <w:rPr>
          <w:rFonts w:ascii="Arial" w:hAnsi="Arial"/>
        </w:rPr>
        <w:t>l’évolution des besoins</w:t>
      </w:r>
      <w:r>
        <w:rPr>
          <w:rFonts w:ascii="Arial" w:hAnsi="Arial"/>
        </w:rPr>
        <w:t xml:space="preserve"> par la suite, sur la base de</w:t>
      </w:r>
      <w:r w:rsidR="00DC7C23">
        <w:rPr>
          <w:rFonts w:ascii="Arial" w:hAnsi="Arial"/>
        </w:rPr>
        <w:t xml:space="preserve"> la </w:t>
      </w:r>
      <w:r>
        <w:rPr>
          <w:rFonts w:ascii="Arial" w:hAnsi="Arial"/>
        </w:rPr>
        <w:t xml:space="preserve">réponse en cours et planifiée et </w:t>
      </w:r>
      <w:r w:rsidR="00DC7C23">
        <w:rPr>
          <w:rFonts w:ascii="Arial" w:hAnsi="Arial"/>
        </w:rPr>
        <w:t xml:space="preserve">sur la base </w:t>
      </w:r>
      <w:r>
        <w:rPr>
          <w:rFonts w:ascii="Arial" w:hAnsi="Arial"/>
        </w:rPr>
        <w:t>d’autres événements potentiels ?</w:t>
      </w:r>
    </w:p>
    <w:p w14:paraId="3881DC64" w14:textId="0655020D" w:rsidR="00536BA1" w:rsidRPr="00536BA1" w:rsidRDefault="004F6A09" w:rsidP="00536BA1">
      <w:pPr>
        <w:spacing w:after="200"/>
        <w:jc w:val="both"/>
        <w:rPr>
          <w:rFonts w:ascii="Arial" w:hAnsi="Arial" w:cs="Arial"/>
        </w:rPr>
      </w:pPr>
      <w:r>
        <w:rPr>
          <w:rFonts w:ascii="Arial" w:hAnsi="Arial"/>
        </w:rPr>
        <w:lastRenderedPageBreak/>
        <w:t xml:space="preserve">La perspective globale du JIAF </w:t>
      </w:r>
      <w:r w:rsidR="00DC7C23">
        <w:rPr>
          <w:rFonts w:ascii="Arial" w:hAnsi="Arial"/>
        </w:rPr>
        <w:t xml:space="preserve">liée </w:t>
      </w:r>
      <w:r>
        <w:rPr>
          <w:rFonts w:ascii="Arial" w:hAnsi="Arial"/>
        </w:rPr>
        <w:t xml:space="preserve">aux conditions humanitaires contribue également à une compréhension </w:t>
      </w:r>
      <w:r w:rsidR="00DC7C23">
        <w:rPr>
          <w:rFonts w:ascii="Arial" w:hAnsi="Arial"/>
        </w:rPr>
        <w:t xml:space="preserve">exhaustive </w:t>
      </w:r>
      <w:r>
        <w:rPr>
          <w:rFonts w:ascii="Arial" w:hAnsi="Arial"/>
        </w:rPr>
        <w:t>de la coexistence et des corrélations entre les besoins non satisfaits</w:t>
      </w:r>
      <w:r w:rsidR="00DC7C23">
        <w:rPr>
          <w:rFonts w:ascii="Arial" w:hAnsi="Arial"/>
        </w:rPr>
        <w:t xml:space="preserve">, </w:t>
      </w:r>
      <w:r>
        <w:rPr>
          <w:rFonts w:ascii="Arial" w:hAnsi="Arial"/>
        </w:rPr>
        <w:t xml:space="preserve">leur évolution dans le temps, ainsi que </w:t>
      </w:r>
      <w:r w:rsidR="00DC7C23">
        <w:rPr>
          <w:rFonts w:ascii="Arial" w:hAnsi="Arial"/>
        </w:rPr>
        <w:t>la façon dont les besoins et les facteurs sectoriels interagissent et composent ensemble</w:t>
      </w:r>
      <w:r>
        <w:rPr>
          <w:rFonts w:ascii="Arial" w:hAnsi="Arial"/>
        </w:rPr>
        <w:t xml:space="preserve">. Le JIAF est principalement un processus axé sur les données </w:t>
      </w:r>
      <w:r w:rsidR="00500FB2">
        <w:rPr>
          <w:rFonts w:ascii="Arial" w:hAnsi="Arial"/>
        </w:rPr>
        <w:t xml:space="preserve">qui </w:t>
      </w:r>
      <w:r>
        <w:rPr>
          <w:rFonts w:ascii="Arial" w:hAnsi="Arial"/>
        </w:rPr>
        <w:t>compren</w:t>
      </w:r>
      <w:r w:rsidR="00500FB2">
        <w:rPr>
          <w:rFonts w:ascii="Arial" w:hAnsi="Arial"/>
        </w:rPr>
        <w:t>d</w:t>
      </w:r>
      <w:r>
        <w:rPr>
          <w:rFonts w:ascii="Arial" w:hAnsi="Arial"/>
        </w:rPr>
        <w:t xml:space="preserve"> un consensus technique repos</w:t>
      </w:r>
      <w:r w:rsidR="00500FB2">
        <w:rPr>
          <w:rFonts w:ascii="Arial" w:hAnsi="Arial"/>
        </w:rPr>
        <w:t>ant</w:t>
      </w:r>
      <w:r>
        <w:rPr>
          <w:rFonts w:ascii="Arial" w:hAnsi="Arial"/>
        </w:rPr>
        <w:t xml:space="preserve"> sur des éléments factuels et des analyses conjointes. Cette section donne un aperçu global des principales étapes d’une analyse conjointe intersectorielle des besoins. Des détails complémentaires sur </w:t>
      </w:r>
      <w:r w:rsidR="00C91755">
        <w:rPr>
          <w:rFonts w:ascii="Arial" w:hAnsi="Arial"/>
        </w:rPr>
        <w:t>chaque étape</w:t>
      </w:r>
      <w:r>
        <w:rPr>
          <w:rFonts w:ascii="Arial" w:hAnsi="Arial"/>
        </w:rPr>
        <w:t xml:space="preserve"> figurent dans les annexes qui suivent</w:t>
      </w:r>
      <w:r w:rsidR="00063E13">
        <w:rPr>
          <w:rFonts w:ascii="Arial" w:hAnsi="Arial"/>
        </w:rPr>
        <w:t xml:space="preserve"> cette section</w:t>
      </w:r>
      <w:r>
        <w:rPr>
          <w:rFonts w:ascii="Arial" w:hAnsi="Arial"/>
        </w:rPr>
        <w:t>.</w:t>
      </w:r>
    </w:p>
    <w:p w14:paraId="68F0C8FC" w14:textId="3565087D" w:rsidR="000A6823" w:rsidRDefault="00F4757E" w:rsidP="00CF4AD8">
      <w:pPr>
        <w:spacing w:after="120"/>
        <w:jc w:val="both"/>
        <w:rPr>
          <w:rFonts w:ascii="Arial" w:hAnsi="Arial" w:cs="Arial"/>
        </w:rPr>
      </w:pPr>
      <w:r>
        <w:rPr>
          <w:rFonts w:ascii="Arial" w:hAnsi="Arial"/>
        </w:rPr>
        <w:t xml:space="preserve">Le JIAF est un processus participatif et inclusif. Pour susciter </w:t>
      </w:r>
      <w:r w:rsidR="00B74C65">
        <w:rPr>
          <w:rFonts w:ascii="Arial" w:hAnsi="Arial"/>
        </w:rPr>
        <w:t xml:space="preserve">une </w:t>
      </w:r>
      <w:r>
        <w:rPr>
          <w:rFonts w:ascii="Arial" w:hAnsi="Arial"/>
        </w:rPr>
        <w:t xml:space="preserve">adhésion, </w:t>
      </w:r>
      <w:r w:rsidR="00B74C65">
        <w:rPr>
          <w:rFonts w:ascii="Arial" w:hAnsi="Arial"/>
        </w:rPr>
        <w:t xml:space="preserve">il convient d’assurer, de documenter et de faciliter </w:t>
      </w:r>
      <w:r>
        <w:rPr>
          <w:rFonts w:ascii="Arial" w:hAnsi="Arial"/>
        </w:rPr>
        <w:t>la collaboration et la participation effective de toutes les parties prenantes concernées</w:t>
      </w:r>
      <w:r w:rsidRPr="00F4757E">
        <w:rPr>
          <w:rFonts w:ascii="Arial" w:hAnsi="Arial" w:cs="Arial"/>
          <w:vertAlign w:val="superscript"/>
        </w:rPr>
        <w:footnoteReference w:id="1"/>
      </w:r>
      <w:r>
        <w:rPr>
          <w:rFonts w:ascii="Arial" w:hAnsi="Arial"/>
        </w:rPr>
        <w:t xml:space="preserve">. Dirigé par une équipe JIAF qui </w:t>
      </w:r>
      <w:r w:rsidR="00C91755">
        <w:rPr>
          <w:rFonts w:ascii="Arial" w:hAnsi="Arial"/>
        </w:rPr>
        <w:t xml:space="preserve">facilitera </w:t>
      </w:r>
      <w:r>
        <w:rPr>
          <w:rFonts w:ascii="Arial" w:hAnsi="Arial"/>
        </w:rPr>
        <w:t>et coordonnera l’analyse, sous le leadership stratégique de l’EHP, le JIAF s’articule autour des étapes suivantes :</w:t>
      </w:r>
    </w:p>
    <w:p w14:paraId="342420E5" w14:textId="42C170FF" w:rsidR="009C2344" w:rsidRDefault="00D727A3" w:rsidP="00FB7474">
      <w:pPr>
        <w:spacing w:after="120"/>
        <w:jc w:val="both"/>
        <w:rPr>
          <w:rFonts w:ascii="Arial" w:hAnsi="Arial" w:cs="Arial"/>
        </w:rPr>
      </w:pPr>
      <w:r w:rsidRPr="00131B9A">
        <w:rPr>
          <w:noProof/>
          <w:u w:val="single"/>
        </w:rPr>
        <w:drawing>
          <wp:anchor distT="0" distB="0" distL="114300" distR="114300" simplePos="0" relativeHeight="251887616" behindDoc="1" locked="0" layoutInCell="1" allowOverlap="1" wp14:anchorId="67160FE3" wp14:editId="105477EC">
            <wp:simplePos x="0" y="0"/>
            <wp:positionH relativeFrom="margin">
              <wp:align>left</wp:align>
            </wp:positionH>
            <wp:positionV relativeFrom="paragraph">
              <wp:posOffset>1791</wp:posOffset>
            </wp:positionV>
            <wp:extent cx="5996763" cy="1901477"/>
            <wp:effectExtent l="0" t="0" r="4445" b="3810"/>
            <wp:wrapTight wrapText="bothSides">
              <wp:wrapPolygon edited="0">
                <wp:start x="0" y="0"/>
                <wp:lineTo x="0" y="21427"/>
                <wp:lineTo x="21547" y="21427"/>
                <wp:lineTo x="21547" y="0"/>
                <wp:lineTo x="0" y="0"/>
              </wp:wrapPolygon>
            </wp:wrapTight>
            <wp:docPr id="4" name="Picture 2">
              <a:extLst xmlns:a="http://schemas.openxmlformats.org/drawingml/2006/main">
                <a:ext uri="{FF2B5EF4-FFF2-40B4-BE49-F238E27FC236}">
                  <a16:creationId xmlns:a16="http://schemas.microsoft.com/office/drawing/2014/main" id="{57F1CBE9-84C3-44E8-8AD8-3BCA5DC4DD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7F1CBE9-84C3-44E8-8AD8-3BCA5DC4DDC6}"/>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996763" cy="1901477"/>
                    </a:xfrm>
                    <a:prstGeom prst="rect">
                      <a:avLst/>
                    </a:prstGeom>
                  </pic:spPr>
                </pic:pic>
              </a:graphicData>
            </a:graphic>
            <wp14:sizeRelH relativeFrom="margin">
              <wp14:pctWidth>0</wp14:pctWidth>
            </wp14:sizeRelH>
            <wp14:sizeRelV relativeFrom="margin">
              <wp14:pctHeight>0</wp14:pctHeight>
            </wp14:sizeRelV>
          </wp:anchor>
        </w:drawing>
      </w:r>
      <w:r w:rsidR="00FB7474">
        <w:rPr>
          <w:rFonts w:ascii="Arial" w:hAnsi="Arial"/>
        </w:rPr>
        <w:t xml:space="preserve">Tout au long du processus du JIAF, la garantie de l’inclusion et de la participation active des acteurs locaux est requise </w:t>
      </w:r>
      <w:r w:rsidR="00174C85">
        <w:rPr>
          <w:rFonts w:ascii="Arial" w:hAnsi="Arial"/>
        </w:rPr>
        <w:t>pour en assurer</w:t>
      </w:r>
      <w:r w:rsidR="00FB7474">
        <w:rPr>
          <w:rFonts w:ascii="Arial" w:hAnsi="Arial"/>
        </w:rPr>
        <w:t xml:space="preserve"> la redevabilité</w:t>
      </w:r>
      <w:r w:rsidR="00C91755">
        <w:rPr>
          <w:rFonts w:ascii="Arial" w:hAnsi="Arial"/>
        </w:rPr>
        <w:t>. E</w:t>
      </w:r>
      <w:r w:rsidR="003C0D96">
        <w:rPr>
          <w:rFonts w:ascii="Arial" w:hAnsi="Arial"/>
        </w:rPr>
        <w:t xml:space="preserve">lle est </w:t>
      </w:r>
      <w:r w:rsidR="00FB7474">
        <w:rPr>
          <w:rFonts w:ascii="Arial" w:hAnsi="Arial"/>
        </w:rPr>
        <w:t xml:space="preserve">essentielle pour </w:t>
      </w:r>
      <w:r w:rsidR="00AE0A66">
        <w:rPr>
          <w:rFonts w:ascii="Arial" w:hAnsi="Arial"/>
        </w:rPr>
        <w:t>garanti</w:t>
      </w:r>
      <w:r w:rsidR="00FB7474">
        <w:rPr>
          <w:rFonts w:ascii="Arial" w:hAnsi="Arial"/>
        </w:rPr>
        <w:t>r que le JIAF est en mesure de refléter fidèlement les besoins intersectoriels de la population affectée.</w:t>
      </w:r>
    </w:p>
    <w:p w14:paraId="690EAF61" w14:textId="45F24563" w:rsidR="00F4757E" w:rsidRDefault="00F4757E" w:rsidP="00CF4AD8">
      <w:pPr>
        <w:spacing w:after="120"/>
        <w:jc w:val="both"/>
        <w:rPr>
          <w:rFonts w:ascii="Arial" w:hAnsi="Arial" w:cs="Arial"/>
        </w:rPr>
      </w:pPr>
      <w:r>
        <w:rPr>
          <w:rFonts w:ascii="Arial" w:hAnsi="Arial"/>
        </w:rPr>
        <w:t>Sur la base d’un examen approfondi des données secondaires disponibles, le champ d’application et les paramètres du JIAF sont établis selon les zones géographiques, les groupes démographiques (y compris les groupes aux besoins spécifiques) et les questions thématiques intersectorielles qui ont été identifiés et convenus pour assurer une approche intersectorielle. L’analyse du contexte de crise</w:t>
      </w:r>
      <w:r w:rsidR="00A0691A">
        <w:rPr>
          <w:rFonts w:ascii="Arial" w:hAnsi="Arial"/>
        </w:rPr>
        <w:t>s</w:t>
      </w:r>
      <w:r>
        <w:rPr>
          <w:rFonts w:ascii="Arial" w:hAnsi="Arial"/>
        </w:rPr>
        <w:t xml:space="preserve">, </w:t>
      </w:r>
      <w:r w:rsidR="00A0691A">
        <w:rPr>
          <w:rFonts w:ascii="Arial" w:hAnsi="Arial"/>
        </w:rPr>
        <w:t>de</w:t>
      </w:r>
      <w:r w:rsidR="00046C1A">
        <w:rPr>
          <w:rFonts w:ascii="Arial" w:hAnsi="Arial"/>
        </w:rPr>
        <w:t>s</w:t>
      </w:r>
      <w:r w:rsidR="00A0691A">
        <w:rPr>
          <w:rFonts w:ascii="Arial" w:hAnsi="Arial"/>
        </w:rPr>
        <w:t xml:space="preserve"> </w:t>
      </w:r>
      <w:r>
        <w:rPr>
          <w:rFonts w:ascii="Arial" w:hAnsi="Arial"/>
        </w:rPr>
        <w:t xml:space="preserve">chocs/événements clés et des impacts repose sur les connaissances disponibles au sujet de la situation humanitaire </w:t>
      </w:r>
      <w:r w:rsidR="003C0D96">
        <w:rPr>
          <w:rFonts w:ascii="Arial" w:hAnsi="Arial"/>
        </w:rPr>
        <w:t xml:space="preserve">ainsi que </w:t>
      </w:r>
      <w:r>
        <w:rPr>
          <w:rFonts w:ascii="Arial" w:hAnsi="Arial"/>
        </w:rPr>
        <w:t xml:space="preserve">sur des analyses antérieures. </w:t>
      </w:r>
    </w:p>
    <w:p w14:paraId="736B134C" w14:textId="77777777" w:rsidR="00A73816" w:rsidRDefault="00A73816" w:rsidP="00A73816">
      <w:pPr>
        <w:rPr>
          <w:rFonts w:ascii="Arial" w:hAnsi="Arial" w:cs="Arial"/>
        </w:rPr>
      </w:pPr>
    </w:p>
    <w:p w14:paraId="6DD03C7F" w14:textId="77777777" w:rsidR="00196871" w:rsidRPr="00DA62DB" w:rsidRDefault="00196871" w:rsidP="00DA62DB">
      <w:pPr>
        <w:pStyle w:val="Titre2"/>
        <w:numPr>
          <w:ilvl w:val="0"/>
          <w:numId w:val="1"/>
        </w:numPr>
        <w:spacing w:after="120"/>
        <w:jc w:val="both"/>
        <w:rPr>
          <w:rFonts w:ascii="Arial" w:hAnsi="Arial" w:cs="Arial"/>
          <w:b/>
          <w:color w:val="000000"/>
          <w:sz w:val="28"/>
          <w:szCs w:val="28"/>
        </w:rPr>
      </w:pPr>
      <w:bookmarkStart w:id="16" w:name="_Toc90559361"/>
      <w:r>
        <w:rPr>
          <w:rFonts w:ascii="Arial" w:hAnsi="Arial"/>
          <w:b/>
          <w:color w:val="000000"/>
          <w:sz w:val="28"/>
        </w:rPr>
        <w:t>Principaux points à prendre en compte lors de la conduite de l’analyse sectorielle de la nutrition</w:t>
      </w:r>
      <w:bookmarkEnd w:id="16"/>
      <w:r>
        <w:rPr>
          <w:rFonts w:ascii="Arial" w:hAnsi="Arial"/>
          <w:b/>
          <w:color w:val="000000"/>
          <w:sz w:val="28"/>
        </w:rPr>
        <w:t xml:space="preserve"> </w:t>
      </w:r>
    </w:p>
    <w:p w14:paraId="68ADD7EF" w14:textId="77DC7A34" w:rsidR="00196871" w:rsidRPr="00CA2973" w:rsidRDefault="00196871" w:rsidP="00196871">
      <w:pPr>
        <w:spacing w:after="120"/>
        <w:jc w:val="both"/>
        <w:rPr>
          <w:rFonts w:ascii="Arial" w:hAnsi="Arial" w:cs="Arial"/>
        </w:rPr>
      </w:pPr>
      <w:r>
        <w:rPr>
          <w:rFonts w:ascii="Arial" w:hAnsi="Arial"/>
        </w:rPr>
        <w:t>Dirigées par le Coordinateur du Cluster Nutrition dans le pays et co-dirigées par des représentants du gouvernement national</w:t>
      </w:r>
      <w:r w:rsidR="00174C85">
        <w:rPr>
          <w:rFonts w:ascii="Arial" w:hAnsi="Arial"/>
        </w:rPr>
        <w:t>,</w:t>
      </w:r>
      <w:r>
        <w:rPr>
          <w:rFonts w:ascii="Arial" w:hAnsi="Arial"/>
        </w:rPr>
        <w:t xml:space="preserve"> </w:t>
      </w:r>
      <w:r w:rsidR="00D002F6">
        <w:rPr>
          <w:rFonts w:ascii="Arial" w:hAnsi="Arial"/>
        </w:rPr>
        <w:t xml:space="preserve">ensemble </w:t>
      </w:r>
      <w:r>
        <w:rPr>
          <w:rFonts w:ascii="Arial" w:hAnsi="Arial"/>
        </w:rPr>
        <w:t xml:space="preserve">avec </w:t>
      </w:r>
      <w:r w:rsidR="00C91755">
        <w:rPr>
          <w:rFonts w:ascii="Arial" w:hAnsi="Arial"/>
        </w:rPr>
        <w:t>d</w:t>
      </w:r>
      <w:r w:rsidR="00D002F6">
        <w:rPr>
          <w:rFonts w:ascii="Arial" w:hAnsi="Arial"/>
        </w:rPr>
        <w:t>es</w:t>
      </w:r>
      <w:r w:rsidR="00C91755">
        <w:rPr>
          <w:rFonts w:ascii="Arial" w:hAnsi="Arial"/>
        </w:rPr>
        <w:t xml:space="preserve"> </w:t>
      </w:r>
      <w:r>
        <w:rPr>
          <w:rFonts w:ascii="Arial" w:hAnsi="Arial"/>
        </w:rPr>
        <w:t xml:space="preserve">partenaires du Cluster </w:t>
      </w:r>
      <w:r w:rsidR="00C91755">
        <w:rPr>
          <w:rFonts w:ascii="Arial" w:hAnsi="Arial"/>
        </w:rPr>
        <w:t>(</w:t>
      </w:r>
      <w:r>
        <w:rPr>
          <w:rFonts w:ascii="Arial" w:hAnsi="Arial"/>
        </w:rPr>
        <w:t xml:space="preserve">les institutions/organisations de la société civile, les </w:t>
      </w:r>
      <w:r w:rsidR="00C91755">
        <w:rPr>
          <w:rFonts w:ascii="Arial" w:hAnsi="Arial"/>
        </w:rPr>
        <w:t xml:space="preserve">acteurs </w:t>
      </w:r>
      <w:r w:rsidR="007E1B5B">
        <w:rPr>
          <w:rFonts w:ascii="Arial" w:hAnsi="Arial"/>
        </w:rPr>
        <w:t>locaux</w:t>
      </w:r>
      <w:r>
        <w:rPr>
          <w:rFonts w:ascii="Arial" w:hAnsi="Arial"/>
        </w:rPr>
        <w:t>, les agences de l’ONU</w:t>
      </w:r>
      <w:r w:rsidR="007E1B5B">
        <w:rPr>
          <w:rFonts w:ascii="Arial" w:hAnsi="Arial"/>
        </w:rPr>
        <w:t>)</w:t>
      </w:r>
      <w:r w:rsidR="00174C85">
        <w:rPr>
          <w:rFonts w:ascii="Arial" w:hAnsi="Arial"/>
        </w:rPr>
        <w:t xml:space="preserve"> et</w:t>
      </w:r>
      <w:r>
        <w:rPr>
          <w:rFonts w:ascii="Arial" w:hAnsi="Arial"/>
        </w:rPr>
        <w:t xml:space="preserve"> les membres du GTT SIN ou </w:t>
      </w:r>
      <w:r w:rsidR="002C30F0">
        <w:rPr>
          <w:rFonts w:ascii="Arial" w:hAnsi="Arial"/>
        </w:rPr>
        <w:t xml:space="preserve">d’une </w:t>
      </w:r>
      <w:r>
        <w:rPr>
          <w:rFonts w:ascii="Arial" w:hAnsi="Arial"/>
        </w:rPr>
        <w:t>entité équivalente</w:t>
      </w:r>
      <w:r w:rsidRPr="00CA2973">
        <w:rPr>
          <w:rStyle w:val="Appelnotedebasdep"/>
          <w:rFonts w:ascii="Arial" w:hAnsi="Arial" w:cs="Arial"/>
        </w:rPr>
        <w:footnoteReference w:id="2"/>
      </w:r>
      <w:r>
        <w:rPr>
          <w:rFonts w:ascii="Arial" w:hAnsi="Arial"/>
        </w:rPr>
        <w:t>, les étapes suivantes</w:t>
      </w:r>
      <w:r w:rsidR="0084590E">
        <w:rPr>
          <w:rFonts w:ascii="Arial" w:hAnsi="Arial"/>
        </w:rPr>
        <w:t xml:space="preserve"> –</w:t>
      </w:r>
      <w:r>
        <w:rPr>
          <w:rFonts w:ascii="Arial" w:hAnsi="Arial"/>
        </w:rPr>
        <w:t xml:space="preserve"> selon </w:t>
      </w:r>
      <w:r w:rsidR="00174C85">
        <w:rPr>
          <w:rFonts w:ascii="Arial" w:hAnsi="Arial"/>
        </w:rPr>
        <w:t xml:space="preserve">les </w:t>
      </w:r>
      <w:r w:rsidR="007E1B5B">
        <w:rPr>
          <w:rFonts w:ascii="Arial" w:hAnsi="Arial"/>
        </w:rPr>
        <w:t xml:space="preserve">3 </w:t>
      </w:r>
      <w:r>
        <w:rPr>
          <w:rFonts w:ascii="Arial" w:hAnsi="Arial"/>
        </w:rPr>
        <w:lastRenderedPageBreak/>
        <w:t>scénario</w:t>
      </w:r>
      <w:r w:rsidR="007E1B5B">
        <w:rPr>
          <w:rFonts w:ascii="Arial" w:hAnsi="Arial"/>
        </w:rPr>
        <w:t xml:space="preserve">s </w:t>
      </w:r>
      <w:r w:rsidR="0084590E">
        <w:rPr>
          <w:rFonts w:ascii="Arial" w:hAnsi="Arial"/>
        </w:rPr>
        <w:t>–</w:t>
      </w:r>
      <w:r>
        <w:rPr>
          <w:rFonts w:ascii="Arial" w:hAnsi="Arial"/>
        </w:rPr>
        <w:t xml:space="preserve"> visent à faire ressortir un certain nombre d’</w:t>
      </w:r>
      <w:r>
        <w:rPr>
          <w:rFonts w:ascii="Arial" w:hAnsi="Arial"/>
          <w:b/>
        </w:rPr>
        <w:t xml:space="preserve">aspects clés à prendre en compte </w:t>
      </w:r>
      <w:r>
        <w:rPr>
          <w:rFonts w:ascii="Arial" w:hAnsi="Arial"/>
        </w:rPr>
        <w:t>lors de la préparation de l’analyse sectorielle de la nutrition :</w:t>
      </w:r>
    </w:p>
    <w:p w14:paraId="7041D924" w14:textId="6F21DC92" w:rsidR="007F6643" w:rsidRDefault="007E1B5B" w:rsidP="003D10F7">
      <w:pPr>
        <w:pStyle w:val="Paragraphedeliste"/>
        <w:numPr>
          <w:ilvl w:val="0"/>
          <w:numId w:val="2"/>
        </w:numPr>
        <w:spacing w:after="120"/>
        <w:ind w:left="576" w:hanging="288"/>
        <w:contextualSpacing w:val="0"/>
        <w:jc w:val="both"/>
        <w:rPr>
          <w:rFonts w:ascii="Arial" w:hAnsi="Arial" w:cs="Arial"/>
        </w:rPr>
      </w:pPr>
      <w:r>
        <w:rPr>
          <w:rFonts w:ascii="Arial" w:hAnsi="Arial"/>
        </w:rPr>
        <w:t>D</w:t>
      </w:r>
      <w:r w:rsidR="00196871">
        <w:rPr>
          <w:rFonts w:ascii="Arial" w:hAnsi="Arial"/>
        </w:rPr>
        <w:t>iscute</w:t>
      </w:r>
      <w:r w:rsidR="00DC34D3">
        <w:rPr>
          <w:rFonts w:ascii="Arial" w:hAnsi="Arial"/>
        </w:rPr>
        <w:t>z</w:t>
      </w:r>
      <w:r w:rsidR="00196871">
        <w:rPr>
          <w:rFonts w:ascii="Arial" w:hAnsi="Arial"/>
        </w:rPr>
        <w:t xml:space="preserve"> avec les membres du GTT SIN </w:t>
      </w:r>
      <w:r w:rsidR="00DC34D3">
        <w:rPr>
          <w:rFonts w:ascii="Arial" w:hAnsi="Arial"/>
        </w:rPr>
        <w:t xml:space="preserve">au sujet </w:t>
      </w:r>
      <w:r w:rsidR="00196871">
        <w:rPr>
          <w:rFonts w:ascii="Arial" w:hAnsi="Arial"/>
        </w:rPr>
        <w:t xml:space="preserve">du scénario </w:t>
      </w:r>
      <w:r>
        <w:rPr>
          <w:rFonts w:ascii="Arial" w:hAnsi="Arial"/>
        </w:rPr>
        <w:t>(</w:t>
      </w:r>
      <w:r w:rsidR="00196871">
        <w:rPr>
          <w:rFonts w:ascii="Arial" w:hAnsi="Arial"/>
        </w:rPr>
        <w:t xml:space="preserve">décrit dans les </w:t>
      </w:r>
      <w:hyperlink r:id="rId24" w:history="1">
        <w:r w:rsidR="00196871">
          <w:rPr>
            <w:rStyle w:val="Lienhypertexte"/>
            <w:rFonts w:ascii="Arial" w:hAnsi="Arial"/>
          </w:rPr>
          <w:t>Directives pour l’analyse des besoins humanitaires en matière de nutrition</w:t>
        </w:r>
      </w:hyperlink>
      <w:r>
        <w:rPr>
          <w:rStyle w:val="Lienhypertexte"/>
          <w:rFonts w:ascii="Arial" w:hAnsi="Arial"/>
        </w:rPr>
        <w:t>)</w:t>
      </w:r>
      <w:r w:rsidR="00196871">
        <w:rPr>
          <w:rFonts w:ascii="Arial" w:hAnsi="Arial"/>
        </w:rPr>
        <w:t xml:space="preserve"> qui convient </w:t>
      </w:r>
      <w:r>
        <w:rPr>
          <w:rFonts w:ascii="Arial" w:hAnsi="Arial"/>
        </w:rPr>
        <w:t xml:space="preserve">au </w:t>
      </w:r>
      <w:r w:rsidR="00196871">
        <w:rPr>
          <w:rFonts w:ascii="Arial" w:hAnsi="Arial"/>
        </w:rPr>
        <w:t>mieux dans votre contexte ;</w:t>
      </w:r>
    </w:p>
    <w:p w14:paraId="29343ACF" w14:textId="3F23BBD6" w:rsidR="00196871" w:rsidRDefault="007E1B5B" w:rsidP="003D10F7">
      <w:pPr>
        <w:pStyle w:val="Paragraphedeliste"/>
        <w:numPr>
          <w:ilvl w:val="0"/>
          <w:numId w:val="2"/>
        </w:numPr>
        <w:spacing w:after="120"/>
        <w:ind w:left="576" w:hanging="288"/>
        <w:contextualSpacing w:val="0"/>
        <w:jc w:val="both"/>
        <w:rPr>
          <w:rFonts w:ascii="Arial" w:hAnsi="Arial" w:cs="Arial"/>
        </w:rPr>
      </w:pPr>
      <w:r>
        <w:rPr>
          <w:rFonts w:ascii="Arial" w:hAnsi="Arial"/>
        </w:rPr>
        <w:t>I</w:t>
      </w:r>
      <w:r w:rsidR="007F6643">
        <w:rPr>
          <w:rFonts w:ascii="Arial" w:hAnsi="Arial"/>
        </w:rPr>
        <w:t xml:space="preserve">dentifiez et consolidez le résultat nutritionnel </w:t>
      </w:r>
      <w:r w:rsidR="00DC34D3">
        <w:rPr>
          <w:rFonts w:ascii="Arial" w:hAnsi="Arial"/>
        </w:rPr>
        <w:t xml:space="preserve">qui est </w:t>
      </w:r>
      <w:r w:rsidR="007F6643">
        <w:rPr>
          <w:rFonts w:ascii="Arial" w:hAnsi="Arial"/>
        </w:rPr>
        <w:t xml:space="preserve">disponible, manquant </w:t>
      </w:r>
      <w:r w:rsidR="00DC34D3">
        <w:rPr>
          <w:rFonts w:ascii="Arial" w:hAnsi="Arial"/>
        </w:rPr>
        <w:t>ou</w:t>
      </w:r>
      <w:r w:rsidR="007F6643">
        <w:rPr>
          <w:rFonts w:ascii="Arial" w:hAnsi="Arial"/>
        </w:rPr>
        <w:t xml:space="preserve"> requis, selon le champ d’application défini pour l’analyse sectorielle de la nutrition (souvent défini par les collègues de l’OCHA au niveau des pays). </w:t>
      </w:r>
      <w:r>
        <w:rPr>
          <w:rFonts w:ascii="Arial" w:hAnsi="Arial"/>
        </w:rPr>
        <w:t>E</w:t>
      </w:r>
      <w:r w:rsidR="00525867">
        <w:rPr>
          <w:rFonts w:ascii="Arial" w:hAnsi="Arial"/>
        </w:rPr>
        <w:t>n fonction</w:t>
      </w:r>
      <w:r w:rsidR="007F6643">
        <w:rPr>
          <w:rFonts w:ascii="Arial" w:hAnsi="Arial"/>
        </w:rPr>
        <w:t xml:space="preserve"> du scénario et des indicateurs «</w:t>
      </w:r>
      <w:r w:rsidR="00E66974">
        <w:rPr>
          <w:rFonts w:ascii="Arial" w:hAnsi="Arial"/>
        </w:rPr>
        <w:t> </w:t>
      </w:r>
      <w:r w:rsidR="00174C85">
        <w:rPr>
          <w:rFonts w:ascii="Arial" w:hAnsi="Arial"/>
        </w:rPr>
        <w:t>essentiels</w:t>
      </w:r>
      <w:r w:rsidR="00E66974">
        <w:rPr>
          <w:rFonts w:ascii="Arial" w:hAnsi="Arial"/>
        </w:rPr>
        <w:t> </w:t>
      </w:r>
      <w:r w:rsidR="007F6643">
        <w:rPr>
          <w:rFonts w:ascii="Arial" w:hAnsi="Arial"/>
        </w:rPr>
        <w:t>» recommandés</w:t>
      </w:r>
      <w:r w:rsidR="00A4037E">
        <w:rPr>
          <w:rStyle w:val="Appelnotedebasdep"/>
          <w:rFonts w:ascii="Arial" w:hAnsi="Arial" w:cs="Arial"/>
        </w:rPr>
        <w:footnoteReference w:id="3"/>
      </w:r>
      <w:r w:rsidR="007F6643">
        <w:rPr>
          <w:rFonts w:ascii="Arial" w:hAnsi="Arial"/>
        </w:rPr>
        <w:t xml:space="preserve"> au</w:t>
      </w:r>
      <w:r w:rsidR="007F6643">
        <w:rPr>
          <w:rFonts w:ascii="Arial" w:hAnsi="Arial"/>
          <w:i/>
        </w:rPr>
        <w:t xml:space="preserve"> Tableau 1</w:t>
      </w:r>
      <w:r w:rsidR="007F6643">
        <w:rPr>
          <w:rFonts w:ascii="Arial" w:hAnsi="Arial"/>
        </w:rPr>
        <w:t xml:space="preserve"> ci-dessous, cela comprend : </w:t>
      </w:r>
    </w:p>
    <w:p w14:paraId="53C0CD12" w14:textId="1DA2F137" w:rsidR="0066430F" w:rsidRPr="0066430F" w:rsidRDefault="0066430F" w:rsidP="0066430F">
      <w:pPr>
        <w:pStyle w:val="paragraph"/>
        <w:spacing w:before="0" w:beforeAutospacing="0" w:after="120" w:afterAutospacing="0"/>
        <w:ind w:right="144"/>
        <w:jc w:val="both"/>
        <w:textAlignment w:val="baseline"/>
        <w:rPr>
          <w:rFonts w:ascii="Arial" w:hAnsi="Arial" w:cs="Arial"/>
        </w:rPr>
      </w:pPr>
      <w:r>
        <w:rPr>
          <w:rFonts w:ascii="Arial" w:hAnsi="Arial"/>
          <w:shd w:val="clear" w:color="auto" w:fill="FFD966" w:themeFill="accent4" w:themeFillTint="99"/>
        </w:rPr>
        <w:t xml:space="preserve">Scénario 1 – </w:t>
      </w:r>
      <w:r w:rsidR="00DC34D3">
        <w:rPr>
          <w:rFonts w:ascii="Arial" w:hAnsi="Arial"/>
          <w:shd w:val="clear" w:color="auto" w:fill="FFD966" w:themeFill="accent4" w:themeFillTint="99"/>
        </w:rPr>
        <w:t xml:space="preserve">les </w:t>
      </w:r>
      <w:r>
        <w:rPr>
          <w:rFonts w:ascii="Arial" w:hAnsi="Arial"/>
          <w:shd w:val="clear" w:color="auto" w:fill="FFD966" w:themeFill="accent4" w:themeFillTint="99"/>
        </w:rPr>
        <w:t xml:space="preserve">situations </w:t>
      </w:r>
      <w:r w:rsidR="00DC34D3">
        <w:rPr>
          <w:rFonts w:ascii="Arial" w:hAnsi="Arial"/>
          <w:shd w:val="clear" w:color="auto" w:fill="FFD966" w:themeFill="accent4" w:themeFillTint="99"/>
        </w:rPr>
        <w:t>où</w:t>
      </w:r>
      <w:r>
        <w:rPr>
          <w:rFonts w:ascii="Arial" w:hAnsi="Arial"/>
          <w:shd w:val="clear" w:color="auto" w:fill="FFD966" w:themeFill="accent4" w:themeFillTint="99"/>
        </w:rPr>
        <w:t xml:space="preserve"> une analyse récente de classification </w:t>
      </w:r>
      <w:r w:rsidR="007E1B5B">
        <w:rPr>
          <w:rFonts w:ascii="Arial" w:hAnsi="Arial"/>
          <w:shd w:val="clear" w:color="auto" w:fill="FFD966" w:themeFill="accent4" w:themeFillTint="99"/>
        </w:rPr>
        <w:t xml:space="preserve">IPC </w:t>
      </w:r>
      <w:r>
        <w:rPr>
          <w:rFonts w:ascii="Arial" w:hAnsi="Arial"/>
          <w:shd w:val="clear" w:color="auto" w:fill="FFD966" w:themeFill="accent4" w:themeFillTint="99"/>
        </w:rPr>
        <w:t>de la malnutrition aiguë (IPC AMN)</w:t>
      </w:r>
      <w:r w:rsidR="00DC34D3">
        <w:rPr>
          <w:rFonts w:ascii="Arial" w:hAnsi="Arial"/>
          <w:shd w:val="clear" w:color="auto" w:fill="FFD966" w:themeFill="accent4" w:themeFillTint="99"/>
        </w:rPr>
        <w:t xml:space="preserve"> est disponible </w:t>
      </w:r>
      <w:r w:rsidR="00DC34D3">
        <w:rPr>
          <w:rFonts w:ascii="Arial" w:hAnsi="Arial"/>
        </w:rPr>
        <w:t>:</w:t>
      </w:r>
      <w:r>
        <w:rPr>
          <w:rFonts w:ascii="Arial" w:hAnsi="Arial"/>
        </w:rPr>
        <w:t xml:space="preserve"> </w:t>
      </w:r>
      <w:r w:rsidR="00DC34D3">
        <w:rPr>
          <w:rFonts w:ascii="Arial" w:hAnsi="Arial"/>
        </w:rPr>
        <w:t>p</w:t>
      </w:r>
      <w:r>
        <w:rPr>
          <w:rFonts w:ascii="Arial" w:hAnsi="Arial"/>
        </w:rPr>
        <w:t xml:space="preserve">renez les indicateurs utilisés dans l’analyse de l’IPC AMN, </w:t>
      </w:r>
      <w:r w:rsidR="00DC34D3">
        <w:rPr>
          <w:rFonts w:ascii="Arial" w:hAnsi="Arial"/>
        </w:rPr>
        <w:t xml:space="preserve">en accordant la priorité à </w:t>
      </w:r>
      <w:r>
        <w:rPr>
          <w:rFonts w:ascii="Arial" w:hAnsi="Arial"/>
        </w:rPr>
        <w:t xml:space="preserve">la MAG </w:t>
      </w:r>
      <w:r w:rsidR="00DC34D3">
        <w:rPr>
          <w:rFonts w:ascii="Arial" w:hAnsi="Arial"/>
        </w:rPr>
        <w:t xml:space="preserve">chez </w:t>
      </w:r>
      <w:r>
        <w:rPr>
          <w:rFonts w:ascii="Arial" w:hAnsi="Arial"/>
        </w:rPr>
        <w:t>les filles et les garçons de moins de 5 ans.</w:t>
      </w:r>
    </w:p>
    <w:p w14:paraId="26881C62" w14:textId="56423BB9" w:rsidR="0066430F" w:rsidRPr="0066430F" w:rsidRDefault="0066430F" w:rsidP="0066430F">
      <w:pPr>
        <w:pStyle w:val="paragraph"/>
        <w:spacing w:before="0" w:beforeAutospacing="0" w:after="120" w:afterAutospacing="0"/>
        <w:ind w:right="144"/>
        <w:jc w:val="both"/>
        <w:textAlignment w:val="baseline"/>
        <w:rPr>
          <w:rFonts w:ascii="Arial" w:hAnsi="Arial" w:cs="Arial"/>
        </w:rPr>
      </w:pPr>
      <w:r>
        <w:rPr>
          <w:rFonts w:ascii="Arial" w:hAnsi="Arial"/>
          <w:shd w:val="clear" w:color="auto" w:fill="F7CAAC" w:themeFill="accent2" w:themeFillTint="66"/>
        </w:rPr>
        <w:t xml:space="preserve">Scénario 2 – </w:t>
      </w:r>
      <w:r w:rsidR="00DC34D3">
        <w:rPr>
          <w:rFonts w:ascii="Arial" w:hAnsi="Arial"/>
          <w:shd w:val="clear" w:color="auto" w:fill="F7CAAC" w:themeFill="accent2" w:themeFillTint="66"/>
        </w:rPr>
        <w:t xml:space="preserve">les </w:t>
      </w:r>
      <w:r>
        <w:rPr>
          <w:rFonts w:ascii="Arial" w:hAnsi="Arial"/>
          <w:shd w:val="clear" w:color="auto" w:fill="F7CAAC" w:themeFill="accent2" w:themeFillTint="66"/>
        </w:rPr>
        <w:t xml:space="preserve">situations où la MAG chez les enfants de moins de 5 ans </w:t>
      </w:r>
      <w:r w:rsidR="00567802">
        <w:rPr>
          <w:rFonts w:ascii="Arial" w:hAnsi="Arial"/>
          <w:shd w:val="clear" w:color="auto" w:fill="F7CAAC" w:themeFill="accent2" w:themeFillTint="66"/>
        </w:rPr>
        <w:t>est supérieure ou égale (</w:t>
      </w:r>
      <w:r>
        <w:rPr>
          <w:rFonts w:ascii="Arial" w:hAnsi="Arial"/>
          <w:shd w:val="clear" w:color="auto" w:fill="F7CAAC" w:themeFill="accent2" w:themeFillTint="66"/>
        </w:rPr>
        <w:t>≥</w:t>
      </w:r>
      <w:r w:rsidR="00B13A48">
        <w:rPr>
          <w:rFonts w:ascii="Arial" w:hAnsi="Arial"/>
          <w:shd w:val="clear" w:color="auto" w:fill="F7CAAC" w:themeFill="accent2" w:themeFillTint="66"/>
        </w:rPr>
        <w:t>) à</w:t>
      </w:r>
      <w:r w:rsidR="00DC34D3">
        <w:rPr>
          <w:rFonts w:ascii="Arial" w:hAnsi="Arial"/>
          <w:shd w:val="clear" w:color="auto" w:fill="F7CAAC" w:themeFill="accent2" w:themeFillTint="66"/>
        </w:rPr>
        <w:t xml:space="preserve"> </w:t>
      </w:r>
      <w:r>
        <w:rPr>
          <w:rFonts w:ascii="Arial" w:hAnsi="Arial"/>
          <w:shd w:val="clear" w:color="auto" w:fill="F7CAAC" w:themeFill="accent2" w:themeFillTint="66"/>
        </w:rPr>
        <w:t xml:space="preserve">5 % et </w:t>
      </w:r>
      <w:r w:rsidR="00DC34D3">
        <w:rPr>
          <w:rFonts w:ascii="Arial" w:hAnsi="Arial"/>
          <w:shd w:val="clear" w:color="auto" w:fill="F7CAAC" w:themeFill="accent2" w:themeFillTint="66"/>
        </w:rPr>
        <w:t>où aucune</w:t>
      </w:r>
      <w:r>
        <w:rPr>
          <w:rFonts w:ascii="Arial" w:hAnsi="Arial"/>
          <w:shd w:val="clear" w:color="auto" w:fill="F7CAAC" w:themeFill="accent2" w:themeFillTint="66"/>
        </w:rPr>
        <w:t xml:space="preserve"> analyse </w:t>
      </w:r>
      <w:r w:rsidR="00DC34D3">
        <w:rPr>
          <w:rFonts w:ascii="Arial" w:hAnsi="Arial"/>
          <w:shd w:val="clear" w:color="auto" w:fill="F7CAAC" w:themeFill="accent2" w:themeFillTint="66"/>
        </w:rPr>
        <w:t xml:space="preserve">récente </w:t>
      </w:r>
      <w:r>
        <w:rPr>
          <w:rFonts w:ascii="Arial" w:hAnsi="Arial"/>
          <w:shd w:val="clear" w:color="auto" w:fill="F7CAAC" w:themeFill="accent2" w:themeFillTint="66"/>
        </w:rPr>
        <w:t xml:space="preserve">de l’IPC AMN </w:t>
      </w:r>
      <w:r w:rsidR="00DC34D3">
        <w:rPr>
          <w:rFonts w:ascii="Arial" w:hAnsi="Arial"/>
          <w:shd w:val="clear" w:color="auto" w:fill="F7CAAC" w:themeFill="accent2" w:themeFillTint="66"/>
        </w:rPr>
        <w:t>n’est disponible</w:t>
      </w:r>
      <w:r>
        <w:rPr>
          <w:rFonts w:ascii="Arial" w:hAnsi="Arial"/>
          <w:shd w:val="clear" w:color="auto" w:fill="F7CAAC" w:themeFill="accent2" w:themeFillTint="66"/>
        </w:rPr>
        <w:t> :</w:t>
      </w:r>
      <w:r>
        <w:rPr>
          <w:rFonts w:ascii="Arial" w:hAnsi="Arial"/>
        </w:rPr>
        <w:t xml:space="preserve"> </w:t>
      </w:r>
      <w:r w:rsidR="00DC34D3">
        <w:rPr>
          <w:rFonts w:ascii="Arial" w:hAnsi="Arial"/>
        </w:rPr>
        <w:t>f</w:t>
      </w:r>
      <w:r>
        <w:rPr>
          <w:rFonts w:ascii="Arial" w:hAnsi="Arial"/>
        </w:rPr>
        <w:t xml:space="preserve">ocalisez-vous sur les données </w:t>
      </w:r>
      <w:r w:rsidR="007E1B5B">
        <w:rPr>
          <w:rFonts w:ascii="Arial" w:hAnsi="Arial"/>
        </w:rPr>
        <w:t xml:space="preserve">les plus </w:t>
      </w:r>
      <w:r>
        <w:rPr>
          <w:rFonts w:ascii="Arial" w:hAnsi="Arial"/>
        </w:rPr>
        <w:t xml:space="preserve">récentes concernant la prévalence de la MAG chez les filles et les garçons de moins de 5 ans et chez les femmes enceintes (FE)/femmes enceintes et allaitantes (FEFA) – si elles sont disponibles – pour le classement du niveau de sévérité. </w:t>
      </w:r>
    </w:p>
    <w:p w14:paraId="4EB5A435" w14:textId="0F0C9FBA" w:rsidR="0066430F" w:rsidRPr="0066430F" w:rsidRDefault="0066430F" w:rsidP="0066430F">
      <w:pPr>
        <w:pStyle w:val="paragraph"/>
        <w:spacing w:before="0" w:beforeAutospacing="0" w:after="120" w:afterAutospacing="0"/>
        <w:ind w:right="144"/>
        <w:jc w:val="both"/>
        <w:textAlignment w:val="baseline"/>
        <w:rPr>
          <w:rFonts w:ascii="Arial" w:hAnsi="Arial" w:cs="Arial"/>
        </w:rPr>
      </w:pPr>
      <w:r>
        <w:rPr>
          <w:rFonts w:ascii="Arial" w:hAnsi="Arial"/>
          <w:shd w:val="clear" w:color="auto" w:fill="8EAADB" w:themeFill="accent5" w:themeFillTint="99"/>
        </w:rPr>
        <w:t xml:space="preserve">Scénario 3 – </w:t>
      </w:r>
      <w:r w:rsidR="001C1FA3">
        <w:rPr>
          <w:rFonts w:ascii="Arial" w:hAnsi="Arial"/>
          <w:shd w:val="clear" w:color="auto" w:fill="8EAADB" w:themeFill="accent5" w:themeFillTint="99"/>
        </w:rPr>
        <w:t xml:space="preserve">les </w:t>
      </w:r>
      <w:r>
        <w:rPr>
          <w:rFonts w:ascii="Arial" w:hAnsi="Arial"/>
          <w:shd w:val="clear" w:color="auto" w:fill="8EAADB" w:themeFill="accent5" w:themeFillTint="99"/>
        </w:rPr>
        <w:t xml:space="preserve">situations où la MAG chez les enfants de moins de 5 ans </w:t>
      </w:r>
      <w:r w:rsidR="00A25A8A">
        <w:rPr>
          <w:rFonts w:ascii="Arial" w:hAnsi="Arial"/>
          <w:shd w:val="clear" w:color="auto" w:fill="8EAADB" w:themeFill="accent5" w:themeFillTint="99"/>
        </w:rPr>
        <w:t>est inférieure à (</w:t>
      </w:r>
      <w:r>
        <w:rPr>
          <w:rFonts w:ascii="Arial" w:hAnsi="Arial"/>
          <w:shd w:val="clear" w:color="auto" w:fill="8EAADB" w:themeFill="accent5" w:themeFillTint="99"/>
        </w:rPr>
        <w:t>&lt;</w:t>
      </w:r>
      <w:r w:rsidR="00A25A8A">
        <w:rPr>
          <w:rFonts w:ascii="Arial" w:hAnsi="Arial"/>
          <w:shd w:val="clear" w:color="auto" w:fill="8EAADB" w:themeFill="accent5" w:themeFillTint="99"/>
        </w:rPr>
        <w:t>)</w:t>
      </w:r>
      <w:r w:rsidR="001C1FA3">
        <w:rPr>
          <w:rFonts w:ascii="Arial" w:hAnsi="Arial"/>
          <w:shd w:val="clear" w:color="auto" w:fill="8EAADB" w:themeFill="accent5" w:themeFillTint="99"/>
        </w:rPr>
        <w:t xml:space="preserve"> </w:t>
      </w:r>
      <w:r>
        <w:rPr>
          <w:rFonts w:ascii="Arial" w:hAnsi="Arial"/>
          <w:shd w:val="clear" w:color="auto" w:fill="8EAADB" w:themeFill="accent5" w:themeFillTint="99"/>
        </w:rPr>
        <w:t>5 % :</w:t>
      </w:r>
      <w:r>
        <w:rPr>
          <w:rFonts w:ascii="Arial" w:hAnsi="Arial"/>
        </w:rPr>
        <w:t xml:space="preserve"> </w:t>
      </w:r>
      <w:r w:rsidR="00687A63">
        <w:rPr>
          <w:rFonts w:ascii="Arial" w:hAnsi="Arial"/>
        </w:rPr>
        <w:t>e</w:t>
      </w:r>
      <w:r>
        <w:rPr>
          <w:rFonts w:ascii="Arial" w:hAnsi="Arial"/>
        </w:rPr>
        <w:t xml:space="preserve">xaminez </w:t>
      </w:r>
      <w:r w:rsidR="00687A63">
        <w:rPr>
          <w:rFonts w:ascii="Arial" w:hAnsi="Arial"/>
        </w:rPr>
        <w:t xml:space="preserve">dans le </w:t>
      </w:r>
      <w:r w:rsidR="00687A63" w:rsidRPr="0009769E">
        <w:rPr>
          <w:rFonts w:ascii="Arial" w:hAnsi="Arial"/>
          <w:i/>
          <w:iCs/>
        </w:rPr>
        <w:t>Tableau 1</w:t>
      </w:r>
      <w:r w:rsidR="00687A63">
        <w:rPr>
          <w:rFonts w:ascii="Arial" w:hAnsi="Arial"/>
        </w:rPr>
        <w:t xml:space="preserve"> </w:t>
      </w:r>
      <w:r>
        <w:rPr>
          <w:rFonts w:ascii="Arial" w:hAnsi="Arial"/>
        </w:rPr>
        <w:t xml:space="preserve">la disponibilité des données récentes sur la prévalence de la malnutrition chronique, les facteurs contextuels pertinents et les indicateurs d’ANJE chez les filles et les garçons de moins de </w:t>
      </w:r>
      <w:r w:rsidR="00774CD0">
        <w:rPr>
          <w:rFonts w:ascii="Arial" w:hAnsi="Arial"/>
        </w:rPr>
        <w:t>2 </w:t>
      </w:r>
      <w:r>
        <w:rPr>
          <w:rFonts w:ascii="Arial" w:hAnsi="Arial"/>
        </w:rPr>
        <w:t>ans et chez les FE/FEFA.</w:t>
      </w:r>
    </w:p>
    <w:p w14:paraId="29695F78" w14:textId="77777777" w:rsidR="00A4037E" w:rsidRPr="00CA2973" w:rsidRDefault="00A4037E" w:rsidP="00744DBE">
      <w:pPr>
        <w:spacing w:after="120"/>
        <w:jc w:val="both"/>
        <w:rPr>
          <w:rFonts w:ascii="Arial" w:hAnsi="Arial" w:cs="Arial"/>
        </w:rPr>
        <w:sectPr w:rsidR="00A4037E" w:rsidRPr="00CA2973" w:rsidSect="0085573D">
          <w:endnotePr>
            <w:numFmt w:val="decimal"/>
          </w:endnotePr>
          <w:type w:val="continuous"/>
          <w:pgSz w:w="11906" w:h="16838"/>
          <w:pgMar w:top="1440" w:right="1080" w:bottom="1440" w:left="1080" w:header="144" w:footer="720" w:gutter="0"/>
          <w:cols w:space="720"/>
          <w:docGrid w:linePitch="360"/>
        </w:sectPr>
      </w:pPr>
    </w:p>
    <w:p w14:paraId="4A804CBE" w14:textId="77777777" w:rsidR="00744DBE" w:rsidRPr="00CA2973" w:rsidRDefault="00744DBE" w:rsidP="00744DBE">
      <w:pPr>
        <w:rPr>
          <w:rFonts w:ascii="Arial" w:eastAsia="Times New Roman" w:hAnsi="Arial" w:cs="Arial"/>
          <w:b/>
          <w:i/>
          <w:iCs/>
          <w:sz w:val="20"/>
          <w:szCs w:val="18"/>
          <w:lang w:eastAsia="fr-FR"/>
        </w:rPr>
      </w:pPr>
    </w:p>
    <w:p w14:paraId="370D002C" w14:textId="725866C1" w:rsidR="009A5C80" w:rsidRPr="00FE35E2" w:rsidRDefault="009A5C80" w:rsidP="009A5C80">
      <w:pPr>
        <w:pStyle w:val="Lgende"/>
        <w:keepNext/>
        <w:rPr>
          <w:rFonts w:ascii="Arial" w:hAnsi="Arial" w:cs="Arial"/>
          <w:b/>
          <w:color w:val="auto"/>
          <w:sz w:val="20"/>
        </w:rPr>
      </w:pPr>
      <w:r>
        <w:rPr>
          <w:rFonts w:ascii="Arial" w:hAnsi="Arial"/>
          <w:b/>
          <w:color w:val="auto"/>
          <w:sz w:val="20"/>
        </w:rPr>
        <w:t xml:space="preserve">Tableau 1. </w:t>
      </w:r>
      <w:r>
        <w:rPr>
          <w:rFonts w:ascii="Arial" w:hAnsi="Arial"/>
          <w:b/>
          <w:i w:val="0"/>
          <w:color w:val="auto"/>
          <w:sz w:val="20"/>
        </w:rPr>
        <w:t xml:space="preserve">Liste des indicateurs nutritionnels </w:t>
      </w:r>
      <w:r w:rsidR="00174C85">
        <w:rPr>
          <w:rFonts w:ascii="Arial" w:hAnsi="Arial"/>
          <w:b/>
          <w:i w:val="0"/>
          <w:color w:val="auto"/>
          <w:sz w:val="20"/>
        </w:rPr>
        <w:t>essentiels</w:t>
      </w:r>
      <w:r>
        <w:rPr>
          <w:rFonts w:ascii="Arial" w:hAnsi="Arial"/>
          <w:b/>
          <w:i w:val="0"/>
          <w:color w:val="auto"/>
          <w:sz w:val="20"/>
        </w:rPr>
        <w:t xml:space="preserve"> pour les analyses sectorielles de la nutrition et du JIAF </w:t>
      </w:r>
    </w:p>
    <w:tbl>
      <w:tblPr>
        <w:tblW w:w="15930" w:type="dxa"/>
        <w:tblInd w:w="-990" w:type="dxa"/>
        <w:tblLayout w:type="fixed"/>
        <w:tblCellMar>
          <w:left w:w="0" w:type="dxa"/>
          <w:right w:w="0" w:type="dxa"/>
        </w:tblCellMar>
        <w:tblLook w:val="04A0" w:firstRow="1" w:lastRow="0" w:firstColumn="1" w:lastColumn="0" w:noHBand="0" w:noVBand="1"/>
      </w:tblPr>
      <w:tblGrid>
        <w:gridCol w:w="1080"/>
        <w:gridCol w:w="3150"/>
        <w:gridCol w:w="1170"/>
        <w:gridCol w:w="1350"/>
        <w:gridCol w:w="900"/>
        <w:gridCol w:w="900"/>
        <w:gridCol w:w="990"/>
        <w:gridCol w:w="900"/>
        <w:gridCol w:w="1440"/>
        <w:gridCol w:w="4050"/>
      </w:tblGrid>
      <w:tr w:rsidR="009235BB" w:rsidRPr="00CA2973" w14:paraId="52B44F82" w14:textId="77777777" w:rsidTr="00AC6105">
        <w:trPr>
          <w:trHeight w:val="143"/>
          <w:tblHeader/>
        </w:trPr>
        <w:tc>
          <w:tcPr>
            <w:tcW w:w="1080" w:type="dxa"/>
            <w:tcBorders>
              <w:bottom w:val="single" w:sz="4" w:space="0" w:color="auto"/>
            </w:tcBorders>
            <w:shd w:val="clear" w:color="auto" w:fill="auto"/>
            <w:tcMar>
              <w:top w:w="0" w:type="dxa"/>
              <w:left w:w="45" w:type="dxa"/>
              <w:bottom w:w="0" w:type="dxa"/>
              <w:right w:w="45" w:type="dxa"/>
            </w:tcMar>
            <w:vAlign w:val="center"/>
          </w:tcPr>
          <w:p w14:paraId="08CC6816" w14:textId="77777777" w:rsidR="009235BB" w:rsidRPr="00CA2973" w:rsidRDefault="009235BB" w:rsidP="00FB6233">
            <w:pPr>
              <w:jc w:val="center"/>
              <w:rPr>
                <w:rFonts w:ascii="Arial" w:eastAsia="Times New Roman" w:hAnsi="Arial" w:cs="Arial"/>
                <w:b/>
                <w:bCs/>
                <w:sz w:val="20"/>
                <w:szCs w:val="20"/>
                <w:lang w:eastAsia="fr-FR"/>
              </w:rPr>
            </w:pPr>
          </w:p>
        </w:tc>
        <w:tc>
          <w:tcPr>
            <w:tcW w:w="3150" w:type="dxa"/>
            <w:tcBorders>
              <w:bottom w:val="single" w:sz="4" w:space="0" w:color="auto"/>
              <w:right w:val="single" w:sz="4" w:space="0" w:color="auto"/>
            </w:tcBorders>
            <w:shd w:val="clear" w:color="auto" w:fill="auto"/>
            <w:vAlign w:val="center"/>
          </w:tcPr>
          <w:p w14:paraId="24C1CE23" w14:textId="77777777" w:rsidR="009235BB" w:rsidRPr="00CA2973" w:rsidRDefault="009235BB" w:rsidP="00FB6233">
            <w:pPr>
              <w:jc w:val="center"/>
              <w:rPr>
                <w:rFonts w:ascii="Arial" w:eastAsia="Times New Roman" w:hAnsi="Arial" w:cs="Arial"/>
                <w:b/>
                <w:bCs/>
                <w:sz w:val="20"/>
                <w:szCs w:val="20"/>
                <w:lang w:eastAsia="fr-F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0DECC2" w14:textId="77777777" w:rsidR="009235BB" w:rsidRPr="00CA2973" w:rsidRDefault="009235BB" w:rsidP="00FB6233">
            <w:pPr>
              <w:jc w:val="center"/>
              <w:rPr>
                <w:rFonts w:ascii="Arial" w:eastAsia="Times New Roman" w:hAnsi="Arial" w:cs="Arial"/>
                <w:b/>
                <w:bCs/>
                <w:sz w:val="18"/>
                <w:szCs w:val="18"/>
              </w:rPr>
            </w:pPr>
            <w:r>
              <w:rPr>
                <w:rFonts w:ascii="Arial" w:hAnsi="Arial"/>
                <w:b/>
                <w:sz w:val="18"/>
              </w:rPr>
              <w:t>Conséquence humanitaire</w:t>
            </w:r>
          </w:p>
        </w:tc>
        <w:tc>
          <w:tcPr>
            <w:tcW w:w="51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45" w:type="dxa"/>
              <w:bottom w:w="0" w:type="dxa"/>
              <w:right w:w="45" w:type="dxa"/>
            </w:tcMar>
            <w:vAlign w:val="center"/>
          </w:tcPr>
          <w:p w14:paraId="4340925D" w14:textId="77777777" w:rsidR="009235BB" w:rsidRPr="00CA2973" w:rsidRDefault="009235BB" w:rsidP="00FB6233">
            <w:pPr>
              <w:jc w:val="center"/>
              <w:rPr>
                <w:rFonts w:ascii="Arial" w:eastAsia="Times New Roman" w:hAnsi="Arial" w:cs="Arial"/>
                <w:b/>
                <w:bCs/>
                <w:color w:val="FFFFFF"/>
                <w:sz w:val="18"/>
                <w:szCs w:val="18"/>
              </w:rPr>
            </w:pPr>
            <w:r>
              <w:rPr>
                <w:rFonts w:ascii="Arial" w:hAnsi="Arial"/>
                <w:b/>
                <w:sz w:val="18"/>
              </w:rPr>
              <w:t>Échelle de sévérité selon les phases de l’IPC/l’OCHA</w:t>
            </w:r>
          </w:p>
        </w:tc>
        <w:tc>
          <w:tcPr>
            <w:tcW w:w="4050" w:type="dxa"/>
            <w:tcBorders>
              <w:left w:val="single" w:sz="4" w:space="0" w:color="auto"/>
              <w:bottom w:val="single" w:sz="4" w:space="0" w:color="auto"/>
            </w:tcBorders>
            <w:shd w:val="clear" w:color="auto" w:fill="auto"/>
          </w:tcPr>
          <w:p w14:paraId="1F3BC2FE" w14:textId="77777777" w:rsidR="009235BB" w:rsidRPr="00CA2973" w:rsidRDefault="009235BB" w:rsidP="00FB6233">
            <w:pPr>
              <w:jc w:val="center"/>
              <w:rPr>
                <w:rFonts w:ascii="Arial" w:eastAsia="Times New Roman" w:hAnsi="Arial" w:cs="Arial"/>
                <w:b/>
                <w:bCs/>
                <w:sz w:val="20"/>
                <w:szCs w:val="20"/>
                <w:lang w:eastAsia="fr-FR"/>
              </w:rPr>
            </w:pPr>
          </w:p>
        </w:tc>
      </w:tr>
      <w:tr w:rsidR="009235BB" w:rsidRPr="00CA2973" w14:paraId="50EE8E01" w14:textId="77777777" w:rsidTr="00AC6105">
        <w:trPr>
          <w:trHeight w:val="452"/>
          <w:tblHead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45" w:type="dxa"/>
              <w:bottom w:w="0" w:type="dxa"/>
              <w:right w:w="45" w:type="dxa"/>
            </w:tcMar>
            <w:vAlign w:val="center"/>
            <w:hideMark/>
          </w:tcPr>
          <w:p w14:paraId="6A5B01C5" w14:textId="77777777" w:rsidR="009235BB" w:rsidRPr="00CA2973" w:rsidRDefault="009235BB" w:rsidP="00FB6233">
            <w:pPr>
              <w:jc w:val="center"/>
              <w:rPr>
                <w:rFonts w:ascii="Arial" w:eastAsia="Times New Roman" w:hAnsi="Arial" w:cs="Arial"/>
                <w:b/>
                <w:bCs/>
                <w:sz w:val="18"/>
                <w:szCs w:val="18"/>
              </w:rPr>
            </w:pPr>
            <w:r>
              <w:rPr>
                <w:rFonts w:ascii="Arial" w:hAnsi="Arial"/>
                <w:b/>
                <w:sz w:val="18"/>
              </w:rPr>
              <w:t>Catégorie</w:t>
            </w:r>
          </w:p>
        </w:tc>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5FD0B6" w14:textId="446ADF31" w:rsidR="009235BB" w:rsidRPr="00CA2973" w:rsidRDefault="009235BB" w:rsidP="00FB6233">
            <w:pPr>
              <w:jc w:val="center"/>
              <w:rPr>
                <w:rFonts w:ascii="Arial" w:eastAsia="Times New Roman" w:hAnsi="Arial" w:cs="Arial"/>
                <w:b/>
                <w:bCs/>
                <w:sz w:val="18"/>
                <w:szCs w:val="18"/>
              </w:rPr>
            </w:pPr>
            <w:r>
              <w:rPr>
                <w:rFonts w:ascii="Arial" w:hAnsi="Arial"/>
                <w:b/>
                <w:sz w:val="18"/>
              </w:rPr>
              <w:t xml:space="preserve">Indicateurs nutritionnels </w:t>
            </w:r>
            <w:r w:rsidR="00174C85">
              <w:rPr>
                <w:rFonts w:ascii="Arial" w:hAnsi="Arial"/>
                <w:b/>
                <w:sz w:val="18"/>
              </w:rPr>
              <w:t>essentiels</w:t>
            </w:r>
            <w:r>
              <w:rPr>
                <w:rFonts w:ascii="Arial" w:hAnsi="Arial"/>
                <w:b/>
                <w:sz w:val="18"/>
              </w:rPr>
              <w:t xml:space="preserve"> pour orienter la planification de la réponse</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D6B068" w14:textId="77777777" w:rsidR="009235BB" w:rsidRPr="00CA2973" w:rsidRDefault="009235BB" w:rsidP="0069046E">
            <w:pPr>
              <w:jc w:val="center"/>
              <w:rPr>
                <w:rFonts w:ascii="Arial" w:eastAsia="Times New Roman" w:hAnsi="Arial" w:cs="Arial"/>
                <w:b/>
                <w:bCs/>
                <w:sz w:val="16"/>
                <w:szCs w:val="16"/>
              </w:rPr>
            </w:pPr>
            <w:r>
              <w:rPr>
                <w:rFonts w:ascii="Arial" w:hAnsi="Arial"/>
                <w:b/>
                <w:sz w:val="16"/>
              </w:rPr>
              <w:t>MAG chez les enfants de moins de 5 ans ≥ 5 % (</w:t>
            </w:r>
            <w:r>
              <w:rPr>
                <w:rFonts w:ascii="Arial" w:hAnsi="Arial"/>
                <w:b/>
                <w:i/>
                <w:sz w:val="16"/>
              </w:rPr>
              <w:t>scénarios 1 et 2</w:t>
            </w:r>
            <w:r>
              <w:rPr>
                <w:rFonts w:ascii="Arial" w:hAnsi="Arial"/>
                <w:b/>
                <w:sz w:val="16"/>
              </w:rPr>
              <w:t>)</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45" w:type="dxa"/>
              <w:bottom w:w="0" w:type="dxa"/>
              <w:right w:w="45" w:type="dxa"/>
            </w:tcMar>
            <w:vAlign w:val="center"/>
            <w:hideMark/>
          </w:tcPr>
          <w:p w14:paraId="653A5AE6" w14:textId="77777777" w:rsidR="009235BB" w:rsidRPr="00CA2973" w:rsidRDefault="009235BB" w:rsidP="0069046E">
            <w:pPr>
              <w:jc w:val="center"/>
              <w:rPr>
                <w:rFonts w:ascii="Arial" w:eastAsia="Times New Roman" w:hAnsi="Arial" w:cs="Arial"/>
                <w:b/>
                <w:bCs/>
                <w:sz w:val="16"/>
                <w:szCs w:val="16"/>
              </w:rPr>
            </w:pPr>
            <w:r>
              <w:rPr>
                <w:rFonts w:ascii="Arial" w:hAnsi="Arial"/>
                <w:b/>
                <w:sz w:val="16"/>
              </w:rPr>
              <w:t>MAG chez les enfants de moins de 5 ans &lt; 5 % (</w:t>
            </w:r>
            <w:r>
              <w:rPr>
                <w:rFonts w:ascii="Arial" w:hAnsi="Arial"/>
                <w:b/>
                <w:i/>
                <w:sz w:val="16"/>
              </w:rPr>
              <w:t>scénario 3</w:t>
            </w:r>
            <w:r>
              <w:rPr>
                <w:rFonts w:ascii="Arial" w:hAnsi="Arial"/>
                <w:b/>
                <w:sz w:val="16"/>
              </w:rPr>
              <w:t>)</w:t>
            </w:r>
          </w:p>
        </w:tc>
        <w:tc>
          <w:tcPr>
            <w:tcW w:w="900" w:type="dxa"/>
            <w:tcBorders>
              <w:top w:val="single" w:sz="4" w:space="0" w:color="auto"/>
              <w:left w:val="single" w:sz="4" w:space="0" w:color="auto"/>
              <w:bottom w:val="single" w:sz="6" w:space="0" w:color="000000"/>
              <w:right w:val="single" w:sz="6" w:space="0" w:color="000000"/>
            </w:tcBorders>
            <w:shd w:val="clear" w:color="auto" w:fill="ACEAC8"/>
            <w:tcMar>
              <w:top w:w="0" w:type="dxa"/>
              <w:left w:w="45" w:type="dxa"/>
              <w:bottom w:w="0" w:type="dxa"/>
              <w:right w:w="45" w:type="dxa"/>
            </w:tcMar>
            <w:vAlign w:val="center"/>
            <w:hideMark/>
          </w:tcPr>
          <w:p w14:paraId="0ABE1096" w14:textId="77777777" w:rsidR="009235BB" w:rsidRPr="00CA2973" w:rsidRDefault="009235BB" w:rsidP="00FB6233">
            <w:pPr>
              <w:jc w:val="center"/>
              <w:rPr>
                <w:rFonts w:ascii="Arial" w:eastAsia="Times New Roman" w:hAnsi="Arial" w:cs="Arial"/>
                <w:b/>
                <w:bCs/>
                <w:sz w:val="15"/>
                <w:szCs w:val="15"/>
              </w:rPr>
            </w:pPr>
            <w:r>
              <w:rPr>
                <w:rFonts w:ascii="Arial" w:hAnsi="Arial"/>
                <w:b/>
                <w:sz w:val="15"/>
              </w:rPr>
              <w:t>Phase 1</w:t>
            </w:r>
          </w:p>
          <w:p w14:paraId="388EF49A" w14:textId="77777777" w:rsidR="009235BB" w:rsidRPr="00CA2973" w:rsidRDefault="009235BB" w:rsidP="00FB6233">
            <w:pPr>
              <w:jc w:val="center"/>
              <w:rPr>
                <w:rFonts w:ascii="Arial" w:eastAsia="Times New Roman" w:hAnsi="Arial" w:cs="Arial"/>
                <w:b/>
                <w:bCs/>
                <w:sz w:val="15"/>
                <w:szCs w:val="15"/>
              </w:rPr>
            </w:pPr>
            <w:r>
              <w:rPr>
                <w:rFonts w:ascii="Arial" w:hAnsi="Arial"/>
                <w:b/>
                <w:sz w:val="15"/>
              </w:rPr>
              <w:t>Acceptable/minime</w:t>
            </w:r>
          </w:p>
        </w:tc>
        <w:tc>
          <w:tcPr>
            <w:tcW w:w="900" w:type="dxa"/>
            <w:tcBorders>
              <w:top w:val="single" w:sz="4" w:space="0" w:color="auto"/>
              <w:left w:val="single" w:sz="6" w:space="0" w:color="CCCCCC"/>
              <w:bottom w:val="single" w:sz="6" w:space="0" w:color="000000"/>
              <w:right w:val="single" w:sz="6" w:space="0" w:color="000000"/>
            </w:tcBorders>
            <w:shd w:val="clear" w:color="auto" w:fill="FFFF66"/>
            <w:tcMar>
              <w:top w:w="0" w:type="dxa"/>
              <w:left w:w="45" w:type="dxa"/>
              <w:bottom w:w="0" w:type="dxa"/>
              <w:right w:w="45" w:type="dxa"/>
            </w:tcMar>
            <w:vAlign w:val="center"/>
            <w:hideMark/>
          </w:tcPr>
          <w:p w14:paraId="5F4A94EE" w14:textId="77777777" w:rsidR="009235BB" w:rsidRPr="00CA2973" w:rsidRDefault="009235BB" w:rsidP="00FB6233">
            <w:pPr>
              <w:jc w:val="center"/>
              <w:rPr>
                <w:rFonts w:ascii="Arial" w:eastAsia="Times New Roman" w:hAnsi="Arial" w:cs="Arial"/>
                <w:b/>
                <w:bCs/>
                <w:sz w:val="15"/>
                <w:szCs w:val="15"/>
              </w:rPr>
            </w:pPr>
            <w:r>
              <w:rPr>
                <w:rFonts w:ascii="Arial" w:hAnsi="Arial"/>
                <w:b/>
                <w:sz w:val="15"/>
              </w:rPr>
              <w:t>Phase 2</w:t>
            </w:r>
          </w:p>
          <w:p w14:paraId="4B405842" w14:textId="7F9CC036" w:rsidR="009235BB" w:rsidRPr="00CA2973" w:rsidRDefault="009235BB" w:rsidP="00FB6233">
            <w:pPr>
              <w:jc w:val="center"/>
              <w:rPr>
                <w:rFonts w:ascii="Arial" w:eastAsia="Times New Roman" w:hAnsi="Arial" w:cs="Arial"/>
                <w:b/>
                <w:bCs/>
                <w:sz w:val="15"/>
                <w:szCs w:val="15"/>
              </w:rPr>
            </w:pPr>
            <w:r>
              <w:rPr>
                <w:rFonts w:ascii="Arial" w:hAnsi="Arial"/>
                <w:b/>
                <w:sz w:val="15"/>
              </w:rPr>
              <w:t>Alerte/</w:t>
            </w:r>
            <w:r w:rsidR="0082771E">
              <w:rPr>
                <w:rFonts w:ascii="Arial" w:hAnsi="Arial"/>
                <w:b/>
                <w:sz w:val="15"/>
              </w:rPr>
              <w:t xml:space="preserve"> </w:t>
            </w:r>
            <w:r>
              <w:rPr>
                <w:rFonts w:ascii="Arial" w:hAnsi="Arial"/>
                <w:b/>
                <w:sz w:val="15"/>
              </w:rPr>
              <w:t>stress</w:t>
            </w:r>
          </w:p>
        </w:tc>
        <w:tc>
          <w:tcPr>
            <w:tcW w:w="990" w:type="dxa"/>
            <w:tcBorders>
              <w:top w:val="single" w:sz="4" w:space="0" w:color="auto"/>
              <w:left w:val="single" w:sz="6" w:space="0" w:color="CCCCCC"/>
              <w:bottom w:val="single" w:sz="6" w:space="0" w:color="000000"/>
              <w:right w:val="single" w:sz="6" w:space="0" w:color="000000"/>
            </w:tcBorders>
            <w:shd w:val="clear" w:color="auto" w:fill="EE8A04"/>
            <w:tcMar>
              <w:top w:w="0" w:type="dxa"/>
              <w:left w:w="45" w:type="dxa"/>
              <w:bottom w:w="0" w:type="dxa"/>
              <w:right w:w="45" w:type="dxa"/>
            </w:tcMar>
            <w:vAlign w:val="center"/>
            <w:hideMark/>
          </w:tcPr>
          <w:p w14:paraId="7E86C818" w14:textId="77777777" w:rsidR="009235BB" w:rsidRPr="00CA2973" w:rsidRDefault="009235BB" w:rsidP="00FB6233">
            <w:pPr>
              <w:jc w:val="center"/>
              <w:rPr>
                <w:rFonts w:ascii="Arial" w:eastAsia="Times New Roman" w:hAnsi="Arial" w:cs="Arial"/>
                <w:b/>
                <w:bCs/>
                <w:sz w:val="15"/>
                <w:szCs w:val="15"/>
              </w:rPr>
            </w:pPr>
            <w:r>
              <w:rPr>
                <w:rFonts w:ascii="Arial" w:hAnsi="Arial"/>
                <w:b/>
                <w:sz w:val="15"/>
              </w:rPr>
              <w:t>Phase 3</w:t>
            </w:r>
          </w:p>
          <w:p w14:paraId="13B7450C" w14:textId="2DD75B52" w:rsidR="009235BB" w:rsidRPr="00CA2973" w:rsidRDefault="009235BB" w:rsidP="00FB6233">
            <w:pPr>
              <w:jc w:val="center"/>
              <w:rPr>
                <w:rFonts w:ascii="Arial" w:eastAsia="Times New Roman" w:hAnsi="Arial" w:cs="Arial"/>
                <w:b/>
                <w:bCs/>
                <w:sz w:val="15"/>
                <w:szCs w:val="15"/>
              </w:rPr>
            </w:pPr>
            <w:r>
              <w:rPr>
                <w:rFonts w:ascii="Arial" w:hAnsi="Arial"/>
                <w:b/>
                <w:sz w:val="15"/>
              </w:rPr>
              <w:t>Grave/</w:t>
            </w:r>
            <w:r w:rsidR="0082771E">
              <w:rPr>
                <w:rFonts w:ascii="Arial" w:hAnsi="Arial"/>
                <w:b/>
                <w:sz w:val="15"/>
              </w:rPr>
              <w:t xml:space="preserve"> </w:t>
            </w:r>
            <w:r>
              <w:rPr>
                <w:rFonts w:ascii="Arial" w:hAnsi="Arial"/>
                <w:b/>
                <w:sz w:val="15"/>
              </w:rPr>
              <w:t>sévère</w:t>
            </w:r>
          </w:p>
        </w:tc>
        <w:tc>
          <w:tcPr>
            <w:tcW w:w="900" w:type="dxa"/>
            <w:tcBorders>
              <w:top w:val="single" w:sz="4" w:space="0" w:color="auto"/>
              <w:left w:val="single" w:sz="6" w:space="0" w:color="CCCCCC"/>
              <w:bottom w:val="single" w:sz="6" w:space="0" w:color="000000"/>
              <w:right w:val="single" w:sz="6" w:space="0" w:color="000000"/>
            </w:tcBorders>
            <w:shd w:val="clear" w:color="auto" w:fill="A61C00"/>
            <w:tcMar>
              <w:top w:w="0" w:type="dxa"/>
              <w:left w:w="45" w:type="dxa"/>
              <w:bottom w:w="0" w:type="dxa"/>
              <w:right w:w="45" w:type="dxa"/>
            </w:tcMar>
            <w:vAlign w:val="center"/>
            <w:hideMark/>
          </w:tcPr>
          <w:p w14:paraId="78E08871" w14:textId="77777777" w:rsidR="009235BB" w:rsidRPr="00CA2973" w:rsidRDefault="009235BB" w:rsidP="00FB6233">
            <w:pPr>
              <w:jc w:val="center"/>
              <w:rPr>
                <w:rFonts w:ascii="Arial" w:eastAsia="Times New Roman" w:hAnsi="Arial" w:cs="Arial"/>
                <w:b/>
                <w:bCs/>
                <w:color w:val="FFFFFF"/>
                <w:sz w:val="15"/>
                <w:szCs w:val="15"/>
              </w:rPr>
            </w:pPr>
            <w:r>
              <w:rPr>
                <w:rFonts w:ascii="Arial" w:hAnsi="Arial"/>
                <w:b/>
                <w:color w:val="FFFFFF"/>
                <w:sz w:val="15"/>
              </w:rPr>
              <w:t>Phase 4</w:t>
            </w:r>
          </w:p>
          <w:p w14:paraId="58DF41E6" w14:textId="3C259A16" w:rsidR="009235BB" w:rsidRPr="00CA2973" w:rsidRDefault="009235BB" w:rsidP="00FB6233">
            <w:pPr>
              <w:jc w:val="center"/>
              <w:rPr>
                <w:rFonts w:ascii="Arial" w:eastAsia="Times New Roman" w:hAnsi="Arial" w:cs="Arial"/>
                <w:b/>
                <w:bCs/>
                <w:color w:val="FFFFFF"/>
                <w:sz w:val="15"/>
                <w:szCs w:val="15"/>
              </w:rPr>
            </w:pPr>
            <w:r>
              <w:rPr>
                <w:rFonts w:ascii="Arial" w:hAnsi="Arial"/>
                <w:b/>
                <w:color w:val="FFFFFF"/>
                <w:sz w:val="15"/>
              </w:rPr>
              <w:t>Critique/</w:t>
            </w:r>
            <w:r w:rsidR="0082771E">
              <w:rPr>
                <w:rFonts w:ascii="Arial" w:hAnsi="Arial"/>
                <w:b/>
                <w:color w:val="FFFFFF"/>
                <w:sz w:val="15"/>
              </w:rPr>
              <w:t xml:space="preserve"> </w:t>
            </w:r>
            <w:r>
              <w:rPr>
                <w:rFonts w:ascii="Arial" w:hAnsi="Arial"/>
                <w:b/>
                <w:color w:val="FFFFFF"/>
                <w:sz w:val="15"/>
              </w:rPr>
              <w:t>extrême</w:t>
            </w:r>
          </w:p>
        </w:tc>
        <w:tc>
          <w:tcPr>
            <w:tcW w:w="1440" w:type="dxa"/>
            <w:tcBorders>
              <w:top w:val="single" w:sz="4" w:space="0" w:color="auto"/>
              <w:left w:val="single" w:sz="6" w:space="0" w:color="CCCCCC"/>
              <w:bottom w:val="single" w:sz="6" w:space="0" w:color="000000"/>
              <w:right w:val="single" w:sz="4" w:space="0" w:color="auto"/>
            </w:tcBorders>
            <w:shd w:val="clear" w:color="auto" w:fill="85200C"/>
            <w:tcMar>
              <w:top w:w="0" w:type="dxa"/>
              <w:left w:w="45" w:type="dxa"/>
              <w:bottom w:w="0" w:type="dxa"/>
              <w:right w:w="45" w:type="dxa"/>
            </w:tcMar>
            <w:vAlign w:val="center"/>
            <w:hideMark/>
          </w:tcPr>
          <w:p w14:paraId="07EFEF4C" w14:textId="77777777" w:rsidR="009235BB" w:rsidRPr="00CA2973" w:rsidRDefault="009235BB" w:rsidP="00FB6233">
            <w:pPr>
              <w:jc w:val="center"/>
              <w:rPr>
                <w:rFonts w:ascii="Arial" w:eastAsia="Times New Roman" w:hAnsi="Arial" w:cs="Arial"/>
                <w:b/>
                <w:bCs/>
                <w:color w:val="FFFFFF"/>
                <w:sz w:val="15"/>
                <w:szCs w:val="15"/>
              </w:rPr>
            </w:pPr>
            <w:r>
              <w:rPr>
                <w:rFonts w:ascii="Arial" w:hAnsi="Arial"/>
                <w:b/>
                <w:color w:val="FFFFFF"/>
                <w:sz w:val="15"/>
              </w:rPr>
              <w:t>Phase 5</w:t>
            </w:r>
          </w:p>
          <w:p w14:paraId="1ABBE8D0" w14:textId="32F793B2" w:rsidR="009235BB" w:rsidRPr="00CA2973" w:rsidRDefault="009235BB" w:rsidP="00FB6233">
            <w:pPr>
              <w:jc w:val="center"/>
              <w:rPr>
                <w:rFonts w:ascii="Arial" w:eastAsia="Times New Roman" w:hAnsi="Arial" w:cs="Arial"/>
                <w:b/>
                <w:bCs/>
                <w:color w:val="FFFFFF"/>
                <w:sz w:val="15"/>
                <w:szCs w:val="15"/>
              </w:rPr>
            </w:pPr>
            <w:r>
              <w:rPr>
                <w:rFonts w:ascii="Arial" w:hAnsi="Arial"/>
                <w:b/>
                <w:color w:val="FFFFFF"/>
                <w:sz w:val="15"/>
              </w:rPr>
              <w:t>Extrêmement critique/</w:t>
            </w:r>
            <w:r w:rsidR="0082771E">
              <w:rPr>
                <w:rFonts w:ascii="Arial" w:hAnsi="Arial"/>
                <w:b/>
                <w:color w:val="FFFFFF"/>
                <w:sz w:val="15"/>
              </w:rPr>
              <w:t xml:space="preserve"> </w:t>
            </w:r>
            <w:r>
              <w:rPr>
                <w:rFonts w:ascii="Arial" w:hAnsi="Arial"/>
                <w:b/>
                <w:color w:val="FFFFFF"/>
                <w:sz w:val="15"/>
              </w:rPr>
              <w:t>catastrophique</w:t>
            </w:r>
          </w:p>
        </w:tc>
        <w:tc>
          <w:tcPr>
            <w:tcW w:w="4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DF41DD" w14:textId="77777777" w:rsidR="009235BB" w:rsidRPr="00CA2973" w:rsidRDefault="009235BB" w:rsidP="00FB6233">
            <w:pPr>
              <w:jc w:val="center"/>
              <w:rPr>
                <w:rFonts w:ascii="Arial" w:eastAsia="Times New Roman" w:hAnsi="Arial" w:cs="Arial"/>
                <w:b/>
                <w:bCs/>
                <w:color w:val="FFFFFF"/>
                <w:sz w:val="16"/>
                <w:szCs w:val="16"/>
              </w:rPr>
            </w:pPr>
            <w:r>
              <w:rPr>
                <w:rFonts w:ascii="Arial" w:hAnsi="Arial"/>
                <w:b/>
                <w:sz w:val="18"/>
              </w:rPr>
              <w:t>Sources utilisées pour les seuils</w:t>
            </w:r>
          </w:p>
        </w:tc>
      </w:tr>
      <w:tr w:rsidR="009235BB" w:rsidRPr="00CA2973" w14:paraId="488B1199" w14:textId="77777777" w:rsidTr="00AC6105">
        <w:trPr>
          <w:trHeight w:val="330"/>
        </w:trPr>
        <w:tc>
          <w:tcPr>
            <w:tcW w:w="108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6ACAAA95" w14:textId="77777777" w:rsidR="009235BB" w:rsidRPr="00AC6105" w:rsidRDefault="009235BB" w:rsidP="0069046E">
            <w:pPr>
              <w:jc w:val="center"/>
              <w:rPr>
                <w:rFonts w:ascii="Arial" w:eastAsia="Times New Roman" w:hAnsi="Arial" w:cs="Arial"/>
                <w:b/>
                <w:bCs/>
                <w:sz w:val="14"/>
                <w:szCs w:val="14"/>
              </w:rPr>
            </w:pPr>
            <w:r>
              <w:rPr>
                <w:rFonts w:ascii="Arial" w:hAnsi="Arial"/>
                <w:b/>
                <w:sz w:val="14"/>
              </w:rPr>
              <w:t>Résultats nutritionnels</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EF762" w14:textId="530135FD" w:rsidR="009235BB" w:rsidRPr="00AC6105" w:rsidRDefault="009235BB" w:rsidP="00AC6105">
            <w:pPr>
              <w:rPr>
                <w:rFonts w:ascii="Arial" w:eastAsia="Times New Roman" w:hAnsi="Arial" w:cs="Arial"/>
                <w:i/>
                <w:iCs/>
                <w:sz w:val="14"/>
                <w:szCs w:val="14"/>
              </w:rPr>
            </w:pPr>
            <w:r>
              <w:rPr>
                <w:rFonts w:ascii="Arial" w:hAnsi="Arial"/>
                <w:sz w:val="14"/>
              </w:rPr>
              <w:t xml:space="preserve">Prévalence de la MAG selon un rapport P/T &lt;-2 et/ou </w:t>
            </w:r>
            <w:r w:rsidR="00687A63">
              <w:rPr>
                <w:rFonts w:ascii="Arial" w:hAnsi="Arial"/>
                <w:sz w:val="14"/>
              </w:rPr>
              <w:t>l</w:t>
            </w:r>
            <w:r>
              <w:rPr>
                <w:rFonts w:ascii="Arial" w:hAnsi="Arial"/>
                <w:sz w:val="14"/>
              </w:rPr>
              <w:t xml:space="preserve">es œdèmes bilatéraux chez les enfants de 0 à 59 mois </w:t>
            </w:r>
            <w:r>
              <w:rPr>
                <w:rFonts w:ascii="Arial" w:hAnsi="Arial"/>
                <w:i/>
                <w:sz w:val="14"/>
              </w:rPr>
              <w:t>(en l’absence de données, utiliser 6 à 59 mois)</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7F65621C" w14:textId="77777777" w:rsidR="009235BB" w:rsidRPr="00AC6105" w:rsidRDefault="009235BB" w:rsidP="002F1F66">
            <w:pPr>
              <w:jc w:val="center"/>
              <w:rPr>
                <w:rFonts w:ascii="Arial" w:eastAsia="Times New Roman" w:hAnsi="Arial" w:cs="Arial"/>
                <w:i/>
                <w:iCs/>
                <w:color w:val="FF0000"/>
                <w:sz w:val="14"/>
                <w:szCs w:val="14"/>
              </w:rPr>
            </w:pPr>
            <w:r>
              <w:rPr>
                <w:rFonts w:ascii="Arial" w:hAnsi="Arial"/>
                <w:i/>
                <w:sz w:val="14"/>
              </w:rPr>
              <w:t>Bien-être physique et mental</w:t>
            </w:r>
          </w:p>
        </w:tc>
        <w:tc>
          <w:tcPr>
            <w:tcW w:w="900" w:type="dxa"/>
            <w:tcBorders>
              <w:top w:val="single" w:sz="6" w:space="0" w:color="CCCCCC"/>
              <w:left w:val="single" w:sz="4" w:space="0" w:color="auto"/>
              <w:bottom w:val="single" w:sz="4" w:space="0" w:color="auto"/>
              <w:right w:val="single" w:sz="6" w:space="0" w:color="000000"/>
            </w:tcBorders>
            <w:shd w:val="clear" w:color="auto" w:fill="auto"/>
            <w:tcMar>
              <w:top w:w="0" w:type="dxa"/>
              <w:left w:w="45" w:type="dxa"/>
              <w:bottom w:w="0" w:type="dxa"/>
              <w:right w:w="45" w:type="dxa"/>
            </w:tcMar>
            <w:vAlign w:val="center"/>
            <w:hideMark/>
          </w:tcPr>
          <w:p w14:paraId="6F71C195" w14:textId="77777777" w:rsidR="009235BB" w:rsidRPr="00AC6105" w:rsidRDefault="009235BB" w:rsidP="0069046E">
            <w:pPr>
              <w:jc w:val="center"/>
              <w:rPr>
                <w:rFonts w:ascii="Arial" w:eastAsia="Times New Roman" w:hAnsi="Arial" w:cs="Arial"/>
                <w:sz w:val="14"/>
                <w:szCs w:val="14"/>
              </w:rPr>
            </w:pPr>
            <w:r>
              <w:rPr>
                <w:rFonts w:ascii="Arial" w:hAnsi="Arial"/>
                <w:sz w:val="14"/>
              </w:rPr>
              <w:t>&lt;5 %</w:t>
            </w:r>
          </w:p>
        </w:tc>
        <w:tc>
          <w:tcPr>
            <w:tcW w:w="900"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7A1C633E" w14:textId="77777777" w:rsidR="009235BB" w:rsidRPr="00AC6105" w:rsidRDefault="009235BB" w:rsidP="0069046E">
            <w:pPr>
              <w:jc w:val="center"/>
              <w:rPr>
                <w:rFonts w:ascii="Arial" w:eastAsia="Times New Roman" w:hAnsi="Arial" w:cs="Arial"/>
                <w:sz w:val="14"/>
                <w:szCs w:val="14"/>
              </w:rPr>
            </w:pPr>
            <w:r>
              <w:rPr>
                <w:rFonts w:ascii="Arial" w:hAnsi="Arial"/>
                <w:sz w:val="14"/>
              </w:rPr>
              <w:t>5-9,9 %</w:t>
            </w:r>
          </w:p>
        </w:tc>
        <w:tc>
          <w:tcPr>
            <w:tcW w:w="990"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2E1833F1" w14:textId="77777777" w:rsidR="009235BB" w:rsidRPr="00AC6105" w:rsidRDefault="009235BB" w:rsidP="0069046E">
            <w:pPr>
              <w:jc w:val="center"/>
              <w:rPr>
                <w:rFonts w:ascii="Arial" w:eastAsia="Times New Roman" w:hAnsi="Arial" w:cs="Arial"/>
                <w:sz w:val="14"/>
                <w:szCs w:val="14"/>
              </w:rPr>
            </w:pPr>
            <w:r>
              <w:rPr>
                <w:rFonts w:ascii="Arial" w:hAnsi="Arial"/>
                <w:sz w:val="14"/>
              </w:rPr>
              <w:t>10-14,9 %</w:t>
            </w:r>
          </w:p>
        </w:tc>
        <w:tc>
          <w:tcPr>
            <w:tcW w:w="900"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718D661C" w14:textId="77777777" w:rsidR="009235BB" w:rsidRPr="00AC6105" w:rsidRDefault="009235BB" w:rsidP="0069046E">
            <w:pPr>
              <w:jc w:val="center"/>
              <w:rPr>
                <w:rFonts w:ascii="Arial" w:eastAsia="Times New Roman" w:hAnsi="Arial" w:cs="Arial"/>
                <w:color w:val="FFFFFF" w:themeColor="background1"/>
                <w:sz w:val="14"/>
                <w:szCs w:val="14"/>
              </w:rPr>
            </w:pPr>
            <w:r>
              <w:rPr>
                <w:rFonts w:ascii="Arial" w:hAnsi="Arial"/>
                <w:sz w:val="14"/>
              </w:rPr>
              <w:t>15-29,9 %</w:t>
            </w:r>
          </w:p>
        </w:tc>
        <w:tc>
          <w:tcPr>
            <w:tcW w:w="1440" w:type="dxa"/>
            <w:tcBorders>
              <w:top w:val="single" w:sz="6" w:space="0" w:color="CCCCCC"/>
              <w:left w:val="single" w:sz="6" w:space="0" w:color="CCCCCC"/>
              <w:bottom w:val="single" w:sz="4" w:space="0" w:color="auto"/>
              <w:right w:val="single" w:sz="4" w:space="0" w:color="auto"/>
            </w:tcBorders>
            <w:shd w:val="clear" w:color="auto" w:fill="auto"/>
            <w:tcMar>
              <w:top w:w="0" w:type="dxa"/>
              <w:left w:w="45" w:type="dxa"/>
              <w:bottom w:w="0" w:type="dxa"/>
              <w:right w:w="45" w:type="dxa"/>
            </w:tcMar>
            <w:vAlign w:val="center"/>
            <w:hideMark/>
          </w:tcPr>
          <w:p w14:paraId="58933DE6" w14:textId="77777777" w:rsidR="009235BB" w:rsidRPr="00AC6105" w:rsidRDefault="009235BB" w:rsidP="0069046E">
            <w:pPr>
              <w:jc w:val="center"/>
              <w:rPr>
                <w:rFonts w:ascii="Arial" w:eastAsia="Times New Roman" w:hAnsi="Arial" w:cs="Arial"/>
                <w:color w:val="FFFFFF" w:themeColor="background1"/>
                <w:sz w:val="14"/>
                <w:szCs w:val="14"/>
              </w:rPr>
            </w:pPr>
            <w:r>
              <w:rPr>
                <w:rFonts w:ascii="Arial" w:hAnsi="Arial"/>
                <w:sz w:val="14"/>
              </w:rPr>
              <w:t>≥30 %</w:t>
            </w:r>
          </w:p>
        </w:tc>
        <w:tc>
          <w:tcPr>
            <w:tcW w:w="4050" w:type="dxa"/>
            <w:tcBorders>
              <w:top w:val="single" w:sz="4" w:space="0" w:color="auto"/>
              <w:left w:val="single" w:sz="4" w:space="0" w:color="auto"/>
              <w:bottom w:val="single" w:sz="4" w:space="0" w:color="auto"/>
              <w:right w:val="single" w:sz="4" w:space="0" w:color="auto"/>
            </w:tcBorders>
            <w:vAlign w:val="center"/>
          </w:tcPr>
          <w:p w14:paraId="23BA98F7" w14:textId="231AB1FC" w:rsidR="009235BB" w:rsidRPr="00984F13" w:rsidRDefault="009235BB" w:rsidP="0069046E">
            <w:pPr>
              <w:rPr>
                <w:rFonts w:ascii="Arial" w:hAnsi="Arial" w:cs="Arial"/>
                <w:sz w:val="14"/>
                <w:szCs w:val="14"/>
              </w:rPr>
            </w:pPr>
            <w:r w:rsidRPr="00984F13">
              <w:rPr>
                <w:rFonts w:ascii="Arial" w:hAnsi="Arial" w:cs="Arial"/>
                <w:sz w:val="14"/>
                <w:szCs w:val="14"/>
              </w:rPr>
              <w:t xml:space="preserve">Partenaires mondiaux de l’IPC, 2019. </w:t>
            </w:r>
            <w:hyperlink r:id="rId25" w:history="1">
              <w:r w:rsidRPr="00984F13">
                <w:rPr>
                  <w:rStyle w:val="Lienhypertexte"/>
                  <w:rFonts w:ascii="Arial" w:hAnsi="Arial" w:cs="Arial"/>
                  <w:sz w:val="14"/>
                  <w:szCs w:val="14"/>
                </w:rPr>
                <w:t>Manuel technique du Cadre intégré de classification de la sécurité alimentaire Version 3.0.</w:t>
              </w:r>
            </w:hyperlink>
            <w:r w:rsidRPr="00984F13">
              <w:rPr>
                <w:rFonts w:ascii="Arial" w:hAnsi="Arial" w:cs="Arial"/>
                <w:sz w:val="14"/>
                <w:szCs w:val="14"/>
              </w:rPr>
              <w:t xml:space="preserve"> </w:t>
            </w:r>
          </w:p>
        </w:tc>
      </w:tr>
      <w:tr w:rsidR="009235BB" w:rsidRPr="00CA2973" w14:paraId="5F1B37C4" w14:textId="77777777" w:rsidTr="00AC6105">
        <w:trPr>
          <w:trHeight w:val="98"/>
        </w:trPr>
        <w:tc>
          <w:tcPr>
            <w:tcW w:w="1080" w:type="dxa"/>
            <w:vMerge/>
            <w:tcBorders>
              <w:left w:val="single" w:sz="4" w:space="0" w:color="auto"/>
              <w:right w:val="single" w:sz="4" w:space="0" w:color="auto"/>
            </w:tcBorders>
            <w:tcMar>
              <w:top w:w="0" w:type="dxa"/>
              <w:left w:w="45" w:type="dxa"/>
              <w:bottom w:w="0" w:type="dxa"/>
              <w:right w:w="45" w:type="dxa"/>
            </w:tcMar>
            <w:vAlign w:val="center"/>
            <w:hideMark/>
          </w:tcPr>
          <w:p w14:paraId="1A2EFA91" w14:textId="77777777" w:rsidR="009235BB" w:rsidRPr="00AC6105" w:rsidRDefault="009235BB" w:rsidP="00C4523F">
            <w:pPr>
              <w:jc w:val="center"/>
              <w:rPr>
                <w:rFonts w:ascii="Arial" w:eastAsia="Times New Roman" w:hAnsi="Arial" w:cs="Arial"/>
                <w:sz w:val="14"/>
                <w:szCs w:val="14"/>
                <w:lang w:eastAsia="fr-FR"/>
              </w:rPr>
            </w:pPr>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F5A4E" w14:textId="708106EB" w:rsidR="009235BB" w:rsidRPr="00AC6105" w:rsidRDefault="009235BB" w:rsidP="00C4523F">
            <w:pPr>
              <w:rPr>
                <w:rFonts w:ascii="Arial" w:eastAsia="Times New Roman" w:hAnsi="Arial" w:cs="Arial"/>
                <w:sz w:val="14"/>
                <w:szCs w:val="14"/>
              </w:rPr>
            </w:pPr>
            <w:r>
              <w:rPr>
                <w:rFonts w:ascii="Arial" w:hAnsi="Arial"/>
                <w:sz w:val="14"/>
              </w:rPr>
              <w:t>Prévalence de la MAG selon un PB</w:t>
            </w:r>
            <w:r w:rsidRPr="00AC6105">
              <w:rPr>
                <w:rStyle w:val="Appelnotedebasdep"/>
                <w:rFonts w:ascii="Arial" w:eastAsia="Times New Roman" w:hAnsi="Arial" w:cs="Arial"/>
                <w:sz w:val="14"/>
                <w:szCs w:val="14"/>
                <w:lang w:eastAsia="fr-FR"/>
              </w:rPr>
              <w:footnoteReference w:id="4"/>
            </w:r>
            <w:r>
              <w:rPr>
                <w:rFonts w:ascii="Arial" w:hAnsi="Arial"/>
                <w:sz w:val="14"/>
              </w:rPr>
              <w:t xml:space="preserve"> &lt; 125 mm et/ou </w:t>
            </w:r>
            <w:r w:rsidR="00687A63">
              <w:rPr>
                <w:rFonts w:ascii="Arial" w:hAnsi="Arial"/>
                <w:sz w:val="14"/>
              </w:rPr>
              <w:t>l</w:t>
            </w:r>
            <w:r>
              <w:rPr>
                <w:rFonts w:ascii="Arial" w:hAnsi="Arial"/>
                <w:sz w:val="14"/>
              </w:rPr>
              <w:t>es œdèmes bilatéraux chez les enfants de 6 à 59 mois</w:t>
            </w:r>
          </w:p>
        </w:tc>
        <w:tc>
          <w:tcPr>
            <w:tcW w:w="2520" w:type="dxa"/>
            <w:gridSpan w:val="2"/>
            <w:vMerge w:val="restart"/>
            <w:tcBorders>
              <w:top w:val="single" w:sz="4" w:space="0" w:color="auto"/>
              <w:left w:val="single" w:sz="4" w:space="0" w:color="auto"/>
              <w:right w:val="single" w:sz="4" w:space="0" w:color="auto"/>
            </w:tcBorders>
            <w:vAlign w:val="center"/>
          </w:tcPr>
          <w:p w14:paraId="5A481CB4" w14:textId="77777777" w:rsidR="009235BB" w:rsidRPr="00AC6105" w:rsidRDefault="009235BB" w:rsidP="00657974">
            <w:pPr>
              <w:jc w:val="center"/>
              <w:rPr>
                <w:rFonts w:ascii="Arial" w:eastAsia="Times New Roman" w:hAnsi="Arial" w:cs="Arial"/>
                <w:i/>
                <w:iCs/>
                <w:sz w:val="14"/>
                <w:szCs w:val="14"/>
              </w:rPr>
            </w:pPr>
            <w:r>
              <w:rPr>
                <w:rFonts w:ascii="Arial" w:hAnsi="Arial"/>
                <w:i/>
                <w:sz w:val="14"/>
              </w:rPr>
              <w:t>Bien-être physique et mental</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B821257" w14:textId="77777777" w:rsidR="009235BB" w:rsidRPr="00AC6105" w:rsidRDefault="009235BB" w:rsidP="00C4523F">
            <w:pPr>
              <w:jc w:val="center"/>
              <w:rPr>
                <w:rFonts w:ascii="Arial" w:eastAsia="Times New Roman" w:hAnsi="Arial" w:cs="Arial"/>
                <w:sz w:val="14"/>
                <w:szCs w:val="14"/>
              </w:rPr>
            </w:pPr>
            <w:r>
              <w:rPr>
                <w:rFonts w:ascii="Arial" w:hAnsi="Arial"/>
                <w:sz w:val="14"/>
              </w:rPr>
              <w:t>&lt;5%</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64B20" w14:textId="77777777" w:rsidR="009235BB" w:rsidRPr="00AC6105" w:rsidRDefault="009235BB" w:rsidP="00C4523F">
            <w:pPr>
              <w:jc w:val="center"/>
              <w:rPr>
                <w:rFonts w:ascii="Arial" w:eastAsia="Times New Roman" w:hAnsi="Arial" w:cs="Arial"/>
                <w:sz w:val="14"/>
                <w:szCs w:val="14"/>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CFB51" w14:textId="77777777" w:rsidR="009235BB" w:rsidRPr="00AC6105" w:rsidRDefault="009235BB" w:rsidP="00C4523F">
            <w:pPr>
              <w:jc w:val="center"/>
              <w:rPr>
                <w:rFonts w:ascii="Arial" w:eastAsia="Times New Roman" w:hAnsi="Arial" w:cs="Arial"/>
                <w:sz w:val="14"/>
                <w:szCs w:val="14"/>
                <w:lang w:eastAsia="fr-FR"/>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23375" w14:textId="77777777" w:rsidR="009235BB" w:rsidRPr="00AC6105" w:rsidRDefault="009235BB" w:rsidP="00C4523F">
            <w:pPr>
              <w:jc w:val="center"/>
              <w:rPr>
                <w:rFonts w:ascii="Arial" w:eastAsia="Times New Roman" w:hAnsi="Arial" w:cs="Arial"/>
                <w:sz w:val="14"/>
                <w:szCs w:val="14"/>
                <w:lang w:eastAsia="fr-FR"/>
              </w:rPr>
            </w:pPr>
          </w:p>
        </w:tc>
        <w:tc>
          <w:tcPr>
            <w:tcW w:w="4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CF1F7" w14:textId="1E50491A" w:rsidR="009235BB" w:rsidRPr="00984F13" w:rsidRDefault="009235BB" w:rsidP="00C4523F">
            <w:pPr>
              <w:rPr>
                <w:rFonts w:ascii="Arial" w:eastAsia="Times New Roman" w:hAnsi="Arial" w:cs="Arial"/>
                <w:sz w:val="14"/>
                <w:szCs w:val="14"/>
              </w:rPr>
            </w:pPr>
            <w:r w:rsidRPr="00984F13">
              <w:rPr>
                <w:rFonts w:ascii="Arial" w:hAnsi="Arial" w:cs="Arial"/>
                <w:i/>
                <w:sz w:val="14"/>
                <w:szCs w:val="14"/>
              </w:rPr>
              <w:t>Seuils préliminaires</w:t>
            </w:r>
            <w:r w:rsidR="00174C85">
              <w:rPr>
                <w:rFonts w:ascii="Arial" w:hAnsi="Arial" w:cs="Arial"/>
                <w:sz w:val="14"/>
                <w:szCs w:val="14"/>
              </w:rPr>
              <w:t>,</w:t>
            </w:r>
            <w:r w:rsidRPr="00984F13">
              <w:rPr>
                <w:rFonts w:ascii="Arial" w:hAnsi="Arial" w:cs="Arial"/>
                <w:sz w:val="14"/>
                <w:szCs w:val="14"/>
              </w:rPr>
              <w:t xml:space="preserve"> Partenaires mondiaux de IPC, 2019. </w:t>
            </w:r>
            <w:hyperlink r:id="rId26" w:history="1">
              <w:r w:rsidRPr="00984F13">
                <w:rPr>
                  <w:rStyle w:val="Lienhypertexte"/>
                  <w:rFonts w:ascii="Arial" w:hAnsi="Arial" w:cs="Arial"/>
                  <w:sz w:val="14"/>
                  <w:szCs w:val="14"/>
                </w:rPr>
                <w:t>Manuel technique du Cadre intégré de classification de la sécurité alimentaire Version 3.0.</w:t>
              </w:r>
            </w:hyperlink>
          </w:p>
        </w:tc>
      </w:tr>
      <w:tr w:rsidR="009235BB" w:rsidRPr="00CA2973" w14:paraId="71744373" w14:textId="77777777" w:rsidTr="00AC6105">
        <w:trPr>
          <w:trHeight w:val="50"/>
        </w:trPr>
        <w:tc>
          <w:tcPr>
            <w:tcW w:w="1080" w:type="dxa"/>
            <w:vMerge/>
            <w:tcBorders>
              <w:left w:val="single" w:sz="4" w:space="0" w:color="auto"/>
              <w:right w:val="single" w:sz="4" w:space="0" w:color="auto"/>
            </w:tcBorders>
            <w:vAlign w:val="center"/>
            <w:hideMark/>
          </w:tcPr>
          <w:p w14:paraId="32374C65" w14:textId="77777777" w:rsidR="009235BB" w:rsidRPr="00AC6105" w:rsidRDefault="009235BB" w:rsidP="00C4523F">
            <w:pPr>
              <w:jc w:val="center"/>
              <w:rPr>
                <w:rFonts w:ascii="Arial" w:eastAsia="Times New Roman" w:hAnsi="Arial" w:cs="Arial"/>
                <w:sz w:val="14"/>
                <w:szCs w:val="14"/>
                <w:lang w:eastAsia="fr-FR"/>
              </w:rPr>
            </w:pPr>
          </w:p>
        </w:tc>
        <w:tc>
          <w:tcPr>
            <w:tcW w:w="31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A91A4" w14:textId="77777777" w:rsidR="009235BB" w:rsidRPr="00AC6105" w:rsidRDefault="009235BB" w:rsidP="00C4523F">
            <w:pPr>
              <w:rPr>
                <w:rFonts w:ascii="Arial" w:eastAsia="Times New Roman" w:hAnsi="Arial" w:cs="Arial"/>
                <w:sz w:val="14"/>
                <w:szCs w:val="14"/>
                <w:lang w:eastAsia="fr-FR"/>
              </w:rPr>
            </w:pPr>
          </w:p>
        </w:tc>
        <w:tc>
          <w:tcPr>
            <w:tcW w:w="2520" w:type="dxa"/>
            <w:gridSpan w:val="2"/>
            <w:vMerge/>
            <w:tcBorders>
              <w:left w:val="single" w:sz="4" w:space="0" w:color="auto"/>
              <w:right w:val="single" w:sz="4" w:space="0" w:color="auto"/>
            </w:tcBorders>
            <w:vAlign w:val="center"/>
          </w:tcPr>
          <w:p w14:paraId="0F31F6FB" w14:textId="77777777" w:rsidR="009235BB" w:rsidRPr="00AC6105" w:rsidRDefault="009235BB" w:rsidP="002F1F66">
            <w:pPr>
              <w:jc w:val="center"/>
              <w:rPr>
                <w:rFonts w:ascii="Arial" w:eastAsia="Times New Roman" w:hAnsi="Arial" w:cs="Arial"/>
                <w:i/>
                <w:iCs/>
                <w:color w:val="FF0000"/>
                <w:sz w:val="14"/>
                <w:szCs w:val="14"/>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0ADCA9B8" w14:textId="77777777" w:rsidR="009235BB" w:rsidRPr="00AC6105" w:rsidRDefault="009235BB" w:rsidP="00C4523F">
            <w:pPr>
              <w:jc w:val="center"/>
              <w:rPr>
                <w:rFonts w:ascii="Arial" w:eastAsia="Times New Roman" w:hAnsi="Arial" w:cs="Arial"/>
                <w:sz w:val="14"/>
                <w:szCs w:val="14"/>
                <w:lang w:eastAsia="fr-FR"/>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E67A39A" w14:textId="77777777" w:rsidR="009235BB" w:rsidRPr="00AC6105" w:rsidRDefault="009235BB" w:rsidP="00C4523F">
            <w:pPr>
              <w:jc w:val="center"/>
              <w:rPr>
                <w:rFonts w:ascii="Arial" w:eastAsia="Times New Roman" w:hAnsi="Arial" w:cs="Arial"/>
                <w:sz w:val="14"/>
                <w:szCs w:val="14"/>
              </w:rPr>
            </w:pPr>
            <w:r>
              <w:rPr>
                <w:rFonts w:ascii="Arial" w:hAnsi="Arial"/>
                <w:sz w:val="14"/>
              </w:rPr>
              <w:t>5 %-9,9 %</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78FC27C7" w14:textId="77777777" w:rsidR="009235BB" w:rsidRPr="00AC6105" w:rsidRDefault="009235BB" w:rsidP="00C4523F">
            <w:pPr>
              <w:jc w:val="center"/>
              <w:rPr>
                <w:rFonts w:ascii="Arial" w:eastAsia="Times New Roman" w:hAnsi="Arial" w:cs="Arial"/>
                <w:sz w:val="14"/>
                <w:szCs w:val="14"/>
                <w:lang w:eastAsia="fr-FR"/>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7C8EFF84" w14:textId="77777777" w:rsidR="009235BB" w:rsidRPr="00AC6105" w:rsidRDefault="009235BB" w:rsidP="00C4523F">
            <w:pPr>
              <w:jc w:val="center"/>
              <w:rPr>
                <w:rFonts w:ascii="Arial" w:eastAsia="Times New Roman" w:hAnsi="Arial" w:cs="Arial"/>
                <w:sz w:val="14"/>
                <w:szCs w:val="14"/>
                <w:lang w:eastAsia="fr-FR"/>
              </w:rPr>
            </w:pPr>
          </w:p>
        </w:tc>
        <w:tc>
          <w:tcPr>
            <w:tcW w:w="4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D5F78" w14:textId="77777777" w:rsidR="009235BB" w:rsidRPr="00984F13" w:rsidRDefault="009235BB" w:rsidP="00C4523F">
            <w:pPr>
              <w:rPr>
                <w:rFonts w:ascii="Arial" w:eastAsia="Times New Roman" w:hAnsi="Arial" w:cs="Arial"/>
                <w:sz w:val="14"/>
                <w:szCs w:val="14"/>
                <w:lang w:eastAsia="fr-FR"/>
              </w:rPr>
            </w:pPr>
          </w:p>
        </w:tc>
      </w:tr>
      <w:tr w:rsidR="009235BB" w:rsidRPr="00CA2973" w14:paraId="63CCF720" w14:textId="77777777" w:rsidTr="00AC6105">
        <w:trPr>
          <w:trHeight w:val="107"/>
        </w:trPr>
        <w:tc>
          <w:tcPr>
            <w:tcW w:w="1080" w:type="dxa"/>
            <w:vMerge/>
            <w:tcBorders>
              <w:left w:val="single" w:sz="4" w:space="0" w:color="auto"/>
              <w:right w:val="single" w:sz="4" w:space="0" w:color="auto"/>
            </w:tcBorders>
            <w:vAlign w:val="center"/>
            <w:hideMark/>
          </w:tcPr>
          <w:p w14:paraId="144C9036" w14:textId="77777777" w:rsidR="009235BB" w:rsidRPr="00AC6105" w:rsidRDefault="009235BB" w:rsidP="00C4523F">
            <w:pPr>
              <w:jc w:val="center"/>
              <w:rPr>
                <w:rFonts w:ascii="Arial" w:eastAsia="Times New Roman" w:hAnsi="Arial" w:cs="Arial"/>
                <w:sz w:val="14"/>
                <w:szCs w:val="14"/>
                <w:lang w:eastAsia="fr-FR"/>
              </w:rPr>
            </w:pPr>
          </w:p>
        </w:tc>
        <w:tc>
          <w:tcPr>
            <w:tcW w:w="31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51DCA" w14:textId="77777777" w:rsidR="009235BB" w:rsidRPr="00AC6105" w:rsidRDefault="009235BB" w:rsidP="00C4523F">
            <w:pPr>
              <w:rPr>
                <w:rFonts w:ascii="Arial" w:eastAsia="Times New Roman" w:hAnsi="Arial" w:cs="Arial"/>
                <w:sz w:val="14"/>
                <w:szCs w:val="14"/>
                <w:lang w:eastAsia="fr-FR"/>
              </w:rPr>
            </w:pPr>
          </w:p>
        </w:tc>
        <w:tc>
          <w:tcPr>
            <w:tcW w:w="2520" w:type="dxa"/>
            <w:gridSpan w:val="2"/>
            <w:vMerge/>
            <w:tcBorders>
              <w:left w:val="single" w:sz="4" w:space="0" w:color="auto"/>
              <w:right w:val="single" w:sz="4" w:space="0" w:color="auto"/>
            </w:tcBorders>
            <w:vAlign w:val="center"/>
          </w:tcPr>
          <w:p w14:paraId="6E94B4BB" w14:textId="77777777" w:rsidR="009235BB" w:rsidRPr="00AC6105" w:rsidRDefault="009235BB" w:rsidP="002F1F66">
            <w:pPr>
              <w:jc w:val="center"/>
              <w:rPr>
                <w:rFonts w:ascii="Arial" w:eastAsia="Times New Roman" w:hAnsi="Arial" w:cs="Arial"/>
                <w:i/>
                <w:iCs/>
                <w:color w:val="FF0000"/>
                <w:sz w:val="14"/>
                <w:szCs w:val="14"/>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59E66EC8" w14:textId="77777777" w:rsidR="009235BB" w:rsidRPr="00AC6105" w:rsidRDefault="009235BB" w:rsidP="00C4523F">
            <w:pPr>
              <w:jc w:val="center"/>
              <w:rPr>
                <w:rFonts w:ascii="Arial" w:eastAsia="Times New Roman" w:hAnsi="Arial" w:cs="Arial"/>
                <w:sz w:val="14"/>
                <w:szCs w:val="14"/>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7834CA71" w14:textId="77777777" w:rsidR="009235BB" w:rsidRPr="00AC6105" w:rsidRDefault="009235BB" w:rsidP="00C4523F">
            <w:pPr>
              <w:jc w:val="center"/>
              <w:rPr>
                <w:rFonts w:ascii="Arial" w:eastAsia="Times New Roman" w:hAnsi="Arial" w:cs="Arial"/>
                <w:sz w:val="14"/>
                <w:szCs w:val="14"/>
                <w:lang w:eastAsia="fr-FR"/>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C473E73" w14:textId="77777777" w:rsidR="009235BB" w:rsidRPr="00AC6105" w:rsidRDefault="009235BB" w:rsidP="00C4523F">
            <w:pPr>
              <w:jc w:val="center"/>
              <w:rPr>
                <w:rFonts w:ascii="Arial" w:eastAsia="Times New Roman" w:hAnsi="Arial" w:cs="Arial"/>
                <w:sz w:val="14"/>
                <w:szCs w:val="14"/>
              </w:rPr>
            </w:pPr>
            <w:r>
              <w:rPr>
                <w:rFonts w:ascii="Arial" w:hAnsi="Arial"/>
                <w:sz w:val="14"/>
              </w:rPr>
              <w:t>10 %-14,9 %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74337CBE" w14:textId="77777777" w:rsidR="009235BB" w:rsidRPr="00AC6105" w:rsidRDefault="009235BB" w:rsidP="00C4523F">
            <w:pPr>
              <w:jc w:val="center"/>
              <w:rPr>
                <w:rFonts w:ascii="Arial" w:eastAsia="Times New Roman" w:hAnsi="Arial" w:cs="Arial"/>
                <w:sz w:val="14"/>
                <w:szCs w:val="14"/>
                <w:lang w:eastAsia="fr-FR"/>
              </w:rPr>
            </w:pPr>
          </w:p>
        </w:tc>
        <w:tc>
          <w:tcPr>
            <w:tcW w:w="4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58359" w14:textId="77777777" w:rsidR="009235BB" w:rsidRPr="00984F13" w:rsidRDefault="009235BB" w:rsidP="00C4523F">
            <w:pPr>
              <w:rPr>
                <w:rFonts w:ascii="Arial" w:eastAsia="Times New Roman" w:hAnsi="Arial" w:cs="Arial"/>
                <w:sz w:val="14"/>
                <w:szCs w:val="14"/>
                <w:lang w:eastAsia="fr-FR"/>
              </w:rPr>
            </w:pPr>
          </w:p>
        </w:tc>
      </w:tr>
      <w:tr w:rsidR="009235BB" w:rsidRPr="00CA2973" w14:paraId="791DCB38" w14:textId="77777777" w:rsidTr="00AC6105">
        <w:trPr>
          <w:trHeight w:val="116"/>
        </w:trPr>
        <w:tc>
          <w:tcPr>
            <w:tcW w:w="1080" w:type="dxa"/>
            <w:vMerge/>
            <w:tcBorders>
              <w:left w:val="single" w:sz="4" w:space="0" w:color="auto"/>
              <w:right w:val="single" w:sz="4" w:space="0" w:color="auto"/>
            </w:tcBorders>
            <w:vAlign w:val="center"/>
            <w:hideMark/>
          </w:tcPr>
          <w:p w14:paraId="493161F6" w14:textId="77777777" w:rsidR="009235BB" w:rsidRPr="00AC6105" w:rsidRDefault="009235BB" w:rsidP="00C4523F">
            <w:pPr>
              <w:jc w:val="center"/>
              <w:rPr>
                <w:rFonts w:ascii="Arial" w:eastAsia="Times New Roman" w:hAnsi="Arial" w:cs="Arial"/>
                <w:sz w:val="14"/>
                <w:szCs w:val="14"/>
                <w:lang w:eastAsia="fr-FR"/>
              </w:rPr>
            </w:pPr>
          </w:p>
        </w:tc>
        <w:tc>
          <w:tcPr>
            <w:tcW w:w="31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80452" w14:textId="77777777" w:rsidR="009235BB" w:rsidRPr="00AC6105" w:rsidRDefault="009235BB" w:rsidP="00C4523F">
            <w:pPr>
              <w:rPr>
                <w:rFonts w:ascii="Arial" w:eastAsia="Times New Roman" w:hAnsi="Arial" w:cs="Arial"/>
                <w:sz w:val="14"/>
                <w:szCs w:val="14"/>
                <w:lang w:eastAsia="fr-FR"/>
              </w:rPr>
            </w:pPr>
          </w:p>
        </w:tc>
        <w:tc>
          <w:tcPr>
            <w:tcW w:w="2520" w:type="dxa"/>
            <w:gridSpan w:val="2"/>
            <w:vMerge/>
            <w:tcBorders>
              <w:left w:val="single" w:sz="4" w:space="0" w:color="auto"/>
              <w:bottom w:val="single" w:sz="4" w:space="0" w:color="auto"/>
              <w:right w:val="single" w:sz="4" w:space="0" w:color="auto"/>
            </w:tcBorders>
            <w:vAlign w:val="center"/>
          </w:tcPr>
          <w:p w14:paraId="2B1A6B1F" w14:textId="77777777" w:rsidR="009235BB" w:rsidRPr="00AC6105" w:rsidRDefault="009235BB" w:rsidP="002F1F66">
            <w:pPr>
              <w:jc w:val="center"/>
              <w:rPr>
                <w:rFonts w:ascii="Arial" w:eastAsia="Times New Roman" w:hAnsi="Arial" w:cs="Arial"/>
                <w:i/>
                <w:iCs/>
                <w:color w:val="FF0000"/>
                <w:sz w:val="14"/>
                <w:szCs w:val="14"/>
                <w:lang w:eastAsia="fr-FR"/>
              </w:rPr>
            </w:pPr>
          </w:p>
        </w:tc>
        <w:tc>
          <w:tcPr>
            <w:tcW w:w="900" w:type="dxa"/>
            <w:tcBorders>
              <w:top w:val="single" w:sz="4" w:space="0" w:color="auto"/>
              <w:left w:val="single" w:sz="4" w:space="0" w:color="auto"/>
              <w:bottom w:val="single" w:sz="4" w:space="0" w:color="auto"/>
              <w:right w:val="single" w:sz="6" w:space="0" w:color="000000"/>
            </w:tcBorders>
            <w:shd w:val="clear" w:color="auto" w:fill="D9D9D9" w:themeFill="background1" w:themeFillShade="D9"/>
            <w:tcMar>
              <w:top w:w="0" w:type="dxa"/>
              <w:left w:w="45" w:type="dxa"/>
              <w:bottom w:w="0" w:type="dxa"/>
              <w:right w:w="45" w:type="dxa"/>
            </w:tcMar>
            <w:vAlign w:val="center"/>
            <w:hideMark/>
          </w:tcPr>
          <w:p w14:paraId="2F8C59FB" w14:textId="77777777" w:rsidR="009235BB" w:rsidRPr="00AC6105" w:rsidRDefault="009235BB" w:rsidP="00C4523F">
            <w:pPr>
              <w:jc w:val="center"/>
              <w:rPr>
                <w:rFonts w:ascii="Arial" w:eastAsia="Times New Roman" w:hAnsi="Arial" w:cs="Arial"/>
                <w:sz w:val="14"/>
                <w:szCs w:val="14"/>
                <w:lang w:eastAsia="fr-FR"/>
              </w:rPr>
            </w:pPr>
          </w:p>
        </w:tc>
        <w:tc>
          <w:tcPr>
            <w:tcW w:w="900" w:type="dxa"/>
            <w:tcBorders>
              <w:top w:val="single" w:sz="4" w:space="0" w:color="auto"/>
              <w:left w:val="single" w:sz="6" w:space="0" w:color="CCCCCC"/>
              <w:bottom w:val="single" w:sz="4" w:space="0" w:color="auto"/>
              <w:right w:val="single" w:sz="6" w:space="0" w:color="000000"/>
            </w:tcBorders>
            <w:shd w:val="clear" w:color="auto" w:fill="D9D9D9" w:themeFill="background1" w:themeFillShade="D9"/>
            <w:tcMar>
              <w:top w:w="0" w:type="dxa"/>
              <w:left w:w="45" w:type="dxa"/>
              <w:bottom w:w="0" w:type="dxa"/>
              <w:right w:w="45" w:type="dxa"/>
            </w:tcMar>
            <w:vAlign w:val="center"/>
            <w:hideMark/>
          </w:tcPr>
          <w:p w14:paraId="3664C43B" w14:textId="77777777" w:rsidR="009235BB" w:rsidRPr="00AC6105" w:rsidRDefault="009235BB" w:rsidP="00C4523F">
            <w:pPr>
              <w:jc w:val="center"/>
              <w:rPr>
                <w:rFonts w:ascii="Arial" w:eastAsia="Times New Roman" w:hAnsi="Arial" w:cs="Arial"/>
                <w:sz w:val="14"/>
                <w:szCs w:val="14"/>
                <w:lang w:eastAsia="fr-FR"/>
              </w:rPr>
            </w:pPr>
          </w:p>
        </w:tc>
        <w:tc>
          <w:tcPr>
            <w:tcW w:w="990" w:type="dxa"/>
            <w:tcBorders>
              <w:top w:val="single" w:sz="4" w:space="0" w:color="auto"/>
              <w:left w:val="single" w:sz="6" w:space="0" w:color="CCCCCC"/>
              <w:bottom w:val="single" w:sz="4" w:space="0" w:color="auto"/>
              <w:right w:val="single" w:sz="6" w:space="0" w:color="000000"/>
            </w:tcBorders>
            <w:shd w:val="clear" w:color="auto" w:fill="D9D9D9" w:themeFill="background1" w:themeFillShade="D9"/>
            <w:tcMar>
              <w:top w:w="0" w:type="dxa"/>
              <w:left w:w="45" w:type="dxa"/>
              <w:bottom w:w="0" w:type="dxa"/>
              <w:right w:w="45" w:type="dxa"/>
            </w:tcMar>
            <w:vAlign w:val="center"/>
            <w:hideMark/>
          </w:tcPr>
          <w:p w14:paraId="52C8E14D" w14:textId="77777777" w:rsidR="009235BB" w:rsidRPr="00AC6105" w:rsidRDefault="009235BB" w:rsidP="00C4523F">
            <w:pPr>
              <w:jc w:val="center"/>
              <w:rPr>
                <w:rFonts w:ascii="Arial" w:eastAsia="Times New Roman" w:hAnsi="Arial" w:cs="Arial"/>
                <w:sz w:val="14"/>
                <w:szCs w:val="14"/>
                <w:lang w:eastAsia="fr-FR"/>
              </w:rPr>
            </w:pPr>
          </w:p>
        </w:tc>
        <w:tc>
          <w:tcPr>
            <w:tcW w:w="2340" w:type="dxa"/>
            <w:gridSpan w:val="2"/>
            <w:tcBorders>
              <w:top w:val="single" w:sz="4" w:space="0" w:color="auto"/>
              <w:left w:val="single" w:sz="6" w:space="0" w:color="CCCCCC"/>
              <w:bottom w:val="single" w:sz="4" w:space="0" w:color="auto"/>
              <w:right w:val="single" w:sz="4" w:space="0" w:color="auto"/>
            </w:tcBorders>
            <w:shd w:val="clear" w:color="auto" w:fill="auto"/>
            <w:tcMar>
              <w:top w:w="0" w:type="dxa"/>
              <w:left w:w="45" w:type="dxa"/>
              <w:bottom w:w="0" w:type="dxa"/>
              <w:right w:w="45" w:type="dxa"/>
            </w:tcMar>
            <w:vAlign w:val="center"/>
            <w:hideMark/>
          </w:tcPr>
          <w:p w14:paraId="7F7826F4" w14:textId="77777777" w:rsidR="009235BB" w:rsidRPr="00AC6105" w:rsidRDefault="009235BB" w:rsidP="00C4523F">
            <w:pPr>
              <w:jc w:val="center"/>
              <w:rPr>
                <w:rFonts w:ascii="Arial" w:eastAsia="Times New Roman" w:hAnsi="Arial" w:cs="Arial"/>
                <w:sz w:val="14"/>
                <w:szCs w:val="14"/>
              </w:rPr>
            </w:pPr>
            <w:r>
              <w:rPr>
                <w:rFonts w:ascii="Arial" w:hAnsi="Arial"/>
                <w:sz w:val="14"/>
              </w:rPr>
              <w:t>≥15 %</w:t>
            </w:r>
          </w:p>
        </w:tc>
        <w:tc>
          <w:tcPr>
            <w:tcW w:w="4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7B52A1" w14:textId="77777777" w:rsidR="009235BB" w:rsidRPr="00984F13" w:rsidRDefault="009235BB" w:rsidP="00C4523F">
            <w:pPr>
              <w:rPr>
                <w:rFonts w:ascii="Arial" w:hAnsi="Arial" w:cs="Arial"/>
                <w:sz w:val="14"/>
                <w:szCs w:val="14"/>
              </w:rPr>
            </w:pPr>
          </w:p>
        </w:tc>
      </w:tr>
      <w:tr w:rsidR="009235BB" w:rsidRPr="00CA2973" w14:paraId="30425574" w14:textId="77777777" w:rsidTr="00AC6105">
        <w:trPr>
          <w:trHeight w:val="296"/>
        </w:trPr>
        <w:tc>
          <w:tcPr>
            <w:tcW w:w="1080" w:type="dxa"/>
            <w:vMerge/>
            <w:tcBorders>
              <w:left w:val="single" w:sz="4" w:space="0" w:color="auto"/>
              <w:right w:val="single" w:sz="4" w:space="0" w:color="auto"/>
            </w:tcBorders>
            <w:tcMar>
              <w:top w:w="0" w:type="dxa"/>
              <w:left w:w="45" w:type="dxa"/>
              <w:bottom w:w="0" w:type="dxa"/>
              <w:right w:w="45" w:type="dxa"/>
            </w:tcMar>
            <w:vAlign w:val="center"/>
            <w:hideMark/>
          </w:tcPr>
          <w:p w14:paraId="070A104B" w14:textId="77777777" w:rsidR="009235BB" w:rsidRPr="00AC6105" w:rsidRDefault="009235BB" w:rsidP="00C4523F">
            <w:pPr>
              <w:jc w:val="center"/>
              <w:rPr>
                <w:rFonts w:ascii="Arial" w:eastAsia="Times New Roman" w:hAnsi="Arial" w:cs="Arial"/>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FC4EB" w14:textId="09113F0B" w:rsidR="009235BB" w:rsidRPr="00AC6105" w:rsidRDefault="009235BB" w:rsidP="00C4523F">
            <w:pPr>
              <w:rPr>
                <w:rFonts w:ascii="Arial" w:eastAsia="Times New Roman" w:hAnsi="Arial" w:cs="Arial"/>
                <w:sz w:val="14"/>
                <w:szCs w:val="14"/>
              </w:rPr>
            </w:pPr>
            <w:r>
              <w:rPr>
                <w:rFonts w:ascii="Arial" w:hAnsi="Arial"/>
                <w:sz w:val="14"/>
              </w:rPr>
              <w:t>Prévalence de la GAM selon un PB &lt;210-230 mm (en fonction des pays) parmi les FEFA</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65D243A2" w14:textId="77777777" w:rsidR="009235BB" w:rsidRPr="00AC6105" w:rsidRDefault="009235BB" w:rsidP="00657974">
            <w:pPr>
              <w:jc w:val="center"/>
              <w:rPr>
                <w:rFonts w:ascii="Arial" w:eastAsia="Times New Roman" w:hAnsi="Arial" w:cs="Arial"/>
                <w:i/>
                <w:iCs/>
                <w:sz w:val="14"/>
                <w:szCs w:val="14"/>
              </w:rPr>
            </w:pPr>
            <w:r>
              <w:rPr>
                <w:rFonts w:ascii="Arial" w:hAnsi="Arial"/>
                <w:i/>
                <w:sz w:val="14"/>
              </w:rPr>
              <w:t>Bien-être physique et mental</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E799D01" w14:textId="77777777" w:rsidR="009235BB" w:rsidRPr="00AC6105" w:rsidRDefault="009235BB" w:rsidP="00C4523F">
            <w:pPr>
              <w:jc w:val="center"/>
              <w:rPr>
                <w:rFonts w:ascii="Arial" w:eastAsia="Times New Roman" w:hAnsi="Arial" w:cs="Arial"/>
                <w:sz w:val="14"/>
                <w:szCs w:val="14"/>
              </w:rPr>
            </w:pPr>
            <w:r>
              <w:rPr>
                <w:rFonts w:ascii="Arial" w:hAnsi="Arial"/>
                <w:sz w:val="14"/>
              </w:rPr>
              <w:t>&lt;12,6 %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A891292" w14:textId="77777777" w:rsidR="009235BB" w:rsidRPr="00AC6105" w:rsidRDefault="009235BB" w:rsidP="00C4523F">
            <w:pPr>
              <w:jc w:val="center"/>
              <w:rPr>
                <w:rFonts w:ascii="Arial" w:eastAsia="Times New Roman" w:hAnsi="Arial" w:cs="Arial"/>
                <w:sz w:val="14"/>
                <w:szCs w:val="14"/>
              </w:rPr>
            </w:pPr>
            <w:r>
              <w:rPr>
                <w:rFonts w:ascii="Arial" w:hAnsi="Arial"/>
                <w:sz w:val="14"/>
              </w:rPr>
              <w:t>12,6-19,9 %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79A3165" w14:textId="77777777" w:rsidR="009235BB" w:rsidRPr="00AC6105" w:rsidRDefault="009235BB" w:rsidP="00C4523F">
            <w:pPr>
              <w:jc w:val="center"/>
              <w:rPr>
                <w:rFonts w:ascii="Arial" w:eastAsia="Times New Roman" w:hAnsi="Arial" w:cs="Arial"/>
                <w:sz w:val="14"/>
                <w:szCs w:val="14"/>
              </w:rPr>
            </w:pPr>
            <w:r>
              <w:rPr>
                <w:rFonts w:ascii="Arial" w:hAnsi="Arial"/>
                <w:sz w:val="14"/>
              </w:rPr>
              <w:t>20-24,9 %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165DF09" w14:textId="77777777" w:rsidR="009235BB" w:rsidRPr="00AC6105" w:rsidRDefault="009235BB" w:rsidP="00C4523F">
            <w:pPr>
              <w:jc w:val="center"/>
              <w:rPr>
                <w:rFonts w:ascii="Arial" w:eastAsia="Times New Roman" w:hAnsi="Arial" w:cs="Arial"/>
                <w:sz w:val="14"/>
                <w:szCs w:val="14"/>
              </w:rPr>
            </w:pPr>
            <w:r>
              <w:rPr>
                <w:rFonts w:ascii="Arial" w:hAnsi="Arial"/>
                <w:sz w:val="14"/>
              </w:rPr>
              <w:t>25-34,9 %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A32F6" w14:textId="77777777" w:rsidR="009235BB" w:rsidRPr="00AC6105" w:rsidRDefault="009235BB" w:rsidP="00C4523F">
            <w:pPr>
              <w:jc w:val="center"/>
              <w:rPr>
                <w:rFonts w:ascii="Arial" w:eastAsia="Times New Roman" w:hAnsi="Arial" w:cs="Arial"/>
                <w:sz w:val="14"/>
                <w:szCs w:val="14"/>
              </w:rPr>
            </w:pPr>
            <w:r>
              <w:rPr>
                <w:rFonts w:ascii="Arial" w:hAnsi="Arial"/>
                <w:sz w:val="14"/>
              </w:rPr>
              <w:t>≥35 %</w:t>
            </w:r>
          </w:p>
        </w:tc>
        <w:tc>
          <w:tcPr>
            <w:tcW w:w="4050" w:type="dxa"/>
            <w:tcBorders>
              <w:top w:val="single" w:sz="4" w:space="0" w:color="auto"/>
              <w:left w:val="single" w:sz="4" w:space="0" w:color="auto"/>
              <w:bottom w:val="single" w:sz="4" w:space="0" w:color="auto"/>
              <w:right w:val="single" w:sz="4" w:space="0" w:color="auto"/>
            </w:tcBorders>
            <w:vAlign w:val="center"/>
          </w:tcPr>
          <w:p w14:paraId="59F1E746" w14:textId="6DC15FF5" w:rsidR="009235BB" w:rsidRPr="00984F13" w:rsidRDefault="009235BB" w:rsidP="00C4523F">
            <w:pPr>
              <w:rPr>
                <w:rFonts w:ascii="Arial" w:hAnsi="Arial" w:cs="Arial"/>
                <w:sz w:val="14"/>
                <w:szCs w:val="14"/>
              </w:rPr>
            </w:pPr>
            <w:r w:rsidRPr="00984F13">
              <w:rPr>
                <w:rFonts w:ascii="Arial" w:hAnsi="Arial" w:cs="Arial"/>
                <w:i/>
                <w:color w:val="000000"/>
                <w:sz w:val="14"/>
                <w:szCs w:val="14"/>
              </w:rPr>
              <w:t xml:space="preserve">Seuils préliminaires </w:t>
            </w:r>
            <w:r w:rsidRPr="00984F13">
              <w:rPr>
                <w:rFonts w:ascii="Arial" w:hAnsi="Arial" w:cs="Arial"/>
                <w:color w:val="000000"/>
                <w:sz w:val="14"/>
                <w:szCs w:val="14"/>
              </w:rPr>
              <w:t>basés sur l’Unité d’analyse de la sécurité alimentaire et de la nutrition de la Somalie (FSNAU)</w:t>
            </w:r>
          </w:p>
        </w:tc>
      </w:tr>
      <w:tr w:rsidR="009235BB" w:rsidRPr="00CA2973" w14:paraId="4918904D" w14:textId="77777777" w:rsidTr="00AC6105">
        <w:trPr>
          <w:trHeight w:val="368"/>
        </w:trPr>
        <w:tc>
          <w:tcPr>
            <w:tcW w:w="1080" w:type="dxa"/>
            <w:vMerge/>
            <w:tcBorders>
              <w:left w:val="single" w:sz="4" w:space="0" w:color="auto"/>
              <w:right w:val="single" w:sz="4" w:space="0" w:color="auto"/>
            </w:tcBorders>
            <w:tcMar>
              <w:top w:w="0" w:type="dxa"/>
              <w:left w:w="45" w:type="dxa"/>
              <w:bottom w:w="0" w:type="dxa"/>
              <w:right w:w="45" w:type="dxa"/>
            </w:tcMar>
            <w:vAlign w:val="center"/>
            <w:hideMark/>
          </w:tcPr>
          <w:p w14:paraId="7BD501A1" w14:textId="77777777" w:rsidR="009235BB" w:rsidRPr="00AC6105" w:rsidRDefault="009235BB" w:rsidP="0069046E">
            <w:pPr>
              <w:jc w:val="center"/>
              <w:rPr>
                <w:rFonts w:ascii="Arial" w:eastAsia="Times New Roman" w:hAnsi="Arial" w:cs="Arial"/>
                <w:sz w:val="14"/>
                <w:szCs w:val="14"/>
                <w:lang w:eastAsia="fr-FR"/>
              </w:rPr>
            </w:pPr>
          </w:p>
        </w:tc>
        <w:tc>
          <w:tcPr>
            <w:tcW w:w="3150" w:type="dxa"/>
            <w:tcBorders>
              <w:top w:val="single" w:sz="4" w:space="0" w:color="auto"/>
              <w:left w:val="single" w:sz="4" w:space="0" w:color="auto"/>
              <w:right w:val="single" w:sz="4" w:space="0" w:color="auto"/>
            </w:tcBorders>
            <w:shd w:val="clear" w:color="auto" w:fill="FFFFFF" w:themeFill="background1"/>
            <w:vAlign w:val="center"/>
          </w:tcPr>
          <w:p w14:paraId="326DA2EF" w14:textId="4A8E79A2" w:rsidR="009235BB" w:rsidRPr="00AC6105" w:rsidRDefault="009235BB" w:rsidP="0069046E">
            <w:pPr>
              <w:rPr>
                <w:rFonts w:ascii="Arial" w:eastAsia="Times New Roman" w:hAnsi="Arial" w:cs="Arial"/>
                <w:sz w:val="14"/>
                <w:szCs w:val="14"/>
              </w:rPr>
            </w:pPr>
            <w:r>
              <w:rPr>
                <w:rFonts w:ascii="Arial" w:hAnsi="Arial"/>
                <w:sz w:val="14"/>
              </w:rPr>
              <w:t xml:space="preserve">Prévalence des retards de croissance selon </w:t>
            </w:r>
            <w:r w:rsidR="00984F13">
              <w:rPr>
                <w:rFonts w:ascii="Arial" w:hAnsi="Arial"/>
                <w:sz w:val="14"/>
              </w:rPr>
              <w:t>un</w:t>
            </w:r>
            <w:r>
              <w:rPr>
                <w:rFonts w:ascii="Arial" w:hAnsi="Arial"/>
                <w:sz w:val="14"/>
              </w:rPr>
              <w:t xml:space="preserve"> rapport T/</w:t>
            </w:r>
            <w:r w:rsidR="00984F13">
              <w:rPr>
                <w:rFonts w:ascii="Arial" w:hAnsi="Arial"/>
                <w:sz w:val="14"/>
              </w:rPr>
              <w:t>A</w:t>
            </w:r>
            <w:r w:rsidR="00984F13">
              <w:rPr>
                <w:rFonts w:ascii="Arial" w:eastAsia="Times New Roman" w:hAnsi="Arial" w:cs="Arial"/>
                <w:sz w:val="14"/>
                <w:szCs w:val="14"/>
              </w:rPr>
              <w:t xml:space="preserve"> </w:t>
            </w:r>
            <w:r>
              <w:rPr>
                <w:rFonts w:ascii="Arial" w:hAnsi="Arial"/>
                <w:sz w:val="14"/>
              </w:rPr>
              <w:t>&lt;-2 chez les enfants de moins de 5 ans</w:t>
            </w:r>
          </w:p>
        </w:tc>
        <w:tc>
          <w:tcPr>
            <w:tcW w:w="1170" w:type="dxa"/>
            <w:tcBorders>
              <w:top w:val="single" w:sz="4" w:space="0" w:color="auto"/>
              <w:left w:val="single" w:sz="4" w:space="0" w:color="auto"/>
              <w:right w:val="single" w:sz="4" w:space="0" w:color="auto"/>
            </w:tcBorders>
            <w:vAlign w:val="center"/>
          </w:tcPr>
          <w:p w14:paraId="33106A5D" w14:textId="77777777" w:rsidR="009235BB" w:rsidRPr="00AC6105" w:rsidRDefault="009235BB" w:rsidP="0069046E">
            <w:pPr>
              <w:jc w:val="center"/>
              <w:rPr>
                <w:rFonts w:ascii="Arial" w:eastAsia="Times New Roman" w:hAnsi="Arial" w:cs="Arial"/>
                <w:i/>
                <w:iCs/>
                <w:sz w:val="14"/>
                <w:szCs w:val="14"/>
              </w:rPr>
            </w:pPr>
            <w:r>
              <w:rPr>
                <w:rFonts w:ascii="Arial" w:hAnsi="Arial"/>
                <w:i/>
                <w:sz w:val="14"/>
              </w:rPr>
              <w:t>Conditions de vie</w:t>
            </w:r>
          </w:p>
        </w:tc>
        <w:tc>
          <w:tcPr>
            <w:tcW w:w="135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hideMark/>
          </w:tcPr>
          <w:p w14:paraId="17CD4CD3" w14:textId="77777777" w:rsidR="009235BB" w:rsidRPr="00AC6105" w:rsidRDefault="009235BB" w:rsidP="002F1F66">
            <w:pPr>
              <w:jc w:val="center"/>
              <w:rPr>
                <w:rFonts w:ascii="Arial" w:eastAsia="Times New Roman" w:hAnsi="Arial" w:cs="Arial"/>
                <w:i/>
                <w:iCs/>
                <w:color w:val="FF0000"/>
                <w:sz w:val="14"/>
                <w:szCs w:val="14"/>
              </w:rPr>
            </w:pPr>
            <w:r>
              <w:rPr>
                <w:rFonts w:ascii="Arial" w:hAnsi="Arial"/>
                <w:i/>
                <w:sz w:val="14"/>
              </w:rPr>
              <w:t>Bien-être physique et mental</w:t>
            </w:r>
          </w:p>
        </w:tc>
        <w:tc>
          <w:tcPr>
            <w:tcW w:w="90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hideMark/>
          </w:tcPr>
          <w:p w14:paraId="3A0908BA" w14:textId="77777777" w:rsidR="009235BB" w:rsidRPr="00AC6105" w:rsidRDefault="009235BB" w:rsidP="0069046E">
            <w:pPr>
              <w:jc w:val="center"/>
              <w:rPr>
                <w:rFonts w:ascii="Arial" w:eastAsia="Times New Roman" w:hAnsi="Arial" w:cs="Arial"/>
                <w:sz w:val="14"/>
                <w:szCs w:val="14"/>
              </w:rPr>
            </w:pPr>
            <w:r>
              <w:rPr>
                <w:rFonts w:ascii="Arial" w:hAnsi="Arial"/>
                <w:sz w:val="14"/>
              </w:rPr>
              <w:t>&lt;2,5%</w:t>
            </w:r>
          </w:p>
        </w:tc>
        <w:tc>
          <w:tcPr>
            <w:tcW w:w="90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hideMark/>
          </w:tcPr>
          <w:p w14:paraId="07A0ABC1" w14:textId="77777777" w:rsidR="009235BB" w:rsidRPr="00AC6105" w:rsidRDefault="009235BB" w:rsidP="0069046E">
            <w:pPr>
              <w:jc w:val="center"/>
              <w:rPr>
                <w:rFonts w:ascii="Arial" w:eastAsia="Times New Roman" w:hAnsi="Arial" w:cs="Arial"/>
                <w:color w:val="000000"/>
                <w:sz w:val="14"/>
                <w:szCs w:val="14"/>
              </w:rPr>
            </w:pPr>
            <w:r>
              <w:rPr>
                <w:rFonts w:ascii="Arial" w:hAnsi="Arial"/>
                <w:color w:val="000000"/>
                <w:sz w:val="14"/>
              </w:rPr>
              <w:t>2,5-9,9 %</w:t>
            </w:r>
          </w:p>
        </w:tc>
        <w:tc>
          <w:tcPr>
            <w:tcW w:w="99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hideMark/>
          </w:tcPr>
          <w:p w14:paraId="39E9B8F8" w14:textId="77777777" w:rsidR="009235BB" w:rsidRPr="00AC6105" w:rsidRDefault="009235BB" w:rsidP="0069046E">
            <w:pPr>
              <w:jc w:val="center"/>
              <w:rPr>
                <w:rFonts w:ascii="Arial" w:eastAsia="Times New Roman" w:hAnsi="Arial" w:cs="Arial"/>
                <w:color w:val="000000"/>
                <w:sz w:val="14"/>
                <w:szCs w:val="14"/>
              </w:rPr>
            </w:pPr>
            <w:r>
              <w:rPr>
                <w:rFonts w:ascii="Arial" w:hAnsi="Arial"/>
                <w:color w:val="000000"/>
                <w:sz w:val="14"/>
              </w:rPr>
              <w:t>10-19,9 %</w:t>
            </w:r>
          </w:p>
        </w:tc>
        <w:tc>
          <w:tcPr>
            <w:tcW w:w="90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hideMark/>
          </w:tcPr>
          <w:p w14:paraId="5669E23A" w14:textId="77777777" w:rsidR="009235BB" w:rsidRPr="00AC6105" w:rsidRDefault="009235BB" w:rsidP="0069046E">
            <w:pPr>
              <w:jc w:val="center"/>
              <w:rPr>
                <w:rFonts w:ascii="Arial" w:eastAsia="Times New Roman" w:hAnsi="Arial" w:cs="Arial"/>
                <w:color w:val="FFFFFF" w:themeColor="background1"/>
                <w:sz w:val="14"/>
                <w:szCs w:val="14"/>
              </w:rPr>
            </w:pPr>
            <w:r>
              <w:rPr>
                <w:rFonts w:ascii="Arial" w:hAnsi="Arial"/>
                <w:color w:val="000000"/>
                <w:sz w:val="14"/>
              </w:rPr>
              <w:t>20-29,9 %</w:t>
            </w:r>
          </w:p>
        </w:tc>
        <w:tc>
          <w:tcPr>
            <w:tcW w:w="1440" w:type="dxa"/>
            <w:tcBorders>
              <w:top w:val="single" w:sz="4" w:space="0" w:color="auto"/>
              <w:left w:val="single" w:sz="4" w:space="0" w:color="auto"/>
              <w:right w:val="single" w:sz="4" w:space="0" w:color="auto"/>
            </w:tcBorders>
            <w:shd w:val="clear" w:color="auto" w:fill="auto"/>
            <w:vAlign w:val="center"/>
          </w:tcPr>
          <w:p w14:paraId="3718A6A2" w14:textId="77777777" w:rsidR="009235BB" w:rsidRPr="00AC6105" w:rsidRDefault="009235BB" w:rsidP="0069046E">
            <w:pPr>
              <w:jc w:val="center"/>
              <w:rPr>
                <w:rFonts w:ascii="Arial" w:eastAsia="Times New Roman" w:hAnsi="Arial" w:cs="Arial"/>
                <w:color w:val="FFFFFF" w:themeColor="background1"/>
                <w:sz w:val="14"/>
                <w:szCs w:val="14"/>
              </w:rPr>
            </w:pPr>
            <w:r>
              <w:rPr>
                <w:rFonts w:ascii="Arial" w:hAnsi="Arial"/>
                <w:color w:val="000000"/>
                <w:sz w:val="14"/>
              </w:rPr>
              <w:t>≥30 %</w:t>
            </w:r>
          </w:p>
        </w:tc>
        <w:tc>
          <w:tcPr>
            <w:tcW w:w="4050" w:type="dxa"/>
            <w:tcBorders>
              <w:top w:val="single" w:sz="4" w:space="0" w:color="auto"/>
              <w:left w:val="single" w:sz="4" w:space="0" w:color="auto"/>
              <w:bottom w:val="single" w:sz="4" w:space="0" w:color="auto"/>
              <w:right w:val="single" w:sz="4" w:space="0" w:color="auto"/>
            </w:tcBorders>
            <w:vAlign w:val="center"/>
          </w:tcPr>
          <w:p w14:paraId="47BD6D57" w14:textId="77777777" w:rsidR="009235BB" w:rsidRPr="00984F13" w:rsidRDefault="009235BB" w:rsidP="0069046E">
            <w:pPr>
              <w:rPr>
                <w:rFonts w:ascii="Arial" w:hAnsi="Arial" w:cs="Arial"/>
                <w:color w:val="000000"/>
                <w:sz w:val="14"/>
                <w:szCs w:val="14"/>
                <w:vertAlign w:val="superscript"/>
              </w:rPr>
            </w:pPr>
            <w:r w:rsidRPr="00984F13">
              <w:rPr>
                <w:rFonts w:ascii="Arial" w:hAnsi="Arial" w:cs="Arial"/>
                <w:color w:val="000000"/>
                <w:sz w:val="14"/>
                <w:szCs w:val="14"/>
              </w:rPr>
              <w:t xml:space="preserve">De Onis et al, 2018. </w:t>
            </w:r>
            <w:hyperlink r:id="rId27" w:history="1">
              <w:r w:rsidRPr="00984F13">
                <w:rPr>
                  <w:rStyle w:val="Lienhypertexte"/>
                  <w:rFonts w:ascii="Arial" w:hAnsi="Arial" w:cs="Arial"/>
                  <w:sz w:val="14"/>
                  <w:szCs w:val="14"/>
                </w:rPr>
                <w:t>Prevalence thresholds for wasting, overweight, and stunting in children under 5 years</w:t>
              </w:r>
            </w:hyperlink>
            <w:r w:rsidRPr="00984F13">
              <w:rPr>
                <w:rFonts w:ascii="Arial" w:hAnsi="Arial" w:cs="Arial"/>
                <w:sz w:val="14"/>
                <w:szCs w:val="14"/>
              </w:rPr>
              <w:t xml:space="preserve"> (Seuils de prévalence de l’émaciation, du surpoids et du retard de croissance chez les enfants de moins de 5 ans)</w:t>
            </w:r>
          </w:p>
        </w:tc>
      </w:tr>
      <w:tr w:rsidR="009235BB" w:rsidRPr="00CA2973" w14:paraId="3D20AD2E" w14:textId="77777777" w:rsidTr="00AC6105">
        <w:trPr>
          <w:trHeight w:val="296"/>
        </w:trPr>
        <w:tc>
          <w:tcPr>
            <w:tcW w:w="108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4E64B0D0" w14:textId="77777777" w:rsidR="009235BB" w:rsidRPr="00AC6105" w:rsidRDefault="009235BB" w:rsidP="0069046E">
            <w:pPr>
              <w:jc w:val="center"/>
              <w:rPr>
                <w:rFonts w:ascii="Arial" w:eastAsia="Times New Roman" w:hAnsi="Arial" w:cs="Arial"/>
                <w:b/>
                <w:bCs/>
                <w:sz w:val="14"/>
                <w:szCs w:val="14"/>
              </w:rPr>
            </w:pPr>
            <w:r>
              <w:rPr>
                <w:rFonts w:ascii="Arial" w:hAnsi="Arial"/>
                <w:b/>
                <w:sz w:val="14"/>
              </w:rPr>
              <w:t>(Facteurs contextuels)</w:t>
            </w:r>
          </w:p>
        </w:tc>
        <w:tc>
          <w:tcPr>
            <w:tcW w:w="3150" w:type="dxa"/>
            <w:tcBorders>
              <w:top w:val="single" w:sz="4" w:space="0" w:color="auto"/>
              <w:left w:val="single" w:sz="4" w:space="0" w:color="auto"/>
              <w:right w:val="single" w:sz="4" w:space="0" w:color="auto"/>
            </w:tcBorders>
            <w:shd w:val="clear" w:color="auto" w:fill="FFFFFF" w:themeFill="background1"/>
            <w:vAlign w:val="center"/>
          </w:tcPr>
          <w:p w14:paraId="07E00969" w14:textId="77777777" w:rsidR="009235BB" w:rsidRPr="00AC6105" w:rsidRDefault="009235BB" w:rsidP="0069046E">
            <w:pPr>
              <w:rPr>
                <w:rFonts w:ascii="Arial" w:eastAsia="Times New Roman" w:hAnsi="Arial" w:cs="Arial"/>
                <w:sz w:val="14"/>
                <w:szCs w:val="14"/>
              </w:rPr>
            </w:pPr>
            <w:r>
              <w:rPr>
                <w:rFonts w:ascii="Arial" w:hAnsi="Arial"/>
                <w:sz w:val="14"/>
              </w:rPr>
              <w:t>Prévalence du surpoids selon un rapport P/T &gt;2 chez les enfants de 0 à 59 mois</w:t>
            </w:r>
          </w:p>
        </w:tc>
        <w:tc>
          <w:tcPr>
            <w:tcW w:w="1170" w:type="dxa"/>
            <w:tcBorders>
              <w:top w:val="single" w:sz="4" w:space="0" w:color="auto"/>
              <w:left w:val="single" w:sz="4" w:space="0" w:color="auto"/>
              <w:right w:val="single" w:sz="4" w:space="0" w:color="auto"/>
            </w:tcBorders>
            <w:vAlign w:val="center"/>
          </w:tcPr>
          <w:p w14:paraId="38D5BF90" w14:textId="77777777" w:rsidR="009235BB" w:rsidRPr="00AC6105" w:rsidRDefault="009235BB" w:rsidP="0069046E">
            <w:pPr>
              <w:jc w:val="center"/>
              <w:rPr>
                <w:rFonts w:ascii="Arial" w:eastAsia="Times New Roman" w:hAnsi="Arial" w:cs="Arial"/>
                <w:i/>
                <w:iCs/>
                <w:sz w:val="14"/>
                <w:szCs w:val="14"/>
              </w:rPr>
            </w:pPr>
            <w:r>
              <w:rPr>
                <w:rFonts w:ascii="Arial" w:hAnsi="Arial"/>
                <w:i/>
                <w:sz w:val="14"/>
              </w:rPr>
              <w:t>Conditions de vie</w:t>
            </w:r>
          </w:p>
        </w:tc>
        <w:tc>
          <w:tcPr>
            <w:tcW w:w="135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tcPr>
          <w:p w14:paraId="7B22B68C" w14:textId="77777777" w:rsidR="009235BB" w:rsidRPr="00AC6105" w:rsidRDefault="009235BB" w:rsidP="0069046E">
            <w:pPr>
              <w:jc w:val="center"/>
              <w:rPr>
                <w:rFonts w:ascii="Arial" w:eastAsia="Times New Roman" w:hAnsi="Arial" w:cs="Arial"/>
                <w:i/>
                <w:iCs/>
                <w:sz w:val="14"/>
                <w:szCs w:val="14"/>
              </w:rPr>
            </w:pPr>
            <w:r>
              <w:rPr>
                <w:rFonts w:ascii="Arial" w:hAnsi="Arial"/>
                <w:i/>
                <w:sz w:val="14"/>
              </w:rPr>
              <w:t>Bien-être physique et mental</w:t>
            </w:r>
          </w:p>
        </w:tc>
        <w:tc>
          <w:tcPr>
            <w:tcW w:w="90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tcPr>
          <w:p w14:paraId="7DC224BF" w14:textId="77777777" w:rsidR="009235BB" w:rsidRPr="00AC6105" w:rsidRDefault="009235BB" w:rsidP="0069046E">
            <w:pPr>
              <w:jc w:val="center"/>
              <w:rPr>
                <w:rFonts w:ascii="Arial" w:eastAsia="Times New Roman" w:hAnsi="Arial" w:cs="Arial"/>
                <w:sz w:val="14"/>
                <w:szCs w:val="14"/>
              </w:rPr>
            </w:pPr>
            <w:r>
              <w:rPr>
                <w:rFonts w:ascii="Arial" w:hAnsi="Arial"/>
                <w:sz w:val="14"/>
              </w:rPr>
              <w:t>&lt;2,5%</w:t>
            </w:r>
          </w:p>
        </w:tc>
        <w:tc>
          <w:tcPr>
            <w:tcW w:w="90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tcPr>
          <w:p w14:paraId="1C08B863" w14:textId="77777777" w:rsidR="009235BB" w:rsidRPr="00AC6105" w:rsidRDefault="009235BB" w:rsidP="0069046E">
            <w:pPr>
              <w:jc w:val="center"/>
              <w:rPr>
                <w:rFonts w:ascii="Arial" w:eastAsia="Times New Roman" w:hAnsi="Arial" w:cs="Arial"/>
                <w:sz w:val="14"/>
                <w:szCs w:val="14"/>
              </w:rPr>
            </w:pPr>
            <w:r>
              <w:rPr>
                <w:rFonts w:ascii="Arial" w:hAnsi="Arial"/>
                <w:sz w:val="14"/>
              </w:rPr>
              <w:t>2,5-4,9 %</w:t>
            </w:r>
          </w:p>
        </w:tc>
        <w:tc>
          <w:tcPr>
            <w:tcW w:w="99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tcPr>
          <w:p w14:paraId="15967154" w14:textId="77777777" w:rsidR="009235BB" w:rsidRPr="00AC6105" w:rsidRDefault="009235BB" w:rsidP="0069046E">
            <w:pPr>
              <w:jc w:val="center"/>
              <w:rPr>
                <w:rFonts w:ascii="Arial" w:eastAsia="Times New Roman" w:hAnsi="Arial" w:cs="Arial"/>
                <w:sz w:val="14"/>
                <w:szCs w:val="14"/>
              </w:rPr>
            </w:pPr>
            <w:r>
              <w:rPr>
                <w:rFonts w:ascii="Arial" w:hAnsi="Arial"/>
                <w:sz w:val="14"/>
              </w:rPr>
              <w:t>5-9,9 %</w:t>
            </w:r>
          </w:p>
        </w:tc>
        <w:tc>
          <w:tcPr>
            <w:tcW w:w="90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tcPr>
          <w:p w14:paraId="4786624E" w14:textId="77777777" w:rsidR="009235BB" w:rsidRPr="00AC6105" w:rsidRDefault="009235BB" w:rsidP="0069046E">
            <w:pPr>
              <w:jc w:val="center"/>
              <w:rPr>
                <w:rFonts w:ascii="Arial" w:eastAsia="Times New Roman" w:hAnsi="Arial" w:cs="Arial"/>
                <w:sz w:val="14"/>
                <w:szCs w:val="14"/>
              </w:rPr>
            </w:pPr>
            <w:r>
              <w:rPr>
                <w:rFonts w:ascii="Arial" w:hAnsi="Arial"/>
                <w:sz w:val="14"/>
              </w:rPr>
              <w:t>10-14,9 %</w:t>
            </w:r>
          </w:p>
        </w:tc>
        <w:tc>
          <w:tcPr>
            <w:tcW w:w="1440" w:type="dxa"/>
            <w:tcBorders>
              <w:top w:val="single" w:sz="4" w:space="0" w:color="auto"/>
              <w:left w:val="single" w:sz="4" w:space="0" w:color="auto"/>
              <w:right w:val="single" w:sz="4" w:space="0" w:color="auto"/>
            </w:tcBorders>
            <w:shd w:val="clear" w:color="auto" w:fill="auto"/>
            <w:vAlign w:val="center"/>
          </w:tcPr>
          <w:p w14:paraId="09762C6C" w14:textId="77777777" w:rsidR="009235BB" w:rsidRPr="00AC6105" w:rsidRDefault="009235BB" w:rsidP="0069046E">
            <w:pPr>
              <w:jc w:val="center"/>
              <w:rPr>
                <w:rFonts w:ascii="Arial" w:eastAsia="Times New Roman" w:hAnsi="Arial" w:cs="Arial"/>
                <w:sz w:val="14"/>
                <w:szCs w:val="14"/>
              </w:rPr>
            </w:pPr>
            <w:r>
              <w:rPr>
                <w:rFonts w:ascii="Arial" w:hAnsi="Arial"/>
                <w:sz w:val="14"/>
              </w:rPr>
              <w:t>≥15 %</w:t>
            </w:r>
          </w:p>
        </w:tc>
        <w:tc>
          <w:tcPr>
            <w:tcW w:w="4050" w:type="dxa"/>
            <w:tcBorders>
              <w:top w:val="single" w:sz="4" w:space="0" w:color="auto"/>
              <w:left w:val="single" w:sz="4" w:space="0" w:color="auto"/>
              <w:bottom w:val="single" w:sz="4" w:space="0" w:color="auto"/>
              <w:right w:val="single" w:sz="4" w:space="0" w:color="auto"/>
            </w:tcBorders>
            <w:vAlign w:val="center"/>
          </w:tcPr>
          <w:p w14:paraId="1592D5CC" w14:textId="77777777" w:rsidR="009235BB" w:rsidRPr="00984F13" w:rsidRDefault="009235BB" w:rsidP="0069046E">
            <w:pPr>
              <w:rPr>
                <w:rFonts w:ascii="Arial" w:eastAsia="Times New Roman" w:hAnsi="Arial" w:cs="Arial"/>
                <w:sz w:val="14"/>
                <w:szCs w:val="14"/>
              </w:rPr>
            </w:pPr>
            <w:r w:rsidRPr="00984F13">
              <w:rPr>
                <w:rFonts w:ascii="Arial" w:hAnsi="Arial" w:cs="Arial"/>
                <w:color w:val="000000"/>
                <w:sz w:val="14"/>
                <w:szCs w:val="14"/>
              </w:rPr>
              <w:t xml:space="preserve">De Onis et al, 2018. </w:t>
            </w:r>
            <w:hyperlink r:id="rId28" w:history="1">
              <w:r w:rsidRPr="00984F13">
                <w:rPr>
                  <w:rStyle w:val="Lienhypertexte"/>
                  <w:rFonts w:ascii="Arial" w:hAnsi="Arial" w:cs="Arial"/>
                  <w:sz w:val="14"/>
                  <w:szCs w:val="14"/>
                </w:rPr>
                <w:t>Prevalence thresholds for wasting, overweight, and stunting in children under 5 years</w:t>
              </w:r>
            </w:hyperlink>
            <w:r w:rsidRPr="00984F13">
              <w:rPr>
                <w:rFonts w:ascii="Arial" w:hAnsi="Arial" w:cs="Arial"/>
                <w:sz w:val="14"/>
                <w:szCs w:val="14"/>
              </w:rPr>
              <w:t xml:space="preserve"> (Seuils de prévalence de l’émaciation, du surpoids et du retard de croissance chez les enfants de moins de 5 ans)</w:t>
            </w:r>
          </w:p>
        </w:tc>
      </w:tr>
      <w:tr w:rsidR="009235BB" w:rsidRPr="00CA2973" w14:paraId="7CC0DF2E" w14:textId="77777777" w:rsidTr="00AC6105">
        <w:trPr>
          <w:trHeight w:val="323"/>
        </w:trPr>
        <w:tc>
          <w:tcPr>
            <w:tcW w:w="1080" w:type="dxa"/>
            <w:vMerge/>
            <w:tcBorders>
              <w:left w:val="single" w:sz="4" w:space="0" w:color="auto"/>
              <w:right w:val="single" w:sz="4" w:space="0" w:color="auto"/>
            </w:tcBorders>
            <w:tcMar>
              <w:top w:w="0" w:type="dxa"/>
              <w:left w:w="45" w:type="dxa"/>
              <w:bottom w:w="0" w:type="dxa"/>
              <w:right w:w="45" w:type="dxa"/>
            </w:tcMar>
            <w:vAlign w:val="center"/>
          </w:tcPr>
          <w:p w14:paraId="29A08EC9" w14:textId="77777777" w:rsidR="009235BB" w:rsidRPr="00AC6105" w:rsidRDefault="009235BB" w:rsidP="0069046E">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27D07" w14:textId="77777777" w:rsidR="009235BB" w:rsidRPr="00AC6105" w:rsidRDefault="009235BB" w:rsidP="0069046E">
            <w:pPr>
              <w:rPr>
                <w:rFonts w:ascii="Arial" w:eastAsia="Times New Roman" w:hAnsi="Arial" w:cs="Arial"/>
                <w:sz w:val="14"/>
                <w:szCs w:val="14"/>
              </w:rPr>
            </w:pPr>
            <w:r>
              <w:rPr>
                <w:rFonts w:ascii="Arial" w:hAnsi="Arial"/>
                <w:sz w:val="14"/>
              </w:rPr>
              <w:t>Prévalence de la MAG selon un rapport IMC/âge &lt;2 chez les adolescents</w:t>
            </w:r>
            <w:r w:rsidRPr="00AC6105">
              <w:rPr>
                <w:rStyle w:val="Appelnotedebasdep"/>
                <w:rFonts w:ascii="Arial" w:eastAsia="Times New Roman" w:hAnsi="Arial" w:cs="Arial"/>
                <w:sz w:val="14"/>
                <w:szCs w:val="14"/>
                <w:lang w:eastAsia="fr-FR"/>
              </w:rPr>
              <w:footnoteReference w:id="5"/>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01D33E61" w14:textId="77777777" w:rsidR="009235BB" w:rsidRPr="00AC6105" w:rsidRDefault="009235BB" w:rsidP="002F1F66">
            <w:pPr>
              <w:jc w:val="center"/>
              <w:rPr>
                <w:rFonts w:ascii="Arial" w:eastAsia="Times New Roman" w:hAnsi="Arial" w:cs="Arial"/>
                <w:i/>
                <w:iCs/>
                <w:sz w:val="14"/>
                <w:szCs w:val="14"/>
              </w:rPr>
            </w:pPr>
            <w:r>
              <w:rPr>
                <w:rFonts w:ascii="Arial" w:hAnsi="Arial"/>
                <w:i/>
                <w:sz w:val="14"/>
              </w:rPr>
              <w:t>Bien-être physique et mental</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00CB1A2" w14:textId="77777777" w:rsidR="009235BB" w:rsidRPr="00AC6105" w:rsidRDefault="009235BB" w:rsidP="0069046E">
            <w:pPr>
              <w:jc w:val="center"/>
              <w:rPr>
                <w:rFonts w:ascii="Arial" w:eastAsia="Times New Roman" w:hAnsi="Arial" w:cs="Arial"/>
                <w:sz w:val="14"/>
                <w:szCs w:val="14"/>
              </w:rPr>
            </w:pPr>
            <w:r>
              <w:rPr>
                <w:rFonts w:ascii="Arial" w:hAnsi="Arial"/>
                <w:sz w:val="14"/>
              </w:rPr>
              <w:t>&lt;2,5%</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20755A5" w14:textId="77777777" w:rsidR="009235BB" w:rsidRPr="00AC6105" w:rsidRDefault="009235BB" w:rsidP="0069046E">
            <w:pPr>
              <w:jc w:val="center"/>
              <w:rPr>
                <w:rFonts w:ascii="Arial" w:eastAsia="Times New Roman" w:hAnsi="Arial" w:cs="Arial"/>
                <w:sz w:val="14"/>
                <w:szCs w:val="14"/>
              </w:rPr>
            </w:pPr>
            <w:r>
              <w:rPr>
                <w:rFonts w:ascii="Arial" w:hAnsi="Arial"/>
                <w:sz w:val="14"/>
              </w:rPr>
              <w:t>2,5-4,9 %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E6D517E" w14:textId="77777777" w:rsidR="009235BB" w:rsidRPr="00AC6105" w:rsidRDefault="009235BB" w:rsidP="0069046E">
            <w:pPr>
              <w:jc w:val="center"/>
              <w:rPr>
                <w:rFonts w:ascii="Arial" w:eastAsia="Times New Roman" w:hAnsi="Arial" w:cs="Arial"/>
                <w:sz w:val="14"/>
                <w:szCs w:val="14"/>
              </w:rPr>
            </w:pPr>
            <w:r>
              <w:rPr>
                <w:rFonts w:ascii="Arial" w:hAnsi="Arial"/>
                <w:sz w:val="14"/>
              </w:rPr>
              <w:t>5-9,9 %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2DC0B3E" w14:textId="77777777" w:rsidR="009235BB" w:rsidRPr="00AC6105" w:rsidRDefault="009235BB" w:rsidP="0069046E">
            <w:pPr>
              <w:jc w:val="center"/>
              <w:rPr>
                <w:rFonts w:ascii="Arial" w:eastAsia="Times New Roman" w:hAnsi="Arial" w:cs="Arial"/>
                <w:sz w:val="14"/>
                <w:szCs w:val="14"/>
              </w:rPr>
            </w:pPr>
            <w:r>
              <w:rPr>
                <w:rFonts w:ascii="Arial" w:hAnsi="Arial"/>
                <w:sz w:val="14"/>
              </w:rPr>
              <w:t>10-14,9 %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A81368" w14:textId="77777777" w:rsidR="009235BB" w:rsidRPr="00AC6105" w:rsidRDefault="009235BB" w:rsidP="0069046E">
            <w:pPr>
              <w:jc w:val="center"/>
              <w:rPr>
                <w:rFonts w:ascii="Arial" w:eastAsia="Times New Roman" w:hAnsi="Arial" w:cs="Arial"/>
                <w:sz w:val="14"/>
                <w:szCs w:val="14"/>
              </w:rPr>
            </w:pPr>
            <w:r>
              <w:rPr>
                <w:rFonts w:ascii="Arial" w:hAnsi="Arial"/>
                <w:sz w:val="14"/>
              </w:rPr>
              <w:t>≥15 %</w:t>
            </w:r>
          </w:p>
        </w:tc>
        <w:tc>
          <w:tcPr>
            <w:tcW w:w="4050" w:type="dxa"/>
            <w:tcBorders>
              <w:top w:val="single" w:sz="4" w:space="0" w:color="auto"/>
              <w:left w:val="single" w:sz="4" w:space="0" w:color="auto"/>
              <w:bottom w:val="single" w:sz="4" w:space="0" w:color="auto"/>
              <w:right w:val="single" w:sz="4" w:space="0" w:color="auto"/>
            </w:tcBorders>
            <w:vAlign w:val="center"/>
          </w:tcPr>
          <w:p w14:paraId="30FD3401" w14:textId="77777777" w:rsidR="009235BB" w:rsidRPr="00984F13" w:rsidRDefault="009235BB" w:rsidP="0069046E">
            <w:pPr>
              <w:rPr>
                <w:rFonts w:ascii="Arial" w:eastAsia="Times New Roman" w:hAnsi="Arial" w:cs="Arial"/>
                <w:sz w:val="14"/>
                <w:szCs w:val="14"/>
              </w:rPr>
            </w:pPr>
            <w:r w:rsidRPr="00984F13">
              <w:rPr>
                <w:rFonts w:ascii="Arial" w:hAnsi="Arial" w:cs="Arial"/>
                <w:i/>
                <w:sz w:val="14"/>
                <w:szCs w:val="14"/>
              </w:rPr>
              <w:t xml:space="preserve">Seuils préliminaires </w:t>
            </w:r>
            <w:r w:rsidRPr="00984F13">
              <w:rPr>
                <w:rFonts w:ascii="Arial" w:hAnsi="Arial" w:cs="Arial"/>
                <w:sz w:val="14"/>
                <w:szCs w:val="14"/>
              </w:rPr>
              <w:t>proposés par le groupe de travail et les membres du GTT SIN</w:t>
            </w:r>
          </w:p>
        </w:tc>
      </w:tr>
      <w:tr w:rsidR="009235BB" w:rsidRPr="00CA2973" w14:paraId="040F2F17" w14:textId="77777777" w:rsidTr="00AC6105">
        <w:trPr>
          <w:trHeight w:val="314"/>
        </w:trPr>
        <w:tc>
          <w:tcPr>
            <w:tcW w:w="1080" w:type="dxa"/>
            <w:vMerge/>
            <w:tcBorders>
              <w:left w:val="single" w:sz="4" w:space="0" w:color="auto"/>
              <w:bottom w:val="nil"/>
              <w:right w:val="single" w:sz="4" w:space="0" w:color="auto"/>
            </w:tcBorders>
            <w:tcMar>
              <w:top w:w="0" w:type="dxa"/>
              <w:left w:w="45" w:type="dxa"/>
              <w:bottom w:w="0" w:type="dxa"/>
              <w:right w:w="45" w:type="dxa"/>
            </w:tcMar>
            <w:vAlign w:val="center"/>
          </w:tcPr>
          <w:p w14:paraId="0E3ED93B" w14:textId="77777777" w:rsidR="009235BB" w:rsidRPr="00AC6105" w:rsidRDefault="009235BB" w:rsidP="0069046E">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nil"/>
              <w:right w:val="single" w:sz="4" w:space="0" w:color="auto"/>
            </w:tcBorders>
            <w:shd w:val="clear" w:color="auto" w:fill="FFFFFF" w:themeFill="background1"/>
            <w:vAlign w:val="center"/>
          </w:tcPr>
          <w:p w14:paraId="1C20671B" w14:textId="77777777" w:rsidR="009235BB" w:rsidRPr="00AC6105" w:rsidRDefault="009235BB" w:rsidP="0069046E">
            <w:pPr>
              <w:rPr>
                <w:rFonts w:ascii="Arial" w:eastAsia="Times New Roman" w:hAnsi="Arial" w:cs="Arial"/>
                <w:sz w:val="14"/>
                <w:szCs w:val="14"/>
              </w:rPr>
            </w:pPr>
            <w:r>
              <w:rPr>
                <w:rFonts w:ascii="Arial" w:hAnsi="Arial"/>
                <w:sz w:val="14"/>
              </w:rPr>
              <w:t>Prévalence de la MAG selon un PB &lt;210 mm chez les personnes âgées</w:t>
            </w:r>
          </w:p>
        </w:tc>
        <w:tc>
          <w:tcPr>
            <w:tcW w:w="2520" w:type="dxa"/>
            <w:gridSpan w:val="2"/>
            <w:tcBorders>
              <w:top w:val="single" w:sz="4" w:space="0" w:color="auto"/>
              <w:left w:val="single" w:sz="4" w:space="0" w:color="auto"/>
              <w:bottom w:val="nil"/>
              <w:right w:val="single" w:sz="4" w:space="0" w:color="auto"/>
            </w:tcBorders>
            <w:vAlign w:val="center"/>
          </w:tcPr>
          <w:p w14:paraId="222032E7" w14:textId="77777777" w:rsidR="009235BB" w:rsidRPr="00AC6105" w:rsidRDefault="009235BB" w:rsidP="002F1F66">
            <w:pPr>
              <w:jc w:val="center"/>
              <w:rPr>
                <w:rFonts w:ascii="Arial" w:eastAsia="Times New Roman" w:hAnsi="Arial" w:cs="Arial"/>
                <w:i/>
                <w:iCs/>
                <w:sz w:val="14"/>
                <w:szCs w:val="14"/>
              </w:rPr>
            </w:pPr>
            <w:r>
              <w:rPr>
                <w:rFonts w:ascii="Arial" w:hAnsi="Arial"/>
                <w:i/>
                <w:sz w:val="14"/>
              </w:rPr>
              <w:t>Bien-être physique et mental</w:t>
            </w:r>
          </w:p>
        </w:tc>
        <w:tc>
          <w:tcPr>
            <w:tcW w:w="900" w:type="dxa"/>
            <w:tcBorders>
              <w:top w:val="single" w:sz="4" w:space="0" w:color="auto"/>
              <w:left w:val="single" w:sz="4" w:space="0" w:color="auto"/>
              <w:bottom w:val="nil"/>
              <w:right w:val="single" w:sz="4" w:space="0" w:color="auto"/>
            </w:tcBorders>
            <w:shd w:val="clear" w:color="auto" w:fill="auto"/>
            <w:tcMar>
              <w:top w:w="0" w:type="dxa"/>
              <w:left w:w="45" w:type="dxa"/>
              <w:bottom w:w="0" w:type="dxa"/>
              <w:right w:w="45" w:type="dxa"/>
            </w:tcMar>
            <w:vAlign w:val="center"/>
          </w:tcPr>
          <w:p w14:paraId="484D9552" w14:textId="77777777" w:rsidR="009235BB" w:rsidRPr="00AC6105" w:rsidRDefault="009235BB" w:rsidP="0069046E">
            <w:pPr>
              <w:jc w:val="center"/>
              <w:rPr>
                <w:rFonts w:ascii="Arial" w:eastAsia="Times New Roman" w:hAnsi="Arial" w:cs="Arial"/>
                <w:sz w:val="14"/>
                <w:szCs w:val="14"/>
              </w:rPr>
            </w:pPr>
            <w:r>
              <w:rPr>
                <w:rFonts w:ascii="Arial" w:hAnsi="Arial"/>
                <w:sz w:val="14"/>
              </w:rPr>
              <w:t>&lt;5%</w:t>
            </w:r>
          </w:p>
        </w:tc>
        <w:tc>
          <w:tcPr>
            <w:tcW w:w="900" w:type="dxa"/>
            <w:tcBorders>
              <w:top w:val="single" w:sz="4" w:space="0" w:color="auto"/>
              <w:left w:val="single" w:sz="4" w:space="0" w:color="auto"/>
              <w:bottom w:val="nil"/>
              <w:right w:val="single" w:sz="4" w:space="0" w:color="auto"/>
            </w:tcBorders>
            <w:shd w:val="clear" w:color="auto" w:fill="auto"/>
            <w:tcMar>
              <w:top w:w="0" w:type="dxa"/>
              <w:left w:w="45" w:type="dxa"/>
              <w:bottom w:w="0" w:type="dxa"/>
              <w:right w:w="45" w:type="dxa"/>
            </w:tcMar>
            <w:vAlign w:val="center"/>
          </w:tcPr>
          <w:p w14:paraId="6366369D" w14:textId="77777777" w:rsidR="009235BB" w:rsidRPr="00AC6105" w:rsidRDefault="009235BB" w:rsidP="0069046E">
            <w:pPr>
              <w:jc w:val="center"/>
              <w:rPr>
                <w:rFonts w:ascii="Arial" w:eastAsia="Times New Roman" w:hAnsi="Arial" w:cs="Arial"/>
                <w:sz w:val="14"/>
                <w:szCs w:val="14"/>
              </w:rPr>
            </w:pPr>
            <w:r>
              <w:rPr>
                <w:rFonts w:ascii="Arial" w:hAnsi="Arial"/>
                <w:sz w:val="14"/>
              </w:rPr>
              <w:t>5-9,9 %</w:t>
            </w:r>
          </w:p>
        </w:tc>
        <w:tc>
          <w:tcPr>
            <w:tcW w:w="990" w:type="dxa"/>
            <w:tcBorders>
              <w:top w:val="single" w:sz="4" w:space="0" w:color="auto"/>
              <w:left w:val="single" w:sz="4" w:space="0" w:color="auto"/>
              <w:bottom w:val="nil"/>
              <w:right w:val="single" w:sz="4" w:space="0" w:color="auto"/>
            </w:tcBorders>
            <w:shd w:val="clear" w:color="auto" w:fill="auto"/>
            <w:tcMar>
              <w:top w:w="0" w:type="dxa"/>
              <w:left w:w="45" w:type="dxa"/>
              <w:bottom w:w="0" w:type="dxa"/>
              <w:right w:w="45" w:type="dxa"/>
            </w:tcMar>
            <w:vAlign w:val="center"/>
          </w:tcPr>
          <w:p w14:paraId="634A1E58" w14:textId="77777777" w:rsidR="009235BB" w:rsidRPr="00AC6105" w:rsidRDefault="009235BB" w:rsidP="002F1F66">
            <w:pPr>
              <w:jc w:val="center"/>
              <w:rPr>
                <w:rFonts w:ascii="Arial" w:eastAsia="Times New Roman" w:hAnsi="Arial" w:cs="Arial"/>
                <w:i/>
                <w:iCs/>
                <w:sz w:val="14"/>
                <w:szCs w:val="14"/>
              </w:rPr>
            </w:pPr>
            <w:r>
              <w:rPr>
                <w:rFonts w:ascii="Arial" w:hAnsi="Arial"/>
                <w:sz w:val="14"/>
              </w:rPr>
              <w:t xml:space="preserve">10-14,9 % </w:t>
            </w:r>
            <w:proofErr w:type="gramStart"/>
            <w:r>
              <w:rPr>
                <w:rFonts w:ascii="Arial" w:hAnsi="Arial"/>
                <w:sz w:val="14"/>
              </w:rPr>
              <w:t>ou</w:t>
            </w:r>
            <w:proofErr w:type="gramEnd"/>
            <w:r>
              <w:rPr>
                <w:rFonts w:ascii="Arial" w:hAnsi="Arial"/>
                <w:i/>
                <w:sz w:val="14"/>
              </w:rPr>
              <w:t xml:space="preserve"> </w:t>
            </w:r>
          </w:p>
          <w:p w14:paraId="2D7AF2BB" w14:textId="77777777" w:rsidR="009235BB" w:rsidRPr="00AC6105" w:rsidRDefault="009235BB" w:rsidP="002F1F66">
            <w:pPr>
              <w:jc w:val="center"/>
              <w:rPr>
                <w:rFonts w:ascii="Arial" w:eastAsia="Times New Roman" w:hAnsi="Arial" w:cs="Arial"/>
                <w:sz w:val="14"/>
                <w:szCs w:val="14"/>
              </w:rPr>
            </w:pPr>
            <w:r>
              <w:rPr>
                <w:rFonts w:ascii="Arial" w:hAnsi="Arial"/>
                <w:color w:val="000000"/>
                <w:sz w:val="14"/>
              </w:rPr>
              <w:t>5-9,9 %</w:t>
            </w:r>
            <w:r w:rsidRPr="00AC6105">
              <w:rPr>
                <w:rStyle w:val="Appelnotedebasdep"/>
                <w:rFonts w:ascii="Arial" w:hAnsi="Arial" w:cs="Arial"/>
                <w:color w:val="000000"/>
                <w:sz w:val="14"/>
                <w:szCs w:val="14"/>
              </w:rPr>
              <w:footnoteReference w:id="6"/>
            </w:r>
          </w:p>
        </w:tc>
        <w:tc>
          <w:tcPr>
            <w:tcW w:w="2340" w:type="dxa"/>
            <w:gridSpan w:val="2"/>
            <w:tcBorders>
              <w:top w:val="single" w:sz="4" w:space="0" w:color="auto"/>
              <w:left w:val="single" w:sz="4" w:space="0" w:color="auto"/>
              <w:bottom w:val="nil"/>
              <w:right w:val="single" w:sz="4" w:space="0" w:color="auto"/>
            </w:tcBorders>
            <w:shd w:val="clear" w:color="auto" w:fill="auto"/>
            <w:tcMar>
              <w:top w:w="0" w:type="dxa"/>
              <w:left w:w="45" w:type="dxa"/>
              <w:bottom w:w="0" w:type="dxa"/>
              <w:right w:w="45" w:type="dxa"/>
            </w:tcMar>
            <w:vAlign w:val="center"/>
          </w:tcPr>
          <w:p w14:paraId="60BEC4D3" w14:textId="77777777" w:rsidR="009235BB" w:rsidRPr="00AC6105" w:rsidRDefault="009235BB" w:rsidP="0069046E">
            <w:pPr>
              <w:jc w:val="center"/>
              <w:rPr>
                <w:rFonts w:ascii="Arial" w:eastAsia="Times New Roman" w:hAnsi="Arial" w:cs="Arial"/>
                <w:sz w:val="14"/>
                <w:szCs w:val="14"/>
              </w:rPr>
            </w:pPr>
            <w:r>
              <w:rPr>
                <w:rFonts w:ascii="Arial" w:hAnsi="Arial"/>
                <w:sz w:val="14"/>
              </w:rPr>
              <w:t xml:space="preserve">≥15 % </w:t>
            </w:r>
          </w:p>
          <w:p w14:paraId="1191CB24" w14:textId="77777777" w:rsidR="009235BB" w:rsidRPr="00AC6105" w:rsidRDefault="009235BB" w:rsidP="0069046E">
            <w:pPr>
              <w:jc w:val="center"/>
              <w:rPr>
                <w:rFonts w:ascii="Arial" w:eastAsia="Times New Roman" w:hAnsi="Arial" w:cs="Arial"/>
                <w:sz w:val="14"/>
                <w:szCs w:val="14"/>
              </w:rPr>
            </w:pPr>
            <w:proofErr w:type="gramStart"/>
            <w:r>
              <w:rPr>
                <w:rFonts w:ascii="Arial" w:hAnsi="Arial"/>
                <w:i/>
                <w:sz w:val="14"/>
              </w:rPr>
              <w:t>ou</w:t>
            </w:r>
            <w:proofErr w:type="gramEnd"/>
            <w:r>
              <w:rPr>
                <w:rFonts w:ascii="Arial" w:hAnsi="Arial"/>
                <w:i/>
                <w:sz w:val="14"/>
              </w:rPr>
              <w:t xml:space="preserve"> </w:t>
            </w:r>
            <w:r>
              <w:rPr>
                <w:rFonts w:ascii="Arial" w:hAnsi="Arial"/>
                <w:color w:val="000000"/>
                <w:sz w:val="14"/>
              </w:rPr>
              <w:t>10 %-14,9 %</w:t>
            </w:r>
            <w:r>
              <w:rPr>
                <w:rFonts w:ascii="Arial" w:hAnsi="Arial"/>
                <w:color w:val="000000"/>
                <w:sz w:val="14"/>
                <w:vertAlign w:val="superscript"/>
              </w:rPr>
              <w:t>Ibid</w:t>
            </w:r>
          </w:p>
        </w:tc>
        <w:tc>
          <w:tcPr>
            <w:tcW w:w="4050" w:type="dxa"/>
            <w:tcBorders>
              <w:top w:val="single" w:sz="4" w:space="0" w:color="auto"/>
              <w:left w:val="single" w:sz="4" w:space="0" w:color="auto"/>
              <w:bottom w:val="single" w:sz="4" w:space="0" w:color="auto"/>
              <w:right w:val="single" w:sz="4" w:space="0" w:color="auto"/>
            </w:tcBorders>
            <w:vAlign w:val="center"/>
          </w:tcPr>
          <w:p w14:paraId="212ADA8E" w14:textId="5FE38A73" w:rsidR="009235BB" w:rsidRPr="00984F13" w:rsidRDefault="009235BB" w:rsidP="0069046E">
            <w:pPr>
              <w:rPr>
                <w:rFonts w:ascii="Arial" w:eastAsia="Times New Roman" w:hAnsi="Arial" w:cs="Arial"/>
                <w:sz w:val="14"/>
                <w:szCs w:val="14"/>
              </w:rPr>
            </w:pPr>
            <w:r w:rsidRPr="00984F13">
              <w:rPr>
                <w:rFonts w:ascii="Arial" w:hAnsi="Arial" w:cs="Arial"/>
                <w:color w:val="000000"/>
                <w:sz w:val="14"/>
                <w:szCs w:val="14"/>
              </w:rPr>
              <w:t xml:space="preserve">HelpAge, 2013. </w:t>
            </w:r>
            <w:r w:rsidR="00577DB0">
              <w:rPr>
                <w:rFonts w:ascii="Arial" w:hAnsi="Arial" w:cs="Arial"/>
                <w:color w:val="000000"/>
                <w:sz w:val="14"/>
                <w:szCs w:val="14"/>
              </w:rPr>
              <w:t>‘</w:t>
            </w:r>
            <w:hyperlink r:id="rId29" w:history="1">
              <w:r w:rsidRPr="00984F13">
                <w:rPr>
                  <w:rStyle w:val="Lienhypertexte"/>
                  <w:rFonts w:ascii="Arial" w:hAnsi="Arial" w:cs="Arial"/>
                  <w:sz w:val="14"/>
                  <w:szCs w:val="14"/>
                </w:rPr>
                <w:t>Nutrition Interventions for Older People in Emergencies’</w:t>
              </w:r>
            </w:hyperlink>
            <w:r w:rsidRPr="00984F13">
              <w:rPr>
                <w:rFonts w:ascii="Arial" w:hAnsi="Arial" w:cs="Arial"/>
                <w:sz w:val="14"/>
                <w:szCs w:val="14"/>
              </w:rPr>
              <w:t xml:space="preserve"> (Interventions nutritionnelles pour les personnes âgées en situation d’urgence).</w:t>
            </w:r>
          </w:p>
        </w:tc>
      </w:tr>
      <w:tr w:rsidR="009235BB" w:rsidRPr="00CA2973" w14:paraId="356F9FD9" w14:textId="77777777" w:rsidTr="00AC6105">
        <w:trPr>
          <w:trHeight w:val="323"/>
        </w:trPr>
        <w:tc>
          <w:tcPr>
            <w:tcW w:w="1080" w:type="dxa"/>
            <w:vMerge/>
            <w:tcBorders>
              <w:left w:val="single" w:sz="4" w:space="0" w:color="auto"/>
              <w:right w:val="single" w:sz="4" w:space="0" w:color="auto"/>
            </w:tcBorders>
            <w:tcMar>
              <w:top w:w="0" w:type="dxa"/>
              <w:left w:w="45" w:type="dxa"/>
              <w:bottom w:w="0" w:type="dxa"/>
              <w:right w:w="45" w:type="dxa"/>
            </w:tcMar>
            <w:vAlign w:val="center"/>
          </w:tcPr>
          <w:p w14:paraId="558E2CFE" w14:textId="77777777" w:rsidR="009235BB" w:rsidRPr="00AC6105" w:rsidRDefault="009235BB" w:rsidP="002F1F66">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E97C" w14:textId="77777777" w:rsidR="009235BB" w:rsidRPr="00AC6105" w:rsidRDefault="009235BB" w:rsidP="002F1F66">
            <w:pPr>
              <w:rPr>
                <w:rFonts w:ascii="Arial" w:eastAsia="Times New Roman" w:hAnsi="Arial" w:cs="Arial"/>
                <w:sz w:val="14"/>
                <w:szCs w:val="14"/>
              </w:rPr>
            </w:pPr>
            <w:r>
              <w:rPr>
                <w:rFonts w:ascii="Arial" w:hAnsi="Arial"/>
                <w:sz w:val="14"/>
              </w:rPr>
              <w:t>Prévalence de l’anémie (Hb &lt;11 g/dl) chez les femmes enceintes</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02EA1264" w14:textId="77777777" w:rsidR="009235BB" w:rsidRPr="00AC6105" w:rsidRDefault="009235BB" w:rsidP="002F1F66">
            <w:pPr>
              <w:jc w:val="center"/>
              <w:rPr>
                <w:rFonts w:ascii="Arial" w:eastAsia="Times New Roman" w:hAnsi="Arial" w:cs="Arial"/>
                <w:i/>
                <w:iCs/>
                <w:sz w:val="14"/>
                <w:szCs w:val="14"/>
              </w:rPr>
            </w:pPr>
            <w:r>
              <w:rPr>
                <w:rFonts w:ascii="Arial" w:hAnsi="Arial"/>
                <w:i/>
                <w:sz w:val="14"/>
              </w:rPr>
              <w:t>Bien-être physique et mental</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8D03FB9" w14:textId="77777777" w:rsidR="009235BB" w:rsidRPr="00AC6105" w:rsidRDefault="009235BB" w:rsidP="002F1F66">
            <w:pPr>
              <w:jc w:val="center"/>
              <w:rPr>
                <w:rFonts w:ascii="Arial" w:eastAsia="Times New Roman" w:hAnsi="Arial" w:cs="Arial"/>
                <w:sz w:val="14"/>
                <w:szCs w:val="14"/>
              </w:rPr>
            </w:pPr>
            <w:r>
              <w:rPr>
                <w:rFonts w:ascii="Arial" w:hAnsi="Arial"/>
                <w:sz w:val="14"/>
              </w:rPr>
              <w:t>&lt;5%</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8297B4C" w14:textId="77777777" w:rsidR="009235BB" w:rsidRPr="00AC6105" w:rsidRDefault="009235BB" w:rsidP="002F1F66">
            <w:pPr>
              <w:jc w:val="center"/>
              <w:rPr>
                <w:rFonts w:ascii="Arial" w:eastAsia="Times New Roman" w:hAnsi="Arial" w:cs="Arial"/>
                <w:sz w:val="14"/>
                <w:szCs w:val="14"/>
              </w:rPr>
            </w:pPr>
            <w:r>
              <w:rPr>
                <w:rFonts w:ascii="Arial" w:hAnsi="Arial"/>
                <w:sz w:val="14"/>
              </w:rPr>
              <w:t>5-19,9 %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A6BC9FC" w14:textId="77777777" w:rsidR="009235BB" w:rsidRPr="00AC6105" w:rsidRDefault="009235BB" w:rsidP="002F1F66">
            <w:pPr>
              <w:jc w:val="center"/>
              <w:rPr>
                <w:rFonts w:ascii="Arial" w:eastAsia="Times New Roman" w:hAnsi="Arial" w:cs="Arial"/>
                <w:sz w:val="14"/>
                <w:szCs w:val="14"/>
              </w:rPr>
            </w:pPr>
            <w:r>
              <w:rPr>
                <w:rFonts w:ascii="Arial" w:hAnsi="Arial"/>
                <w:sz w:val="14"/>
              </w:rPr>
              <w:t>20-39,9 %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43084F0" w14:textId="77777777" w:rsidR="009235BB" w:rsidRPr="00AC6105" w:rsidRDefault="009235BB" w:rsidP="002F1F66">
            <w:pPr>
              <w:jc w:val="center"/>
              <w:rPr>
                <w:rFonts w:ascii="Arial" w:eastAsia="Times New Roman" w:hAnsi="Arial" w:cs="Arial"/>
                <w:sz w:val="14"/>
                <w:szCs w:val="14"/>
              </w:rPr>
            </w:pPr>
            <w:r>
              <w:rPr>
                <w:rFonts w:ascii="Arial" w:hAnsi="Arial"/>
                <w:sz w:val="14"/>
              </w:rPr>
              <w:t>≥40 %</w:t>
            </w:r>
          </w:p>
        </w:tc>
        <w:tc>
          <w:tcPr>
            <w:tcW w:w="4050" w:type="dxa"/>
            <w:vMerge w:val="restart"/>
            <w:tcBorders>
              <w:top w:val="single" w:sz="4" w:space="0" w:color="auto"/>
              <w:left w:val="single" w:sz="4" w:space="0" w:color="auto"/>
              <w:bottom w:val="single" w:sz="4" w:space="0" w:color="auto"/>
              <w:right w:val="single" w:sz="4" w:space="0" w:color="auto"/>
            </w:tcBorders>
            <w:vAlign w:val="center"/>
          </w:tcPr>
          <w:p w14:paraId="3468D476" w14:textId="77777777" w:rsidR="009235BB" w:rsidRPr="00AC6105" w:rsidRDefault="009235BB" w:rsidP="002F1F66">
            <w:pPr>
              <w:rPr>
                <w:rStyle w:val="Lienhypertexte"/>
                <w:rFonts w:ascii="Arial" w:hAnsi="Arial" w:cs="Arial"/>
                <w:sz w:val="14"/>
                <w:szCs w:val="14"/>
              </w:rPr>
            </w:pPr>
            <w:r>
              <w:rPr>
                <w:rFonts w:ascii="Arial" w:hAnsi="Arial"/>
                <w:sz w:val="14"/>
              </w:rPr>
              <w:t xml:space="preserve">OMS, 2011. </w:t>
            </w:r>
            <w:r w:rsidRPr="00AC6105">
              <w:rPr>
                <w:rFonts w:ascii="Arial" w:hAnsi="Arial" w:cs="Arial"/>
                <w:sz w:val="14"/>
              </w:rPr>
              <w:fldChar w:fldCharType="begin"/>
            </w:r>
            <w:r w:rsidRPr="00AC6105">
              <w:rPr>
                <w:rFonts w:ascii="Arial" w:hAnsi="Arial" w:cs="Arial"/>
                <w:sz w:val="14"/>
              </w:rPr>
              <w:instrText xml:space="preserve"> HYPERLINK "https://www.who.int/vmnis/indicators/haemoglobin_fr.pdf" </w:instrText>
            </w:r>
            <w:r w:rsidRPr="00AC6105">
              <w:rPr>
                <w:rFonts w:ascii="Arial" w:hAnsi="Arial" w:cs="Arial"/>
                <w:sz w:val="14"/>
              </w:rPr>
              <w:fldChar w:fldCharType="separate"/>
            </w:r>
            <w:r>
              <w:rPr>
                <w:rStyle w:val="Lienhypertexte"/>
                <w:rFonts w:ascii="Arial" w:hAnsi="Arial"/>
                <w:sz w:val="14"/>
              </w:rPr>
              <w:t>Concentrations en hémoglobine permettant de diagnostiquer l’anémie et en évaluer la sévérité</w:t>
            </w:r>
          </w:p>
          <w:p w14:paraId="34AB9493" w14:textId="77777777" w:rsidR="009235BB" w:rsidRPr="00AC6105" w:rsidRDefault="009235BB" w:rsidP="002F1F66">
            <w:pPr>
              <w:rPr>
                <w:rFonts w:ascii="Arial" w:hAnsi="Arial" w:cs="Arial"/>
                <w:color w:val="000000"/>
                <w:sz w:val="14"/>
              </w:rPr>
            </w:pPr>
            <w:r w:rsidRPr="00AC6105">
              <w:rPr>
                <w:rFonts w:ascii="Arial" w:hAnsi="Arial" w:cs="Arial"/>
                <w:sz w:val="14"/>
              </w:rPr>
              <w:fldChar w:fldCharType="end"/>
            </w:r>
          </w:p>
        </w:tc>
      </w:tr>
      <w:tr w:rsidR="009235BB" w:rsidRPr="00CA2973" w14:paraId="501751B8" w14:textId="77777777" w:rsidTr="00AC6105">
        <w:trPr>
          <w:trHeight w:val="323"/>
        </w:trPr>
        <w:tc>
          <w:tcPr>
            <w:tcW w:w="1080" w:type="dxa"/>
            <w:vMerge/>
            <w:tcBorders>
              <w:left w:val="single" w:sz="4" w:space="0" w:color="auto"/>
              <w:right w:val="single" w:sz="4" w:space="0" w:color="auto"/>
            </w:tcBorders>
            <w:tcMar>
              <w:top w:w="0" w:type="dxa"/>
              <w:left w:w="45" w:type="dxa"/>
              <w:bottom w:w="0" w:type="dxa"/>
              <w:right w:w="45" w:type="dxa"/>
            </w:tcMar>
            <w:vAlign w:val="center"/>
          </w:tcPr>
          <w:p w14:paraId="16541682" w14:textId="77777777" w:rsidR="009235BB" w:rsidRPr="00AC6105" w:rsidRDefault="009235BB" w:rsidP="002F1F66">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0486D" w14:textId="77777777" w:rsidR="009235BB" w:rsidRPr="00AC6105" w:rsidRDefault="009235BB" w:rsidP="002F1F66">
            <w:pPr>
              <w:rPr>
                <w:rFonts w:ascii="Arial" w:eastAsia="Times New Roman" w:hAnsi="Arial" w:cs="Arial"/>
                <w:sz w:val="14"/>
                <w:szCs w:val="14"/>
              </w:rPr>
            </w:pPr>
            <w:r>
              <w:rPr>
                <w:rFonts w:ascii="Arial" w:hAnsi="Arial"/>
                <w:sz w:val="14"/>
              </w:rPr>
              <w:t>Prévalence de l’anémie (Hb &lt;11 g/dl) chez les enfants de 6 à 59 mois</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7175736" w14:textId="77777777" w:rsidR="009235BB" w:rsidRPr="00AC6105" w:rsidRDefault="009235BB" w:rsidP="002F1F66">
            <w:pPr>
              <w:jc w:val="center"/>
              <w:rPr>
                <w:rFonts w:ascii="Arial" w:eastAsia="Times New Roman" w:hAnsi="Arial" w:cs="Arial"/>
                <w:i/>
                <w:iCs/>
                <w:sz w:val="14"/>
                <w:szCs w:val="14"/>
              </w:rPr>
            </w:pPr>
            <w:r>
              <w:rPr>
                <w:rFonts w:ascii="Arial" w:hAnsi="Arial"/>
                <w:i/>
                <w:sz w:val="14"/>
              </w:rPr>
              <w:t>Bien-être physique et mental</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57995BF" w14:textId="77777777" w:rsidR="009235BB" w:rsidRPr="00AC6105" w:rsidRDefault="009235BB" w:rsidP="002F1F66">
            <w:pPr>
              <w:jc w:val="center"/>
              <w:rPr>
                <w:rFonts w:ascii="Arial" w:eastAsia="Times New Roman" w:hAnsi="Arial" w:cs="Arial"/>
                <w:sz w:val="14"/>
                <w:szCs w:val="14"/>
              </w:rPr>
            </w:pPr>
            <w:r>
              <w:rPr>
                <w:rFonts w:ascii="Arial" w:hAnsi="Arial"/>
                <w:sz w:val="14"/>
              </w:rPr>
              <w:t>&lt;5%</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472A625" w14:textId="77777777" w:rsidR="009235BB" w:rsidRPr="00AC6105" w:rsidRDefault="009235BB" w:rsidP="002F1F66">
            <w:pPr>
              <w:jc w:val="center"/>
              <w:rPr>
                <w:rFonts w:ascii="Arial" w:eastAsia="Times New Roman" w:hAnsi="Arial" w:cs="Arial"/>
                <w:sz w:val="14"/>
                <w:szCs w:val="14"/>
              </w:rPr>
            </w:pPr>
            <w:r>
              <w:rPr>
                <w:rFonts w:ascii="Arial" w:hAnsi="Arial"/>
                <w:sz w:val="14"/>
              </w:rPr>
              <w:t>5-19,9 %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D5C802E" w14:textId="77777777" w:rsidR="009235BB" w:rsidRPr="00AC6105" w:rsidRDefault="009235BB" w:rsidP="002F1F66">
            <w:pPr>
              <w:jc w:val="center"/>
              <w:rPr>
                <w:rFonts w:ascii="Arial" w:eastAsia="Times New Roman" w:hAnsi="Arial" w:cs="Arial"/>
                <w:sz w:val="14"/>
                <w:szCs w:val="14"/>
              </w:rPr>
            </w:pPr>
            <w:r>
              <w:rPr>
                <w:rFonts w:ascii="Arial" w:hAnsi="Arial"/>
                <w:sz w:val="14"/>
              </w:rPr>
              <w:t>20-39,9 %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0AE3B08" w14:textId="77777777" w:rsidR="009235BB" w:rsidRPr="00AC6105" w:rsidRDefault="009235BB" w:rsidP="002F1F66">
            <w:pPr>
              <w:jc w:val="center"/>
              <w:rPr>
                <w:rFonts w:ascii="Arial" w:eastAsia="Times New Roman" w:hAnsi="Arial" w:cs="Arial"/>
                <w:sz w:val="14"/>
                <w:szCs w:val="14"/>
              </w:rPr>
            </w:pPr>
            <w:r>
              <w:rPr>
                <w:rFonts w:ascii="Arial" w:hAnsi="Arial"/>
                <w:sz w:val="14"/>
              </w:rPr>
              <w:t>≥40 %</w:t>
            </w:r>
          </w:p>
        </w:tc>
        <w:tc>
          <w:tcPr>
            <w:tcW w:w="4050" w:type="dxa"/>
            <w:vMerge/>
            <w:tcBorders>
              <w:top w:val="single" w:sz="4" w:space="0" w:color="auto"/>
              <w:left w:val="single" w:sz="4" w:space="0" w:color="auto"/>
              <w:bottom w:val="single" w:sz="4" w:space="0" w:color="auto"/>
              <w:right w:val="single" w:sz="4" w:space="0" w:color="auto"/>
            </w:tcBorders>
            <w:vAlign w:val="center"/>
          </w:tcPr>
          <w:p w14:paraId="571B5EF9" w14:textId="77777777" w:rsidR="009235BB" w:rsidRPr="00AC6105" w:rsidRDefault="009235BB" w:rsidP="002F1F66">
            <w:pPr>
              <w:rPr>
                <w:rFonts w:ascii="Arial" w:hAnsi="Arial" w:cs="Arial"/>
                <w:color w:val="000000"/>
                <w:sz w:val="14"/>
                <w:szCs w:val="14"/>
              </w:rPr>
            </w:pPr>
          </w:p>
        </w:tc>
      </w:tr>
      <w:tr w:rsidR="009235BB" w:rsidRPr="00CA2973" w14:paraId="55A41D19" w14:textId="77777777" w:rsidTr="00AC6105">
        <w:trPr>
          <w:trHeight w:val="278"/>
        </w:trPr>
        <w:tc>
          <w:tcPr>
            <w:tcW w:w="1080" w:type="dxa"/>
            <w:vMerge/>
            <w:tcBorders>
              <w:left w:val="single" w:sz="4" w:space="0" w:color="auto"/>
              <w:right w:val="single" w:sz="4" w:space="0" w:color="auto"/>
            </w:tcBorders>
            <w:tcMar>
              <w:top w:w="0" w:type="dxa"/>
              <w:left w:w="45" w:type="dxa"/>
              <w:bottom w:w="0" w:type="dxa"/>
              <w:right w:w="45" w:type="dxa"/>
            </w:tcMar>
            <w:vAlign w:val="center"/>
          </w:tcPr>
          <w:p w14:paraId="29A6E2D3" w14:textId="77777777" w:rsidR="009235BB" w:rsidRPr="00AC6105" w:rsidRDefault="009235BB" w:rsidP="002F1F66">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89079" w14:textId="0A74F1F4" w:rsidR="009235BB" w:rsidRPr="00AC6105" w:rsidRDefault="009235BB" w:rsidP="002F1F66">
            <w:pPr>
              <w:rPr>
                <w:rFonts w:ascii="Arial" w:eastAsia="Times New Roman" w:hAnsi="Arial" w:cs="Arial"/>
                <w:sz w:val="14"/>
                <w:szCs w:val="14"/>
              </w:rPr>
            </w:pPr>
            <w:r>
              <w:rPr>
                <w:rFonts w:ascii="Arial" w:hAnsi="Arial"/>
                <w:sz w:val="14"/>
              </w:rPr>
              <w:t>Taux brut de mortalité/taux de mortalité (décès/10</w:t>
            </w:r>
            <w:r w:rsidR="00750FBF">
              <w:rPr>
                <w:rFonts w:ascii="Arial" w:hAnsi="Arial"/>
                <w:sz w:val="14"/>
              </w:rPr>
              <w:t> </w:t>
            </w:r>
            <w:r>
              <w:rPr>
                <w:rFonts w:ascii="Arial" w:hAnsi="Arial"/>
                <w:sz w:val="14"/>
              </w:rPr>
              <w:t>000 personnes/jour)</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AAB20F1" w14:textId="77777777" w:rsidR="009235BB" w:rsidRPr="00AC6105" w:rsidRDefault="009235BB" w:rsidP="002F1F66">
            <w:pPr>
              <w:jc w:val="center"/>
              <w:rPr>
                <w:rFonts w:ascii="Arial" w:eastAsia="Times New Roman" w:hAnsi="Arial" w:cs="Arial"/>
                <w:i/>
                <w:iCs/>
                <w:sz w:val="14"/>
                <w:szCs w:val="14"/>
              </w:rPr>
            </w:pPr>
            <w:r>
              <w:rPr>
                <w:rFonts w:ascii="Arial" w:hAnsi="Arial"/>
                <w:i/>
                <w:sz w:val="14"/>
              </w:rPr>
              <w:t>Bien-être physique et mental</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21B6CC2" w14:textId="77777777" w:rsidR="009235BB" w:rsidRPr="00AC6105" w:rsidRDefault="009235BB" w:rsidP="002F1F66">
            <w:pPr>
              <w:jc w:val="center"/>
              <w:rPr>
                <w:rFonts w:ascii="Arial" w:eastAsia="Times New Roman" w:hAnsi="Arial" w:cs="Arial"/>
                <w:sz w:val="14"/>
                <w:szCs w:val="14"/>
              </w:rPr>
            </w:pPr>
            <w:r>
              <w:rPr>
                <w:rFonts w:ascii="Arial" w:hAnsi="Arial"/>
                <w:sz w:val="14"/>
              </w:rPr>
              <w:t>&lt;0,5</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1282996" w14:textId="77777777" w:rsidR="009235BB" w:rsidRPr="00AC6105" w:rsidRDefault="009235BB" w:rsidP="002F1F66">
            <w:pPr>
              <w:jc w:val="center"/>
              <w:rPr>
                <w:rFonts w:ascii="Arial" w:eastAsia="Times New Roman" w:hAnsi="Arial" w:cs="Arial"/>
                <w:sz w:val="14"/>
                <w:szCs w:val="14"/>
              </w:rPr>
            </w:pPr>
            <w:r>
              <w:rPr>
                <w:rFonts w:ascii="Arial" w:hAnsi="Arial"/>
                <w:sz w:val="14"/>
              </w:rPr>
              <w:t>0,5-0,9</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CD05AE6" w14:textId="77777777" w:rsidR="009235BB" w:rsidRPr="00AC6105" w:rsidRDefault="009235BB" w:rsidP="002F1F66">
            <w:pPr>
              <w:jc w:val="center"/>
              <w:rPr>
                <w:rFonts w:ascii="Arial" w:eastAsia="Times New Roman" w:hAnsi="Arial" w:cs="Arial"/>
                <w:sz w:val="14"/>
                <w:szCs w:val="14"/>
              </w:rPr>
            </w:pPr>
            <w:r>
              <w:rPr>
                <w:rFonts w:ascii="Arial" w:hAnsi="Arial"/>
                <w:sz w:val="14"/>
              </w:rPr>
              <w:t>1-1,9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3C099D" w14:textId="77777777" w:rsidR="009235BB" w:rsidRPr="00AC6105" w:rsidRDefault="009235BB" w:rsidP="002F1F66">
            <w:pPr>
              <w:jc w:val="center"/>
              <w:rPr>
                <w:rFonts w:ascii="Arial" w:eastAsia="Times New Roman" w:hAnsi="Arial" w:cs="Arial"/>
                <w:sz w:val="14"/>
                <w:szCs w:val="14"/>
              </w:rPr>
            </w:pPr>
            <w:r>
              <w:rPr>
                <w:rFonts w:ascii="Arial" w:hAnsi="Arial"/>
                <w:sz w:val="14"/>
              </w:rPr>
              <w:t>≥2</w:t>
            </w:r>
          </w:p>
        </w:tc>
        <w:tc>
          <w:tcPr>
            <w:tcW w:w="4050" w:type="dxa"/>
            <w:vMerge w:val="restart"/>
            <w:tcBorders>
              <w:top w:val="single" w:sz="4" w:space="0" w:color="auto"/>
              <w:left w:val="single" w:sz="4" w:space="0" w:color="auto"/>
              <w:bottom w:val="single" w:sz="4" w:space="0" w:color="auto"/>
              <w:right w:val="single" w:sz="4" w:space="0" w:color="auto"/>
            </w:tcBorders>
            <w:vAlign w:val="center"/>
          </w:tcPr>
          <w:p w14:paraId="5A49A0A1" w14:textId="77777777" w:rsidR="009235BB" w:rsidRPr="00AC6105" w:rsidRDefault="009235BB" w:rsidP="002F1F66">
            <w:pPr>
              <w:rPr>
                <w:rFonts w:ascii="Arial" w:eastAsia="Times New Roman" w:hAnsi="Arial" w:cs="Arial"/>
                <w:sz w:val="14"/>
                <w:szCs w:val="14"/>
              </w:rPr>
            </w:pPr>
            <w:r>
              <w:rPr>
                <w:rFonts w:ascii="Arial" w:hAnsi="Arial"/>
                <w:sz w:val="14"/>
              </w:rPr>
              <w:t xml:space="preserve">Partenaires mondiaux de l’IPC, 2019. </w:t>
            </w:r>
            <w:hyperlink r:id="rId30" w:history="1">
              <w:r>
                <w:rPr>
                  <w:rStyle w:val="Lienhypertexte"/>
                  <w:rFonts w:ascii="Arial" w:hAnsi="Arial"/>
                  <w:sz w:val="14"/>
                </w:rPr>
                <w:t>Manuel technique du Cadre intégré de classification de la sécurité alimentaire Version 3.0.</w:t>
              </w:r>
            </w:hyperlink>
          </w:p>
        </w:tc>
      </w:tr>
      <w:tr w:rsidR="009235BB" w:rsidRPr="00CA2973" w14:paraId="7AA7E042" w14:textId="77777777" w:rsidTr="00AC6105">
        <w:trPr>
          <w:trHeight w:val="323"/>
        </w:trPr>
        <w:tc>
          <w:tcPr>
            <w:tcW w:w="1080"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13FD3568" w14:textId="77777777" w:rsidR="009235BB" w:rsidRPr="00AC6105" w:rsidRDefault="009235BB" w:rsidP="002F1F66">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68AC7" w14:textId="25323011" w:rsidR="009235BB" w:rsidRPr="00AC6105" w:rsidRDefault="009235BB" w:rsidP="002F1F66">
            <w:pPr>
              <w:rPr>
                <w:rFonts w:ascii="Arial" w:eastAsia="Times New Roman" w:hAnsi="Arial" w:cs="Arial"/>
                <w:sz w:val="14"/>
                <w:szCs w:val="14"/>
              </w:rPr>
            </w:pPr>
            <w:r>
              <w:rPr>
                <w:rFonts w:ascii="Arial" w:hAnsi="Arial"/>
                <w:sz w:val="14"/>
              </w:rPr>
              <w:t>Taux de mortalité chez les moins de 5 ans (décès/10</w:t>
            </w:r>
            <w:r w:rsidR="00750FBF">
              <w:rPr>
                <w:rFonts w:ascii="Arial" w:hAnsi="Arial"/>
                <w:sz w:val="14"/>
              </w:rPr>
              <w:t> </w:t>
            </w:r>
            <w:r>
              <w:rPr>
                <w:rFonts w:ascii="Arial" w:hAnsi="Arial"/>
                <w:sz w:val="14"/>
              </w:rPr>
              <w:t>000 enfants de moins de 5 ans/jour)</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436F6BE" w14:textId="77777777" w:rsidR="009235BB" w:rsidRPr="00AC6105" w:rsidRDefault="009235BB" w:rsidP="002F1F66">
            <w:pPr>
              <w:jc w:val="center"/>
              <w:rPr>
                <w:rFonts w:ascii="Arial" w:eastAsia="Times New Roman" w:hAnsi="Arial" w:cs="Arial"/>
                <w:i/>
                <w:iCs/>
                <w:sz w:val="14"/>
                <w:szCs w:val="14"/>
              </w:rPr>
            </w:pPr>
            <w:r>
              <w:rPr>
                <w:rFonts w:ascii="Arial" w:hAnsi="Arial"/>
                <w:i/>
                <w:sz w:val="14"/>
              </w:rPr>
              <w:t>Bien-être physique et mental</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BA4BA01" w14:textId="77777777" w:rsidR="009235BB" w:rsidRPr="00AC6105" w:rsidRDefault="009235BB" w:rsidP="002F1F66">
            <w:pPr>
              <w:jc w:val="center"/>
              <w:rPr>
                <w:rFonts w:ascii="Arial" w:eastAsia="Times New Roman" w:hAnsi="Arial" w:cs="Arial"/>
                <w:sz w:val="14"/>
                <w:szCs w:val="14"/>
              </w:rPr>
            </w:pPr>
            <w:r>
              <w:rPr>
                <w:rFonts w:ascii="Arial" w:hAnsi="Arial"/>
                <w:sz w:val="14"/>
              </w:rPr>
              <w:t>&lt;1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980902E" w14:textId="77777777" w:rsidR="009235BB" w:rsidRPr="00AC6105" w:rsidRDefault="009235BB" w:rsidP="002F1F66">
            <w:pPr>
              <w:jc w:val="center"/>
              <w:rPr>
                <w:rFonts w:ascii="Arial" w:eastAsia="Times New Roman" w:hAnsi="Arial" w:cs="Arial"/>
                <w:sz w:val="14"/>
                <w:szCs w:val="14"/>
              </w:rPr>
            </w:pPr>
            <w:r>
              <w:rPr>
                <w:rFonts w:ascii="Arial" w:hAnsi="Arial"/>
                <w:sz w:val="14"/>
              </w:rPr>
              <w:t>1-1,9</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4280A0E" w14:textId="77777777" w:rsidR="009235BB" w:rsidRPr="00AC6105" w:rsidRDefault="009235BB" w:rsidP="002F1F66">
            <w:pPr>
              <w:jc w:val="center"/>
              <w:rPr>
                <w:rFonts w:ascii="Arial" w:eastAsia="Times New Roman" w:hAnsi="Arial" w:cs="Arial"/>
                <w:sz w:val="14"/>
                <w:szCs w:val="14"/>
              </w:rPr>
            </w:pPr>
            <w:r>
              <w:rPr>
                <w:rFonts w:ascii="Arial" w:hAnsi="Arial"/>
                <w:sz w:val="14"/>
              </w:rPr>
              <w:t>2-3,9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1690A7" w14:textId="77777777" w:rsidR="009235BB" w:rsidRPr="00AC6105" w:rsidRDefault="009235BB" w:rsidP="002F1F66">
            <w:pPr>
              <w:jc w:val="center"/>
              <w:rPr>
                <w:rFonts w:ascii="Arial" w:eastAsia="Times New Roman" w:hAnsi="Arial" w:cs="Arial"/>
                <w:sz w:val="14"/>
                <w:szCs w:val="14"/>
              </w:rPr>
            </w:pPr>
            <w:r>
              <w:rPr>
                <w:rFonts w:ascii="Arial" w:hAnsi="Arial"/>
                <w:sz w:val="14"/>
              </w:rPr>
              <w:t>≥4</w:t>
            </w:r>
          </w:p>
        </w:tc>
        <w:tc>
          <w:tcPr>
            <w:tcW w:w="4050" w:type="dxa"/>
            <w:vMerge/>
            <w:tcBorders>
              <w:top w:val="single" w:sz="4" w:space="0" w:color="auto"/>
              <w:left w:val="single" w:sz="4" w:space="0" w:color="auto"/>
              <w:bottom w:val="single" w:sz="4" w:space="0" w:color="auto"/>
              <w:right w:val="single" w:sz="4" w:space="0" w:color="auto"/>
            </w:tcBorders>
            <w:vAlign w:val="center"/>
          </w:tcPr>
          <w:p w14:paraId="1FB84125" w14:textId="77777777" w:rsidR="009235BB" w:rsidRPr="00AC6105" w:rsidRDefault="009235BB" w:rsidP="002F1F66">
            <w:pPr>
              <w:rPr>
                <w:rFonts w:ascii="Arial" w:eastAsia="Times New Roman" w:hAnsi="Arial" w:cs="Arial"/>
                <w:sz w:val="14"/>
                <w:szCs w:val="14"/>
                <w:lang w:eastAsia="fr-FR"/>
              </w:rPr>
            </w:pPr>
          </w:p>
        </w:tc>
      </w:tr>
      <w:tr w:rsidR="009235BB" w:rsidRPr="00CA2973" w14:paraId="4FF38D5C" w14:textId="77777777" w:rsidTr="00AC6105">
        <w:trPr>
          <w:trHeight w:val="251"/>
        </w:trPr>
        <w:tc>
          <w:tcPr>
            <w:tcW w:w="108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1553508C" w14:textId="77777777" w:rsidR="009235BB" w:rsidRPr="00AC6105" w:rsidRDefault="009235BB" w:rsidP="00FB6233">
            <w:pPr>
              <w:jc w:val="center"/>
              <w:rPr>
                <w:rFonts w:ascii="Arial" w:eastAsia="Times New Roman" w:hAnsi="Arial" w:cs="Arial"/>
                <w:b/>
                <w:bCs/>
                <w:sz w:val="14"/>
                <w:szCs w:val="14"/>
              </w:rPr>
            </w:pPr>
            <w:r>
              <w:rPr>
                <w:rFonts w:ascii="Arial" w:hAnsi="Arial"/>
                <w:b/>
                <w:sz w:val="14"/>
              </w:rPr>
              <w:t xml:space="preserve">Principaux facteurs contributifs </w:t>
            </w:r>
          </w:p>
        </w:tc>
        <w:tc>
          <w:tcPr>
            <w:tcW w:w="3150" w:type="dxa"/>
            <w:tcBorders>
              <w:top w:val="single" w:sz="4" w:space="0" w:color="auto"/>
              <w:left w:val="single" w:sz="4" w:space="0" w:color="auto"/>
              <w:right w:val="single" w:sz="4" w:space="0" w:color="auto"/>
            </w:tcBorders>
            <w:shd w:val="clear" w:color="auto" w:fill="FFFFFF" w:themeFill="background1"/>
            <w:vAlign w:val="center"/>
          </w:tcPr>
          <w:p w14:paraId="3845B50B" w14:textId="77777777" w:rsidR="009235BB" w:rsidRPr="00AC6105" w:rsidRDefault="009235BB" w:rsidP="00D6771B">
            <w:pPr>
              <w:rPr>
                <w:rFonts w:ascii="Arial" w:eastAsia="Times New Roman" w:hAnsi="Arial" w:cs="Arial"/>
                <w:sz w:val="14"/>
                <w:szCs w:val="14"/>
              </w:rPr>
            </w:pPr>
            <w:r>
              <w:rPr>
                <w:rFonts w:ascii="Arial" w:hAnsi="Arial"/>
                <w:sz w:val="14"/>
              </w:rPr>
              <w:t>Diversité alimentaire minimale chez les enfants de 6 à 23 mois</w:t>
            </w:r>
          </w:p>
        </w:tc>
        <w:tc>
          <w:tcPr>
            <w:tcW w:w="2520" w:type="dxa"/>
            <w:gridSpan w:val="2"/>
            <w:tcBorders>
              <w:top w:val="single" w:sz="4" w:space="0" w:color="auto"/>
              <w:left w:val="single" w:sz="4" w:space="0" w:color="auto"/>
              <w:right w:val="single" w:sz="4" w:space="0" w:color="auto"/>
            </w:tcBorders>
            <w:vAlign w:val="center"/>
          </w:tcPr>
          <w:p w14:paraId="653F4AF3" w14:textId="77777777" w:rsidR="009235BB" w:rsidRPr="00AC6105" w:rsidRDefault="009235BB" w:rsidP="00D21721">
            <w:pPr>
              <w:jc w:val="center"/>
              <w:rPr>
                <w:rFonts w:ascii="Arial" w:eastAsia="Times New Roman" w:hAnsi="Arial" w:cs="Arial"/>
                <w:i/>
                <w:iCs/>
                <w:sz w:val="14"/>
                <w:szCs w:val="14"/>
              </w:rPr>
            </w:pPr>
            <w:r>
              <w:rPr>
                <w:rFonts w:ascii="Arial" w:hAnsi="Arial"/>
                <w:i/>
                <w:sz w:val="14"/>
              </w:rPr>
              <w:t>Conditions de vie</w:t>
            </w:r>
          </w:p>
        </w:tc>
        <w:tc>
          <w:tcPr>
            <w:tcW w:w="90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tcPr>
          <w:p w14:paraId="482B31F4" w14:textId="77777777" w:rsidR="009235BB" w:rsidRPr="00AC6105" w:rsidRDefault="009235BB" w:rsidP="00D6771B">
            <w:pPr>
              <w:jc w:val="center"/>
              <w:rPr>
                <w:rFonts w:ascii="Arial" w:hAnsi="Arial" w:cs="Arial"/>
                <w:sz w:val="14"/>
                <w:szCs w:val="14"/>
              </w:rPr>
            </w:pPr>
            <w:r>
              <w:rPr>
                <w:rFonts w:ascii="Arial" w:hAnsi="Arial"/>
                <w:sz w:val="14"/>
              </w:rPr>
              <w:t>&gt;70 %</w:t>
            </w:r>
          </w:p>
        </w:tc>
        <w:tc>
          <w:tcPr>
            <w:tcW w:w="90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tcPr>
          <w:p w14:paraId="3C284A23" w14:textId="77777777" w:rsidR="009235BB" w:rsidRPr="00AC6105" w:rsidRDefault="009235BB" w:rsidP="00D6771B">
            <w:pPr>
              <w:jc w:val="center"/>
              <w:rPr>
                <w:rFonts w:ascii="Arial" w:hAnsi="Arial" w:cs="Arial"/>
                <w:color w:val="000000"/>
                <w:sz w:val="14"/>
                <w:szCs w:val="14"/>
              </w:rPr>
            </w:pPr>
            <w:r>
              <w:rPr>
                <w:rFonts w:ascii="Arial" w:hAnsi="Arial"/>
                <w:sz w:val="14"/>
              </w:rPr>
              <w:t>40-70 %</w:t>
            </w:r>
          </w:p>
        </w:tc>
        <w:tc>
          <w:tcPr>
            <w:tcW w:w="99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tcPr>
          <w:p w14:paraId="70B0FB27" w14:textId="77777777" w:rsidR="009235BB" w:rsidRPr="00AC6105" w:rsidRDefault="009235BB" w:rsidP="00D6771B">
            <w:pPr>
              <w:jc w:val="center"/>
              <w:rPr>
                <w:rFonts w:ascii="Arial" w:hAnsi="Arial" w:cs="Arial"/>
                <w:color w:val="000000"/>
                <w:sz w:val="14"/>
                <w:szCs w:val="14"/>
              </w:rPr>
            </w:pPr>
            <w:r>
              <w:rPr>
                <w:rFonts w:ascii="Arial" w:hAnsi="Arial"/>
                <w:sz w:val="14"/>
              </w:rPr>
              <w:t>20-39,9 %</w:t>
            </w:r>
          </w:p>
        </w:tc>
        <w:tc>
          <w:tcPr>
            <w:tcW w:w="900" w:type="dxa"/>
            <w:tcBorders>
              <w:top w:val="single" w:sz="4" w:space="0" w:color="auto"/>
              <w:left w:val="single" w:sz="4" w:space="0" w:color="auto"/>
              <w:right w:val="single" w:sz="4" w:space="0" w:color="auto"/>
            </w:tcBorders>
            <w:shd w:val="clear" w:color="auto" w:fill="auto"/>
            <w:tcMar>
              <w:top w:w="0" w:type="dxa"/>
              <w:left w:w="45" w:type="dxa"/>
              <w:bottom w:w="0" w:type="dxa"/>
              <w:right w:w="45" w:type="dxa"/>
            </w:tcMar>
            <w:vAlign w:val="center"/>
          </w:tcPr>
          <w:p w14:paraId="509FEA39" w14:textId="77777777" w:rsidR="009235BB" w:rsidRPr="00AC6105" w:rsidRDefault="009235BB" w:rsidP="00D6771B">
            <w:pPr>
              <w:jc w:val="center"/>
              <w:rPr>
                <w:rFonts w:ascii="Arial" w:hAnsi="Arial" w:cs="Arial"/>
                <w:color w:val="000000"/>
                <w:sz w:val="14"/>
                <w:szCs w:val="14"/>
              </w:rPr>
            </w:pPr>
            <w:r>
              <w:rPr>
                <w:rFonts w:ascii="Arial" w:hAnsi="Arial"/>
                <w:sz w:val="14"/>
              </w:rPr>
              <w:t>10-19,9 %</w:t>
            </w:r>
          </w:p>
        </w:tc>
        <w:tc>
          <w:tcPr>
            <w:tcW w:w="1440" w:type="dxa"/>
            <w:tcBorders>
              <w:top w:val="single" w:sz="4" w:space="0" w:color="auto"/>
              <w:left w:val="single" w:sz="4" w:space="0" w:color="auto"/>
              <w:right w:val="single" w:sz="4" w:space="0" w:color="auto"/>
            </w:tcBorders>
            <w:shd w:val="clear" w:color="auto" w:fill="auto"/>
            <w:vAlign w:val="center"/>
          </w:tcPr>
          <w:p w14:paraId="21E96BA5" w14:textId="77777777" w:rsidR="009235BB" w:rsidRPr="00AC6105" w:rsidRDefault="009235BB" w:rsidP="00D6771B">
            <w:pPr>
              <w:jc w:val="center"/>
              <w:rPr>
                <w:rFonts w:ascii="Arial" w:hAnsi="Arial" w:cs="Arial"/>
                <w:color w:val="000000"/>
                <w:sz w:val="14"/>
                <w:szCs w:val="14"/>
              </w:rPr>
            </w:pPr>
            <w:r>
              <w:rPr>
                <w:rFonts w:ascii="Arial" w:hAnsi="Arial"/>
                <w:sz w:val="14"/>
              </w:rPr>
              <w:t>&lt;10 %</w:t>
            </w:r>
          </w:p>
        </w:tc>
        <w:tc>
          <w:tcPr>
            <w:tcW w:w="4050" w:type="dxa"/>
            <w:tcBorders>
              <w:left w:val="single" w:sz="4" w:space="0" w:color="auto"/>
              <w:right w:val="single" w:sz="4" w:space="0" w:color="auto"/>
            </w:tcBorders>
            <w:vAlign w:val="center"/>
          </w:tcPr>
          <w:p w14:paraId="12D351BD" w14:textId="77777777" w:rsidR="009235BB" w:rsidRPr="00AC6105" w:rsidRDefault="009235BB" w:rsidP="00D6771B">
            <w:pPr>
              <w:rPr>
                <w:rFonts w:ascii="Arial" w:hAnsi="Arial" w:cs="Arial"/>
                <w:color w:val="000000"/>
                <w:sz w:val="14"/>
                <w:szCs w:val="14"/>
                <w:vertAlign w:val="superscript"/>
              </w:rPr>
            </w:pPr>
            <w:r>
              <w:rPr>
                <w:rFonts w:ascii="Arial" w:hAnsi="Arial"/>
                <w:i/>
                <w:sz w:val="14"/>
              </w:rPr>
              <w:t xml:space="preserve">Seuils préliminaires </w:t>
            </w:r>
            <w:r>
              <w:rPr>
                <w:rFonts w:ascii="Arial" w:hAnsi="Arial"/>
                <w:sz w:val="14"/>
              </w:rPr>
              <w:t>proposés par l’IFE Core Group</w:t>
            </w:r>
          </w:p>
        </w:tc>
      </w:tr>
      <w:tr w:rsidR="009235BB" w:rsidRPr="00CA2973" w14:paraId="37C36D58" w14:textId="77777777" w:rsidTr="00AC6105">
        <w:trPr>
          <w:trHeight w:val="314"/>
        </w:trPr>
        <w:tc>
          <w:tcPr>
            <w:tcW w:w="1080" w:type="dxa"/>
            <w:vMerge/>
            <w:tcBorders>
              <w:left w:val="single" w:sz="4" w:space="0" w:color="auto"/>
              <w:right w:val="single" w:sz="4" w:space="0" w:color="auto"/>
            </w:tcBorders>
            <w:tcMar>
              <w:top w:w="0" w:type="dxa"/>
              <w:left w:w="45" w:type="dxa"/>
              <w:bottom w:w="0" w:type="dxa"/>
              <w:right w:w="45" w:type="dxa"/>
            </w:tcMar>
            <w:vAlign w:val="center"/>
          </w:tcPr>
          <w:p w14:paraId="4D82EA1F" w14:textId="77777777" w:rsidR="009235BB" w:rsidRPr="00AC6105" w:rsidRDefault="009235BB" w:rsidP="00FB6233">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C9016" w14:textId="77777777" w:rsidR="009235BB" w:rsidRPr="00AC6105" w:rsidRDefault="009235BB" w:rsidP="00D6771B">
            <w:pPr>
              <w:rPr>
                <w:rFonts w:ascii="Arial" w:hAnsi="Arial" w:cs="Arial"/>
                <w:sz w:val="14"/>
                <w:szCs w:val="14"/>
                <w:vertAlign w:val="superscript"/>
              </w:rPr>
            </w:pPr>
            <w:r>
              <w:rPr>
                <w:rFonts w:ascii="Arial" w:hAnsi="Arial"/>
                <w:sz w:val="14"/>
              </w:rPr>
              <w:t>Régime alimentaire minimal chez les enfants de 6 à 23 mois*</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4107A41" w14:textId="77777777" w:rsidR="009235BB" w:rsidRPr="00AC6105" w:rsidRDefault="009235BB" w:rsidP="00D21721">
            <w:pPr>
              <w:jc w:val="center"/>
              <w:rPr>
                <w:rFonts w:ascii="Arial" w:eastAsia="Times New Roman" w:hAnsi="Arial" w:cs="Arial"/>
                <w:i/>
                <w:iCs/>
                <w:sz w:val="14"/>
                <w:szCs w:val="14"/>
              </w:rPr>
            </w:pPr>
            <w:r>
              <w:rPr>
                <w:rFonts w:ascii="Arial" w:hAnsi="Arial"/>
                <w:i/>
                <w:sz w:val="14"/>
              </w:rPr>
              <w:t>Conditions de vie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72ED66C" w14:textId="77777777" w:rsidR="009235BB" w:rsidRPr="00AC6105" w:rsidRDefault="009235BB" w:rsidP="00D6771B">
            <w:pPr>
              <w:jc w:val="center"/>
              <w:rPr>
                <w:rFonts w:ascii="Arial" w:eastAsia="Times New Roman" w:hAnsi="Arial" w:cs="Arial"/>
                <w:sz w:val="14"/>
                <w:szCs w:val="14"/>
              </w:rPr>
            </w:pPr>
            <w:r>
              <w:rPr>
                <w:rFonts w:ascii="Arial" w:hAnsi="Arial"/>
                <w:sz w:val="14"/>
              </w:rPr>
              <w:t>&gt;70 %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AE4B9A9" w14:textId="77777777" w:rsidR="009235BB" w:rsidRPr="00AC6105" w:rsidRDefault="009235BB" w:rsidP="00D6771B">
            <w:pPr>
              <w:jc w:val="center"/>
              <w:rPr>
                <w:rFonts w:ascii="Arial" w:eastAsia="Times New Roman" w:hAnsi="Arial" w:cs="Arial"/>
                <w:sz w:val="14"/>
                <w:szCs w:val="14"/>
              </w:rPr>
            </w:pPr>
            <w:r>
              <w:rPr>
                <w:rFonts w:ascii="Arial" w:hAnsi="Arial"/>
                <w:sz w:val="14"/>
              </w:rPr>
              <w:t>40-70 %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3B36CB9" w14:textId="77777777" w:rsidR="009235BB" w:rsidRPr="00AC6105" w:rsidRDefault="009235BB" w:rsidP="00D6771B">
            <w:pPr>
              <w:jc w:val="center"/>
              <w:rPr>
                <w:rFonts w:ascii="Arial" w:eastAsia="Times New Roman" w:hAnsi="Arial" w:cs="Arial"/>
                <w:sz w:val="14"/>
                <w:szCs w:val="14"/>
              </w:rPr>
            </w:pPr>
            <w:r>
              <w:rPr>
                <w:rFonts w:ascii="Arial" w:hAnsi="Arial"/>
                <w:sz w:val="14"/>
              </w:rPr>
              <w:t>20-39,9 %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55ED75D" w14:textId="77777777" w:rsidR="009235BB" w:rsidRPr="00AC6105" w:rsidRDefault="009235BB" w:rsidP="00D6771B">
            <w:pPr>
              <w:jc w:val="center"/>
              <w:rPr>
                <w:rFonts w:ascii="Arial" w:eastAsia="Times New Roman" w:hAnsi="Arial" w:cs="Arial"/>
                <w:sz w:val="14"/>
                <w:szCs w:val="14"/>
              </w:rPr>
            </w:pPr>
            <w:r>
              <w:rPr>
                <w:rFonts w:ascii="Arial" w:hAnsi="Arial"/>
                <w:sz w:val="14"/>
              </w:rPr>
              <w:t>10-19,9 %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278E2AD" w14:textId="77777777" w:rsidR="009235BB" w:rsidRPr="00AC6105" w:rsidRDefault="009235BB" w:rsidP="00D6771B">
            <w:pPr>
              <w:jc w:val="center"/>
              <w:rPr>
                <w:rFonts w:ascii="Arial" w:eastAsia="Times New Roman" w:hAnsi="Arial" w:cs="Arial"/>
                <w:sz w:val="14"/>
                <w:szCs w:val="14"/>
              </w:rPr>
            </w:pPr>
            <w:r>
              <w:rPr>
                <w:rFonts w:ascii="Arial" w:hAnsi="Arial"/>
                <w:sz w:val="14"/>
              </w:rPr>
              <w:t>&lt;10%</w:t>
            </w:r>
          </w:p>
        </w:tc>
        <w:tc>
          <w:tcPr>
            <w:tcW w:w="4050" w:type="dxa"/>
            <w:tcBorders>
              <w:top w:val="single" w:sz="4" w:space="0" w:color="auto"/>
              <w:left w:val="single" w:sz="4" w:space="0" w:color="auto"/>
              <w:bottom w:val="single" w:sz="4" w:space="0" w:color="auto"/>
              <w:right w:val="single" w:sz="4" w:space="0" w:color="auto"/>
            </w:tcBorders>
            <w:vAlign w:val="center"/>
          </w:tcPr>
          <w:p w14:paraId="629CE328" w14:textId="77777777" w:rsidR="009235BB" w:rsidRPr="00AC6105" w:rsidRDefault="009235BB" w:rsidP="00D6771B">
            <w:pPr>
              <w:rPr>
                <w:rFonts w:ascii="Arial" w:eastAsia="Times New Roman" w:hAnsi="Arial" w:cs="Arial"/>
                <w:i/>
                <w:iCs/>
                <w:sz w:val="14"/>
                <w:szCs w:val="14"/>
              </w:rPr>
            </w:pPr>
            <w:r>
              <w:rPr>
                <w:rFonts w:ascii="Arial" w:hAnsi="Arial"/>
                <w:i/>
                <w:sz w:val="14"/>
              </w:rPr>
              <w:t xml:space="preserve">Seuils préliminaires </w:t>
            </w:r>
            <w:r>
              <w:rPr>
                <w:rFonts w:ascii="Arial" w:hAnsi="Arial"/>
                <w:sz w:val="14"/>
              </w:rPr>
              <w:t>proposés par l’IFE Core Group</w:t>
            </w:r>
          </w:p>
        </w:tc>
      </w:tr>
      <w:tr w:rsidR="009235BB" w:rsidRPr="00CA2973" w14:paraId="69B91868" w14:textId="77777777" w:rsidTr="00AC6105">
        <w:trPr>
          <w:trHeight w:val="188"/>
        </w:trPr>
        <w:tc>
          <w:tcPr>
            <w:tcW w:w="1080" w:type="dxa"/>
            <w:vMerge/>
            <w:tcBorders>
              <w:left w:val="single" w:sz="4" w:space="0" w:color="auto"/>
              <w:right w:val="single" w:sz="4" w:space="0" w:color="auto"/>
            </w:tcBorders>
            <w:tcMar>
              <w:top w:w="0" w:type="dxa"/>
              <w:left w:w="45" w:type="dxa"/>
              <w:bottom w:w="0" w:type="dxa"/>
              <w:right w:w="45" w:type="dxa"/>
            </w:tcMar>
            <w:vAlign w:val="center"/>
          </w:tcPr>
          <w:p w14:paraId="5F468D74" w14:textId="77777777" w:rsidR="009235BB" w:rsidRPr="00AC6105" w:rsidRDefault="009235BB" w:rsidP="00FB6233">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D75BB" w14:textId="77777777" w:rsidR="009235BB" w:rsidRPr="00AC6105" w:rsidRDefault="009235BB" w:rsidP="00D6771B">
            <w:pPr>
              <w:rPr>
                <w:rFonts w:ascii="Arial" w:hAnsi="Arial" w:cs="Arial"/>
                <w:sz w:val="14"/>
                <w:szCs w:val="14"/>
              </w:rPr>
            </w:pPr>
            <w:r>
              <w:rPr>
                <w:rFonts w:ascii="Arial" w:hAnsi="Arial"/>
                <w:sz w:val="14"/>
              </w:rPr>
              <w:t>Allaitement maternel exclusif chez les nourrissons de 0 à 5 mois</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098A5191" w14:textId="77777777" w:rsidR="009235BB" w:rsidRPr="00AC6105" w:rsidRDefault="009235BB" w:rsidP="00D21721">
            <w:pPr>
              <w:jc w:val="center"/>
              <w:rPr>
                <w:rFonts w:ascii="Arial" w:eastAsia="Times New Roman" w:hAnsi="Arial" w:cs="Arial"/>
                <w:i/>
                <w:iCs/>
                <w:sz w:val="14"/>
                <w:szCs w:val="14"/>
              </w:rPr>
            </w:pPr>
            <w:r>
              <w:rPr>
                <w:rFonts w:ascii="Arial" w:hAnsi="Arial"/>
                <w:i/>
                <w:sz w:val="14"/>
              </w:rPr>
              <w:t>Conditions de vie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A67D7DB" w14:textId="77777777" w:rsidR="009235BB" w:rsidRPr="00AC6105" w:rsidRDefault="009235BB" w:rsidP="00D6771B">
            <w:pPr>
              <w:jc w:val="center"/>
              <w:rPr>
                <w:rFonts w:ascii="Arial" w:eastAsia="Times New Roman" w:hAnsi="Arial" w:cs="Arial"/>
                <w:sz w:val="14"/>
                <w:szCs w:val="14"/>
              </w:rPr>
            </w:pPr>
            <w:r>
              <w:rPr>
                <w:rFonts w:ascii="Arial" w:hAnsi="Arial"/>
                <w:sz w:val="14"/>
              </w:rPr>
              <w:t>&gt;70 %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CD0BE88" w14:textId="77777777" w:rsidR="009235BB" w:rsidRPr="00AC6105" w:rsidRDefault="009235BB" w:rsidP="00D6771B">
            <w:pPr>
              <w:jc w:val="center"/>
              <w:rPr>
                <w:rFonts w:ascii="Arial" w:eastAsia="Times New Roman" w:hAnsi="Arial" w:cs="Arial"/>
                <w:sz w:val="14"/>
                <w:szCs w:val="14"/>
              </w:rPr>
            </w:pPr>
            <w:r>
              <w:rPr>
                <w:rFonts w:ascii="Arial" w:hAnsi="Arial"/>
                <w:sz w:val="14"/>
              </w:rPr>
              <w:t>50-70 %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F2A364F" w14:textId="77777777" w:rsidR="009235BB" w:rsidRPr="00AC6105" w:rsidRDefault="009235BB" w:rsidP="00D6771B">
            <w:pPr>
              <w:jc w:val="center"/>
              <w:rPr>
                <w:rFonts w:ascii="Arial" w:eastAsia="Times New Roman" w:hAnsi="Arial" w:cs="Arial"/>
                <w:sz w:val="14"/>
                <w:szCs w:val="14"/>
              </w:rPr>
            </w:pPr>
            <w:r>
              <w:rPr>
                <w:rFonts w:ascii="Arial" w:hAnsi="Arial"/>
                <w:sz w:val="14"/>
              </w:rPr>
              <w:t>30-49,9 %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1723270" w14:textId="77777777" w:rsidR="009235BB" w:rsidRPr="00AC6105" w:rsidRDefault="009235BB" w:rsidP="00D6771B">
            <w:pPr>
              <w:jc w:val="center"/>
              <w:rPr>
                <w:rFonts w:ascii="Arial" w:eastAsia="Times New Roman" w:hAnsi="Arial" w:cs="Arial"/>
                <w:sz w:val="14"/>
                <w:szCs w:val="14"/>
              </w:rPr>
            </w:pPr>
            <w:r>
              <w:rPr>
                <w:rFonts w:ascii="Arial" w:hAnsi="Arial"/>
                <w:sz w:val="14"/>
              </w:rPr>
              <w:t>11-29,9 %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505E64D" w14:textId="77777777" w:rsidR="009235BB" w:rsidRPr="00AC6105" w:rsidRDefault="009235BB" w:rsidP="00D6771B">
            <w:pPr>
              <w:jc w:val="center"/>
              <w:rPr>
                <w:rFonts w:ascii="Arial" w:eastAsia="Times New Roman" w:hAnsi="Arial" w:cs="Arial"/>
                <w:sz w:val="14"/>
                <w:szCs w:val="14"/>
              </w:rPr>
            </w:pPr>
            <w:r>
              <w:rPr>
                <w:rFonts w:ascii="Arial" w:hAnsi="Arial"/>
                <w:sz w:val="14"/>
              </w:rPr>
              <w:t>&lt;11%</w:t>
            </w:r>
          </w:p>
        </w:tc>
        <w:tc>
          <w:tcPr>
            <w:tcW w:w="4050" w:type="dxa"/>
            <w:tcBorders>
              <w:top w:val="single" w:sz="4" w:space="0" w:color="auto"/>
              <w:left w:val="single" w:sz="4" w:space="0" w:color="auto"/>
              <w:bottom w:val="single" w:sz="4" w:space="0" w:color="auto"/>
              <w:right w:val="single" w:sz="4" w:space="0" w:color="auto"/>
            </w:tcBorders>
            <w:vAlign w:val="center"/>
          </w:tcPr>
          <w:p w14:paraId="7E60FC39" w14:textId="77777777" w:rsidR="009235BB" w:rsidRPr="00AC6105" w:rsidRDefault="009235BB" w:rsidP="00D6771B">
            <w:pPr>
              <w:rPr>
                <w:rFonts w:ascii="Arial" w:eastAsia="Times New Roman" w:hAnsi="Arial" w:cs="Arial"/>
                <w:i/>
                <w:iCs/>
                <w:sz w:val="14"/>
                <w:szCs w:val="14"/>
              </w:rPr>
            </w:pPr>
            <w:r>
              <w:rPr>
                <w:rFonts w:ascii="Arial" w:hAnsi="Arial"/>
                <w:sz w:val="14"/>
              </w:rPr>
              <w:t>Adapté de la fiche d’évaluation de l’UNICEF sur l’allaitement maternel</w:t>
            </w:r>
          </w:p>
        </w:tc>
      </w:tr>
      <w:tr w:rsidR="009235BB" w:rsidRPr="00CA2973" w14:paraId="75081C10" w14:textId="77777777" w:rsidTr="00AC6105">
        <w:trPr>
          <w:trHeight w:val="361"/>
        </w:trPr>
        <w:tc>
          <w:tcPr>
            <w:tcW w:w="1080" w:type="dxa"/>
            <w:vMerge/>
            <w:tcBorders>
              <w:left w:val="single" w:sz="4" w:space="0" w:color="auto"/>
              <w:right w:val="single" w:sz="4" w:space="0" w:color="auto"/>
            </w:tcBorders>
            <w:tcMar>
              <w:top w:w="0" w:type="dxa"/>
              <w:left w:w="45" w:type="dxa"/>
              <w:bottom w:w="0" w:type="dxa"/>
              <w:right w:w="45" w:type="dxa"/>
            </w:tcMar>
            <w:vAlign w:val="center"/>
          </w:tcPr>
          <w:p w14:paraId="7CEA37CD" w14:textId="77777777" w:rsidR="009235BB" w:rsidRPr="00AC6105" w:rsidRDefault="009235BB" w:rsidP="00FB6233">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BB480" w14:textId="75AC3F3E" w:rsidR="009235BB" w:rsidRPr="00AC6105" w:rsidRDefault="009235BB" w:rsidP="00D6771B">
            <w:pPr>
              <w:rPr>
                <w:rFonts w:ascii="Arial" w:eastAsia="Times New Roman" w:hAnsi="Arial" w:cs="Arial"/>
                <w:sz w:val="14"/>
                <w:szCs w:val="14"/>
              </w:rPr>
            </w:pPr>
            <w:r>
              <w:rPr>
                <w:rFonts w:ascii="Arial" w:hAnsi="Arial"/>
                <w:sz w:val="14"/>
              </w:rPr>
              <w:t xml:space="preserve">Les nourrissons </w:t>
            </w:r>
            <w:r>
              <w:rPr>
                <w:rFonts w:ascii="Arial" w:hAnsi="Arial"/>
                <w:b/>
                <w:sz w:val="14"/>
              </w:rPr>
              <w:t xml:space="preserve">de 0 à 5 mois </w:t>
            </w:r>
            <w:r>
              <w:rPr>
                <w:rFonts w:ascii="Arial" w:hAnsi="Arial"/>
                <w:sz w:val="14"/>
              </w:rPr>
              <w:t xml:space="preserve">qui ne sont pas allaités au sein et qui ont accès </w:t>
            </w:r>
            <w:r w:rsidR="003B21DD">
              <w:rPr>
                <w:rFonts w:ascii="Arial" w:hAnsi="Arial"/>
                <w:sz w:val="14"/>
              </w:rPr>
              <w:t xml:space="preserve">aux </w:t>
            </w:r>
            <w:r>
              <w:rPr>
                <w:rFonts w:ascii="Arial" w:hAnsi="Arial"/>
                <w:sz w:val="14"/>
              </w:rPr>
              <w:t xml:space="preserve">substituts du lait maternel et à un soutien conformément au Code et aux normes et recommandations des </w:t>
            </w:r>
            <w:hyperlink r:id="rId31" w:history="1">
              <w:r>
                <w:rPr>
                  <w:rStyle w:val="Lienhypertexte"/>
                  <w:rFonts w:ascii="Arial" w:hAnsi="Arial"/>
                  <w:sz w:val="14"/>
                </w:rPr>
                <w:t>Orientations opérationnelles de l’IFE</w:t>
              </w:r>
            </w:hyperlink>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7EF8643E" w14:textId="77777777" w:rsidR="009235BB" w:rsidRPr="00AC6105" w:rsidRDefault="009235BB" w:rsidP="00D21721">
            <w:pPr>
              <w:jc w:val="center"/>
              <w:rPr>
                <w:rFonts w:ascii="Arial" w:eastAsia="Times New Roman" w:hAnsi="Arial" w:cs="Arial"/>
                <w:i/>
                <w:iCs/>
                <w:sz w:val="14"/>
                <w:szCs w:val="14"/>
              </w:rPr>
            </w:pPr>
            <w:r>
              <w:rPr>
                <w:rFonts w:ascii="Arial" w:hAnsi="Arial"/>
                <w:i/>
                <w:sz w:val="14"/>
              </w:rPr>
              <w:t>Conditions de vie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A2AA53F" w14:textId="77777777" w:rsidR="009235BB" w:rsidRPr="00AC6105" w:rsidRDefault="009235BB" w:rsidP="00D6771B">
            <w:pPr>
              <w:jc w:val="center"/>
              <w:rPr>
                <w:rFonts w:ascii="Arial" w:eastAsia="Times New Roman" w:hAnsi="Arial" w:cs="Arial"/>
                <w:sz w:val="14"/>
                <w:szCs w:val="14"/>
              </w:rPr>
            </w:pPr>
            <w:r>
              <w:rPr>
                <w:rFonts w:ascii="Arial" w:hAnsi="Arial"/>
                <w:sz w:val="14"/>
              </w:rPr>
              <w:t>&gt;60 %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1122C23" w14:textId="77777777" w:rsidR="009235BB" w:rsidRPr="00AC6105" w:rsidRDefault="009235BB" w:rsidP="00D6771B">
            <w:pPr>
              <w:jc w:val="center"/>
              <w:rPr>
                <w:rFonts w:ascii="Arial" w:eastAsia="Times New Roman" w:hAnsi="Arial" w:cs="Arial"/>
                <w:sz w:val="14"/>
                <w:szCs w:val="14"/>
              </w:rPr>
            </w:pPr>
            <w:r>
              <w:rPr>
                <w:rFonts w:ascii="Arial" w:hAnsi="Arial"/>
                <w:sz w:val="14"/>
              </w:rPr>
              <w:t>40-60 %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1343B24" w14:textId="77777777" w:rsidR="009235BB" w:rsidRPr="00AC6105" w:rsidRDefault="009235BB" w:rsidP="00D6771B">
            <w:pPr>
              <w:jc w:val="center"/>
              <w:rPr>
                <w:rFonts w:ascii="Arial" w:eastAsia="Times New Roman" w:hAnsi="Arial" w:cs="Arial"/>
                <w:sz w:val="14"/>
                <w:szCs w:val="14"/>
              </w:rPr>
            </w:pPr>
            <w:r>
              <w:rPr>
                <w:rFonts w:ascii="Arial" w:hAnsi="Arial"/>
                <w:sz w:val="14"/>
              </w:rPr>
              <w:t>20-39,9 %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BCDBACE" w14:textId="77777777" w:rsidR="009235BB" w:rsidRPr="00AC6105" w:rsidRDefault="009235BB" w:rsidP="00D6771B">
            <w:pPr>
              <w:jc w:val="center"/>
              <w:rPr>
                <w:rFonts w:ascii="Arial" w:eastAsia="Times New Roman" w:hAnsi="Arial" w:cs="Arial"/>
                <w:color w:val="FFFFFF" w:themeColor="background1"/>
                <w:sz w:val="14"/>
                <w:szCs w:val="14"/>
              </w:rPr>
            </w:pPr>
            <w:r>
              <w:rPr>
                <w:rFonts w:ascii="Arial" w:hAnsi="Arial"/>
                <w:sz w:val="14"/>
              </w:rPr>
              <w:t>10-19,9 %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E844BCD" w14:textId="77777777" w:rsidR="009235BB" w:rsidRPr="00AC6105" w:rsidRDefault="009235BB" w:rsidP="00D6771B">
            <w:pPr>
              <w:jc w:val="center"/>
              <w:rPr>
                <w:rFonts w:ascii="Arial" w:eastAsia="Times New Roman" w:hAnsi="Arial" w:cs="Arial"/>
                <w:color w:val="FFFFFF" w:themeColor="background1"/>
                <w:sz w:val="14"/>
                <w:szCs w:val="14"/>
              </w:rPr>
            </w:pPr>
            <w:r>
              <w:rPr>
                <w:rFonts w:ascii="Arial" w:hAnsi="Arial"/>
                <w:sz w:val="14"/>
              </w:rPr>
              <w:t>&lt;10%</w:t>
            </w:r>
          </w:p>
        </w:tc>
        <w:tc>
          <w:tcPr>
            <w:tcW w:w="4050" w:type="dxa"/>
            <w:tcBorders>
              <w:top w:val="single" w:sz="4" w:space="0" w:color="auto"/>
              <w:left w:val="single" w:sz="4" w:space="0" w:color="auto"/>
              <w:bottom w:val="single" w:sz="4" w:space="0" w:color="auto"/>
              <w:right w:val="single" w:sz="4" w:space="0" w:color="auto"/>
            </w:tcBorders>
            <w:vAlign w:val="center"/>
          </w:tcPr>
          <w:p w14:paraId="045CBE95" w14:textId="77777777" w:rsidR="009235BB" w:rsidRPr="00AC6105" w:rsidRDefault="009235BB" w:rsidP="00D6771B">
            <w:pPr>
              <w:rPr>
                <w:rFonts w:ascii="Arial" w:eastAsia="Times New Roman" w:hAnsi="Arial" w:cs="Arial"/>
                <w:sz w:val="14"/>
                <w:szCs w:val="14"/>
              </w:rPr>
            </w:pPr>
            <w:r>
              <w:rPr>
                <w:rFonts w:ascii="Arial" w:hAnsi="Arial"/>
                <w:i/>
                <w:sz w:val="14"/>
              </w:rPr>
              <w:t xml:space="preserve">Seuils préliminaires </w:t>
            </w:r>
            <w:r>
              <w:rPr>
                <w:rFonts w:ascii="Arial" w:hAnsi="Arial"/>
                <w:sz w:val="14"/>
              </w:rPr>
              <w:t>proposés par l’IFE Core Group</w:t>
            </w:r>
          </w:p>
        </w:tc>
      </w:tr>
      <w:tr w:rsidR="009235BB" w:rsidRPr="00CA2973" w14:paraId="7F226092" w14:textId="77777777" w:rsidTr="00AC6105">
        <w:trPr>
          <w:trHeight w:val="179"/>
        </w:trPr>
        <w:tc>
          <w:tcPr>
            <w:tcW w:w="1080" w:type="dxa"/>
            <w:vMerge/>
            <w:tcBorders>
              <w:left w:val="single" w:sz="4" w:space="0" w:color="auto"/>
              <w:right w:val="single" w:sz="4" w:space="0" w:color="auto"/>
            </w:tcBorders>
            <w:tcMar>
              <w:top w:w="0" w:type="dxa"/>
              <w:left w:w="45" w:type="dxa"/>
              <w:bottom w:w="0" w:type="dxa"/>
              <w:right w:w="45" w:type="dxa"/>
            </w:tcMar>
            <w:vAlign w:val="center"/>
          </w:tcPr>
          <w:p w14:paraId="53298C05" w14:textId="77777777" w:rsidR="009235BB" w:rsidRPr="00AC6105" w:rsidRDefault="009235BB" w:rsidP="00FB6233">
            <w:pPr>
              <w:jc w:val="center"/>
              <w:rPr>
                <w:rFonts w:ascii="Arial" w:eastAsia="Times New Roman" w:hAnsi="Arial" w:cs="Arial"/>
                <w:b/>
                <w:bCs/>
                <w:sz w:val="14"/>
                <w:szCs w:val="14"/>
                <w:lang w:eastAsia="fr-FR"/>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7F8B" w14:textId="4E29AAE8" w:rsidR="009235BB" w:rsidRPr="00AC6105" w:rsidRDefault="009235BB" w:rsidP="00D6771B">
            <w:pPr>
              <w:pStyle w:val="NormalWeb"/>
              <w:spacing w:before="0" w:beforeAutospacing="0" w:after="0" w:afterAutospacing="0"/>
              <w:rPr>
                <w:sz w:val="14"/>
                <w:szCs w:val="14"/>
              </w:rPr>
            </w:pPr>
            <w:r>
              <w:rPr>
                <w:rFonts w:ascii="Arial" w:hAnsi="Arial"/>
                <w:sz w:val="14"/>
              </w:rPr>
              <w:t xml:space="preserve">Les nourrissons </w:t>
            </w:r>
            <w:r>
              <w:rPr>
                <w:rFonts w:ascii="Arial" w:hAnsi="Arial"/>
                <w:b/>
                <w:sz w:val="14"/>
              </w:rPr>
              <w:t xml:space="preserve">de 6 à 11 mois </w:t>
            </w:r>
            <w:r>
              <w:rPr>
                <w:rFonts w:ascii="Arial" w:hAnsi="Arial"/>
                <w:sz w:val="14"/>
              </w:rPr>
              <w:t>qui ne sont pas allaités au sein et qui ont accès</w:t>
            </w:r>
            <w:r w:rsidR="003B21DD">
              <w:rPr>
                <w:rFonts w:ascii="Arial" w:hAnsi="Arial"/>
                <w:sz w:val="14"/>
              </w:rPr>
              <w:t xml:space="preserve"> aux </w:t>
            </w:r>
            <w:r>
              <w:rPr>
                <w:rFonts w:ascii="Arial" w:hAnsi="Arial"/>
                <w:sz w:val="14"/>
              </w:rPr>
              <w:t xml:space="preserve">substituts du lait maternel et à un soutien conformément au Code et aux normes et recommandations des </w:t>
            </w:r>
            <w:hyperlink r:id="rId32" w:history="1">
              <w:r>
                <w:rPr>
                  <w:rStyle w:val="Lienhypertexte"/>
                  <w:rFonts w:ascii="Arial" w:hAnsi="Arial"/>
                  <w:sz w:val="14"/>
                </w:rPr>
                <w:t>Orientations opérationnelles de l’IFE</w:t>
              </w:r>
            </w:hyperlink>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6142EEA1" w14:textId="77777777" w:rsidR="009235BB" w:rsidRPr="00AC6105" w:rsidRDefault="009235BB" w:rsidP="00D21721">
            <w:pPr>
              <w:jc w:val="center"/>
              <w:rPr>
                <w:rFonts w:ascii="Arial" w:eastAsia="Times New Roman" w:hAnsi="Arial" w:cs="Arial"/>
                <w:i/>
                <w:iCs/>
                <w:sz w:val="14"/>
                <w:szCs w:val="14"/>
              </w:rPr>
            </w:pPr>
            <w:r>
              <w:rPr>
                <w:rFonts w:ascii="Arial" w:hAnsi="Arial"/>
                <w:i/>
                <w:sz w:val="14"/>
              </w:rPr>
              <w:t>Conditions de vie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FC98F7F" w14:textId="77777777" w:rsidR="009235BB" w:rsidRPr="00AC6105" w:rsidRDefault="009235BB" w:rsidP="00D6771B">
            <w:pPr>
              <w:jc w:val="center"/>
              <w:rPr>
                <w:rFonts w:ascii="Arial" w:eastAsia="Times New Roman" w:hAnsi="Arial" w:cs="Arial"/>
                <w:sz w:val="14"/>
                <w:szCs w:val="14"/>
              </w:rPr>
            </w:pPr>
            <w:r>
              <w:rPr>
                <w:rFonts w:ascii="Arial" w:hAnsi="Arial"/>
                <w:sz w:val="14"/>
              </w:rPr>
              <w:t>&gt;60 %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292E263" w14:textId="77777777" w:rsidR="009235BB" w:rsidRPr="00AC6105" w:rsidRDefault="009235BB" w:rsidP="00D6771B">
            <w:pPr>
              <w:jc w:val="center"/>
              <w:rPr>
                <w:rFonts w:ascii="Arial" w:eastAsia="Times New Roman" w:hAnsi="Arial" w:cs="Arial"/>
                <w:sz w:val="14"/>
                <w:szCs w:val="14"/>
              </w:rPr>
            </w:pPr>
            <w:r>
              <w:rPr>
                <w:rFonts w:ascii="Arial" w:hAnsi="Arial"/>
                <w:sz w:val="14"/>
              </w:rPr>
              <w:t>40-60 %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803D557" w14:textId="77777777" w:rsidR="009235BB" w:rsidRPr="00AC6105" w:rsidRDefault="009235BB" w:rsidP="00D6771B">
            <w:pPr>
              <w:jc w:val="center"/>
              <w:rPr>
                <w:rFonts w:ascii="Arial" w:eastAsia="Times New Roman" w:hAnsi="Arial" w:cs="Arial"/>
                <w:sz w:val="14"/>
                <w:szCs w:val="14"/>
              </w:rPr>
            </w:pPr>
            <w:r>
              <w:rPr>
                <w:rFonts w:ascii="Arial" w:hAnsi="Arial"/>
                <w:sz w:val="14"/>
              </w:rPr>
              <w:t>20-39,9 %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61C6197" w14:textId="77777777" w:rsidR="009235BB" w:rsidRPr="00AC6105" w:rsidRDefault="009235BB" w:rsidP="00D6771B">
            <w:pPr>
              <w:jc w:val="center"/>
              <w:rPr>
                <w:rFonts w:ascii="Arial" w:eastAsia="Times New Roman" w:hAnsi="Arial" w:cs="Arial"/>
                <w:color w:val="FFFFFF" w:themeColor="background1"/>
                <w:sz w:val="14"/>
                <w:szCs w:val="14"/>
              </w:rPr>
            </w:pPr>
            <w:r>
              <w:rPr>
                <w:rFonts w:ascii="Arial" w:hAnsi="Arial"/>
                <w:sz w:val="14"/>
              </w:rPr>
              <w:t>10-19,9 %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9D8C8C7" w14:textId="77777777" w:rsidR="009235BB" w:rsidRPr="00AC6105" w:rsidRDefault="009235BB" w:rsidP="00D6771B">
            <w:pPr>
              <w:jc w:val="center"/>
              <w:rPr>
                <w:rFonts w:ascii="Arial" w:eastAsia="Times New Roman" w:hAnsi="Arial" w:cs="Arial"/>
                <w:color w:val="FFFFFF" w:themeColor="background1"/>
                <w:sz w:val="14"/>
                <w:szCs w:val="14"/>
              </w:rPr>
            </w:pPr>
            <w:r>
              <w:rPr>
                <w:rFonts w:ascii="Arial" w:hAnsi="Arial"/>
                <w:sz w:val="14"/>
              </w:rPr>
              <w:t>&lt;10%</w:t>
            </w:r>
          </w:p>
        </w:tc>
        <w:tc>
          <w:tcPr>
            <w:tcW w:w="4050" w:type="dxa"/>
            <w:tcBorders>
              <w:top w:val="single" w:sz="4" w:space="0" w:color="auto"/>
              <w:left w:val="single" w:sz="4" w:space="0" w:color="auto"/>
              <w:bottom w:val="single" w:sz="4" w:space="0" w:color="auto"/>
              <w:right w:val="single" w:sz="4" w:space="0" w:color="auto"/>
            </w:tcBorders>
            <w:vAlign w:val="center"/>
          </w:tcPr>
          <w:p w14:paraId="4C9B5BED" w14:textId="77777777" w:rsidR="009235BB" w:rsidRPr="00AC6105" w:rsidRDefault="009235BB" w:rsidP="00D6771B">
            <w:pPr>
              <w:rPr>
                <w:rFonts w:ascii="Arial" w:eastAsia="Times New Roman" w:hAnsi="Arial" w:cs="Arial"/>
                <w:sz w:val="14"/>
                <w:szCs w:val="14"/>
              </w:rPr>
            </w:pPr>
            <w:r>
              <w:rPr>
                <w:rFonts w:ascii="Arial" w:hAnsi="Arial"/>
                <w:i/>
                <w:sz w:val="14"/>
              </w:rPr>
              <w:t xml:space="preserve">Seuils préliminaires </w:t>
            </w:r>
            <w:r>
              <w:rPr>
                <w:rFonts w:ascii="Arial" w:hAnsi="Arial"/>
                <w:sz w:val="14"/>
              </w:rPr>
              <w:t>proposés par l’IFE Core Group</w:t>
            </w:r>
          </w:p>
        </w:tc>
      </w:tr>
    </w:tbl>
    <w:p w14:paraId="64DFBA32" w14:textId="77777777" w:rsidR="009A5C80" w:rsidRPr="00CA2973" w:rsidRDefault="009A5C80" w:rsidP="009A5C80">
      <w:pPr>
        <w:spacing w:after="120"/>
        <w:jc w:val="both"/>
        <w:rPr>
          <w:rFonts w:ascii="Arial" w:hAnsi="Arial" w:cs="Arial"/>
        </w:rPr>
        <w:sectPr w:rsidR="009A5C80" w:rsidRPr="00CA2973" w:rsidSect="0085573D">
          <w:endnotePr>
            <w:numFmt w:val="decimal"/>
          </w:endnotePr>
          <w:pgSz w:w="16838" w:h="11906" w:orient="landscape"/>
          <w:pgMar w:top="1080" w:right="1440" w:bottom="1080" w:left="1440" w:header="144" w:footer="720" w:gutter="0"/>
          <w:cols w:space="720"/>
          <w:docGrid w:linePitch="360"/>
        </w:sectPr>
      </w:pPr>
    </w:p>
    <w:p w14:paraId="75F7056D" w14:textId="056EC6E7" w:rsidR="00B25F25" w:rsidRDefault="003B21DD" w:rsidP="00FE35E2">
      <w:pPr>
        <w:pStyle w:val="Paragraphedeliste"/>
        <w:numPr>
          <w:ilvl w:val="0"/>
          <w:numId w:val="2"/>
        </w:numPr>
        <w:spacing w:after="120"/>
        <w:ind w:left="576" w:hanging="288"/>
        <w:contextualSpacing w:val="0"/>
        <w:jc w:val="both"/>
        <w:rPr>
          <w:rFonts w:ascii="Arial" w:hAnsi="Arial" w:cs="Arial"/>
        </w:rPr>
      </w:pPr>
      <w:r>
        <w:rPr>
          <w:rFonts w:ascii="Arial" w:hAnsi="Arial"/>
        </w:rPr>
        <w:lastRenderedPageBreak/>
        <w:t>C</w:t>
      </w:r>
      <w:r w:rsidR="00FE35E2">
        <w:rPr>
          <w:rFonts w:ascii="Arial" w:hAnsi="Arial"/>
        </w:rPr>
        <w:t>onsolide</w:t>
      </w:r>
      <w:r w:rsidR="00984F13">
        <w:rPr>
          <w:rFonts w:ascii="Arial" w:hAnsi="Arial"/>
        </w:rPr>
        <w:t>z</w:t>
      </w:r>
      <w:r w:rsidR="00FE35E2">
        <w:rPr>
          <w:rFonts w:ascii="Arial" w:hAnsi="Arial"/>
        </w:rPr>
        <w:t xml:space="preserve"> les données brutes selon chacun des indicateurs nutritionnels identifiés ci-dessus (à désagréger par genre, tranche d’âge et handicap, si </w:t>
      </w:r>
      <w:r w:rsidR="00984F13">
        <w:rPr>
          <w:rFonts w:ascii="Arial" w:hAnsi="Arial"/>
        </w:rPr>
        <w:t>les données sont disponibles</w:t>
      </w:r>
      <w:r w:rsidR="00FE35E2">
        <w:rPr>
          <w:rFonts w:ascii="Arial" w:hAnsi="Arial"/>
        </w:rPr>
        <w:t xml:space="preserve">) dans les zones géographiques </w:t>
      </w:r>
      <w:r w:rsidR="00FE35E2">
        <w:rPr>
          <w:rFonts w:ascii="Arial" w:hAnsi="Arial"/>
          <w:i/>
        </w:rPr>
        <w:t>affectées</w:t>
      </w:r>
      <w:r w:rsidR="00FE35E2">
        <w:rPr>
          <w:rStyle w:val="Appelnotedebasdep"/>
          <w:rFonts w:ascii="Arial" w:hAnsi="Arial" w:cs="Arial"/>
          <w:i/>
          <w:iCs/>
        </w:rPr>
        <w:footnoteReference w:id="7"/>
      </w:r>
      <w:r w:rsidR="00FE35E2">
        <w:rPr>
          <w:rFonts w:ascii="Arial" w:hAnsi="Arial"/>
        </w:rPr>
        <w:t>. Un certain nombre d’aspects clés à prendre en compte et d’adaptations potentielles (voir le</w:t>
      </w:r>
      <w:r w:rsidR="00FE35E2">
        <w:rPr>
          <w:rFonts w:ascii="Arial" w:hAnsi="Arial"/>
          <w:i/>
        </w:rPr>
        <w:t xml:space="preserve"> Tableau 2 </w:t>
      </w:r>
      <w:r w:rsidR="00FE35E2">
        <w:rPr>
          <w:rFonts w:ascii="Arial" w:hAnsi="Arial"/>
        </w:rPr>
        <w:t xml:space="preserve">ci-dessous) lors de l’utilisation des </w:t>
      </w:r>
      <w:r w:rsidR="009F05EF">
        <w:rPr>
          <w:rFonts w:ascii="Arial" w:hAnsi="Arial"/>
        </w:rPr>
        <w:t>évidences</w:t>
      </w:r>
      <w:r w:rsidR="00FE35E2">
        <w:rPr>
          <w:rFonts w:ascii="Arial" w:hAnsi="Arial"/>
        </w:rPr>
        <w:t xml:space="preserve"> disponibles et fiables</w:t>
      </w:r>
      <w:r w:rsidR="00FE35E2" w:rsidRPr="0045555B">
        <w:rPr>
          <w:rStyle w:val="Appelnotedebasdep"/>
          <w:rFonts w:ascii="Arial" w:hAnsi="Arial" w:cs="Arial"/>
        </w:rPr>
        <w:footnoteReference w:id="8"/>
      </w:r>
      <w:r w:rsidR="00FE35E2">
        <w:rPr>
          <w:rFonts w:ascii="Arial" w:hAnsi="Arial"/>
        </w:rPr>
        <w:t xml:space="preserve"> peuvent être nécessaires avant de parvenir à un consensus pour l’Analyse de la situation nutritionnelle.</w:t>
      </w:r>
    </w:p>
    <w:p w14:paraId="20980AB4" w14:textId="05D132A9" w:rsidR="00B25F25" w:rsidRPr="0009769E" w:rsidRDefault="00B25F25" w:rsidP="0009769E">
      <w:pPr>
        <w:spacing w:after="120"/>
        <w:jc w:val="both"/>
        <w:rPr>
          <w:rFonts w:ascii="Arial" w:hAnsi="Arial" w:cs="Arial"/>
        </w:rPr>
      </w:pPr>
      <w:r w:rsidRPr="0009769E">
        <w:rPr>
          <w:rFonts w:ascii="Arial" w:hAnsi="Arial"/>
        </w:rPr>
        <w:t xml:space="preserve">Les résultats de l’analyse sectorielle de la nutrition apportent une contribution clé à l’analyse du JIAF qui sera réalisée en parallèle. Le champ d’application de l’analyse intersectorielle du JIAF doit correspondre aux analyses sectorielles de l’ABH ; sinon, veuillez revoir la liste des aspects à prendre en compte et des adaptations lors de la conduite des analyses sectorielles de la nutrition, qui est présentée </w:t>
      </w:r>
      <w:r w:rsidR="00D002F6">
        <w:rPr>
          <w:rFonts w:ascii="Arial" w:hAnsi="Arial"/>
        </w:rPr>
        <w:t>dans le</w:t>
      </w:r>
      <w:r w:rsidR="00D002F6" w:rsidRPr="0009769E">
        <w:rPr>
          <w:rFonts w:ascii="Arial" w:hAnsi="Arial"/>
        </w:rPr>
        <w:t xml:space="preserve"> </w:t>
      </w:r>
      <w:r w:rsidRPr="0009769E">
        <w:rPr>
          <w:rFonts w:ascii="Arial" w:hAnsi="Arial"/>
        </w:rPr>
        <w:t xml:space="preserve">Tableau 3 des </w:t>
      </w:r>
      <w:hyperlink r:id="rId33" w:history="1">
        <w:r w:rsidRPr="003B21DD">
          <w:rPr>
            <w:rStyle w:val="Lienhypertexte"/>
            <w:rFonts w:ascii="Arial" w:hAnsi="Arial"/>
          </w:rPr>
          <w:t>Directives pour l’analyse des besoins humanitaires en matière de nutrition</w:t>
        </w:r>
      </w:hyperlink>
      <w:r w:rsidRPr="0009769E">
        <w:rPr>
          <w:rFonts w:ascii="Arial" w:hAnsi="Arial"/>
          <w:i/>
        </w:rPr>
        <w:t>.</w:t>
      </w:r>
      <w:r w:rsidRPr="0009769E">
        <w:rPr>
          <w:rFonts w:ascii="Arial" w:hAnsi="Arial"/>
        </w:rPr>
        <w:t xml:space="preserve"> </w:t>
      </w:r>
    </w:p>
    <w:p w14:paraId="03DF68A5" w14:textId="77777777" w:rsidR="00DD7BE9" w:rsidRDefault="00DD7BE9" w:rsidP="007F6643">
      <w:pPr>
        <w:pStyle w:val="Titre2"/>
        <w:rPr>
          <w:rFonts w:ascii="Arial" w:hAnsi="Arial" w:cs="Arial"/>
          <w:b/>
          <w:color w:val="000000"/>
          <w:sz w:val="28"/>
          <w:szCs w:val="28"/>
        </w:rPr>
      </w:pPr>
    </w:p>
    <w:p w14:paraId="2CBE3FD5" w14:textId="6D8592C2" w:rsidR="007F6643" w:rsidRPr="00CF4AD8" w:rsidRDefault="004258CF" w:rsidP="007F6643">
      <w:pPr>
        <w:pStyle w:val="Titre2"/>
      </w:pPr>
      <w:bookmarkStart w:id="17" w:name="_Toc90559362"/>
      <w:r>
        <w:rPr>
          <w:rFonts w:ascii="Arial" w:hAnsi="Arial"/>
          <w:b/>
          <w:color w:val="000000"/>
          <w:sz w:val="28"/>
        </w:rPr>
        <w:t xml:space="preserve">4) Contributions </w:t>
      </w:r>
      <w:r w:rsidR="008C520F">
        <w:rPr>
          <w:rFonts w:ascii="Arial" w:hAnsi="Arial"/>
          <w:b/>
          <w:color w:val="000000"/>
          <w:sz w:val="28"/>
        </w:rPr>
        <w:t xml:space="preserve">du secteur nutrition </w:t>
      </w:r>
      <w:r>
        <w:rPr>
          <w:rFonts w:ascii="Arial" w:hAnsi="Arial"/>
          <w:b/>
          <w:color w:val="000000"/>
          <w:sz w:val="28"/>
        </w:rPr>
        <w:t xml:space="preserve">à l’analyse de la situation </w:t>
      </w:r>
      <w:r w:rsidR="001A764E">
        <w:rPr>
          <w:rFonts w:ascii="Arial" w:hAnsi="Arial"/>
          <w:b/>
          <w:color w:val="000000"/>
          <w:sz w:val="28"/>
        </w:rPr>
        <w:t xml:space="preserve">selon </w:t>
      </w:r>
      <w:r>
        <w:rPr>
          <w:rFonts w:ascii="Arial" w:hAnsi="Arial"/>
          <w:b/>
          <w:color w:val="000000"/>
          <w:sz w:val="28"/>
        </w:rPr>
        <w:t>JIAF</w:t>
      </w:r>
      <w:bookmarkEnd w:id="17"/>
      <w:r>
        <w:rPr>
          <w:rFonts w:ascii="Arial" w:hAnsi="Arial"/>
          <w:b/>
          <w:color w:val="000000"/>
          <w:sz w:val="28"/>
        </w:rPr>
        <w:t xml:space="preserve"> </w:t>
      </w:r>
    </w:p>
    <w:p w14:paraId="19A3A992" w14:textId="6BB02F17" w:rsidR="007F6643" w:rsidRPr="00CA2973" w:rsidRDefault="007F6643" w:rsidP="007F6643">
      <w:pPr>
        <w:spacing w:after="120"/>
        <w:jc w:val="both"/>
        <w:rPr>
          <w:rFonts w:ascii="Arial" w:hAnsi="Arial" w:cs="Arial"/>
        </w:rPr>
      </w:pPr>
      <w:r>
        <w:rPr>
          <w:rFonts w:ascii="Arial" w:hAnsi="Arial"/>
        </w:rPr>
        <w:t>Dirigées par le Coordinateur du Cluster Nutrition dans le pays et co-dirigées par des représentants du gouvernement national</w:t>
      </w:r>
      <w:r w:rsidR="009F05EF">
        <w:rPr>
          <w:rFonts w:ascii="Arial" w:hAnsi="Arial"/>
        </w:rPr>
        <w:t>,</w:t>
      </w:r>
      <w:r w:rsidR="00D002F6">
        <w:rPr>
          <w:rFonts w:ascii="Arial" w:hAnsi="Arial"/>
        </w:rPr>
        <w:t xml:space="preserve"> ensemble avec les</w:t>
      </w:r>
      <w:r>
        <w:rPr>
          <w:rFonts w:ascii="Arial" w:hAnsi="Arial"/>
        </w:rPr>
        <w:t xml:space="preserve"> partenaires du Cluster </w:t>
      </w:r>
      <w:r w:rsidR="00D002F6">
        <w:rPr>
          <w:rFonts w:ascii="Arial" w:hAnsi="Arial"/>
        </w:rPr>
        <w:t>(</w:t>
      </w:r>
      <w:r>
        <w:rPr>
          <w:rFonts w:ascii="Arial" w:hAnsi="Arial"/>
        </w:rPr>
        <w:t xml:space="preserve">les institutions/organisations de la société civile, les </w:t>
      </w:r>
      <w:r w:rsidR="00D002F6">
        <w:rPr>
          <w:rFonts w:ascii="Arial" w:hAnsi="Arial"/>
        </w:rPr>
        <w:t>acteurs locaux</w:t>
      </w:r>
      <w:r>
        <w:rPr>
          <w:rFonts w:ascii="Arial" w:hAnsi="Arial"/>
        </w:rPr>
        <w:t>, les agences de l’ONU</w:t>
      </w:r>
      <w:r w:rsidR="00D002F6">
        <w:rPr>
          <w:rFonts w:ascii="Arial" w:hAnsi="Arial"/>
        </w:rPr>
        <w:t>)</w:t>
      </w:r>
      <w:r w:rsidR="009F05EF">
        <w:rPr>
          <w:rFonts w:ascii="Arial" w:hAnsi="Arial"/>
        </w:rPr>
        <w:t xml:space="preserve"> et</w:t>
      </w:r>
      <w:r>
        <w:rPr>
          <w:rFonts w:ascii="Arial" w:hAnsi="Arial"/>
        </w:rPr>
        <w:t xml:space="preserve">les membres du GTT SIN ou </w:t>
      </w:r>
      <w:r w:rsidR="00612735">
        <w:rPr>
          <w:rFonts w:ascii="Arial" w:hAnsi="Arial"/>
        </w:rPr>
        <w:t xml:space="preserve">une </w:t>
      </w:r>
      <w:r>
        <w:rPr>
          <w:rFonts w:ascii="Arial" w:hAnsi="Arial"/>
        </w:rPr>
        <w:t>entité équivalente</w:t>
      </w:r>
      <w:r w:rsidRPr="00CA2973">
        <w:rPr>
          <w:rStyle w:val="Appelnotedebasdep"/>
          <w:rFonts w:ascii="Arial" w:hAnsi="Arial" w:cs="Arial"/>
        </w:rPr>
        <w:footnoteReference w:id="9"/>
      </w:r>
      <w:r>
        <w:rPr>
          <w:rFonts w:ascii="Arial" w:hAnsi="Arial"/>
        </w:rPr>
        <w:t>, les étapes suivantes</w:t>
      </w:r>
      <w:r w:rsidR="00245A47">
        <w:rPr>
          <w:rFonts w:ascii="Arial" w:hAnsi="Arial"/>
        </w:rPr>
        <w:t xml:space="preserve"> – </w:t>
      </w:r>
      <w:r>
        <w:rPr>
          <w:rFonts w:ascii="Arial" w:hAnsi="Arial"/>
        </w:rPr>
        <w:t>selon le</w:t>
      </w:r>
      <w:r w:rsidR="00D002F6">
        <w:rPr>
          <w:rFonts w:ascii="Arial" w:hAnsi="Arial"/>
        </w:rPr>
        <w:t>s 3</w:t>
      </w:r>
      <w:r>
        <w:rPr>
          <w:rFonts w:ascii="Arial" w:hAnsi="Arial"/>
        </w:rPr>
        <w:t xml:space="preserve"> scénario</w:t>
      </w:r>
      <w:r w:rsidR="009F05EF">
        <w:rPr>
          <w:rFonts w:ascii="Arial" w:hAnsi="Arial"/>
        </w:rPr>
        <w:t>s</w:t>
      </w:r>
      <w:r w:rsidR="00245A47">
        <w:rPr>
          <w:rFonts w:ascii="Arial" w:hAnsi="Arial"/>
        </w:rPr>
        <w:t xml:space="preserve"> –</w:t>
      </w:r>
      <w:r>
        <w:rPr>
          <w:rFonts w:ascii="Arial" w:hAnsi="Arial"/>
        </w:rPr>
        <w:t xml:space="preserve"> visent à fournir une </w:t>
      </w:r>
      <w:r>
        <w:rPr>
          <w:rFonts w:ascii="Arial" w:hAnsi="Arial"/>
          <w:b/>
          <w:bCs/>
        </w:rPr>
        <w:t>approche commune</w:t>
      </w:r>
      <w:r>
        <w:rPr>
          <w:rFonts w:ascii="Arial" w:hAnsi="Arial"/>
        </w:rPr>
        <w:t xml:space="preserve"> pour contribuer à l’Analyse conjointe intersectorielle des besoins :</w:t>
      </w:r>
    </w:p>
    <w:p w14:paraId="36ACFBB0" w14:textId="4650E24F" w:rsidR="003D24FA" w:rsidRDefault="00D002F6" w:rsidP="001F6950">
      <w:pPr>
        <w:pStyle w:val="Paragraphedeliste"/>
        <w:numPr>
          <w:ilvl w:val="0"/>
          <w:numId w:val="15"/>
        </w:numPr>
        <w:spacing w:after="120"/>
        <w:ind w:left="576" w:hanging="288"/>
        <w:contextualSpacing w:val="0"/>
        <w:jc w:val="both"/>
        <w:rPr>
          <w:rFonts w:ascii="Arial" w:hAnsi="Arial" w:cs="Arial"/>
        </w:rPr>
      </w:pPr>
      <w:r>
        <w:rPr>
          <w:rFonts w:ascii="Arial" w:hAnsi="Arial"/>
        </w:rPr>
        <w:t>I</w:t>
      </w:r>
      <w:r w:rsidR="005B1F0C">
        <w:rPr>
          <w:rFonts w:ascii="Arial" w:hAnsi="Arial"/>
        </w:rPr>
        <w:t>dentifi</w:t>
      </w:r>
      <w:r w:rsidR="007F6643">
        <w:rPr>
          <w:rFonts w:ascii="Arial" w:hAnsi="Arial"/>
        </w:rPr>
        <w:t>e</w:t>
      </w:r>
      <w:r w:rsidR="005B1F0C">
        <w:rPr>
          <w:rFonts w:ascii="Arial" w:hAnsi="Arial"/>
        </w:rPr>
        <w:t>z</w:t>
      </w:r>
      <w:r w:rsidR="007F6643">
        <w:rPr>
          <w:rFonts w:ascii="Arial" w:hAnsi="Arial"/>
        </w:rPr>
        <w:t xml:space="preserve"> le point de contact principal</w:t>
      </w:r>
      <w:r w:rsidR="007F6643" w:rsidRPr="000E7B82">
        <w:rPr>
          <w:vertAlign w:val="superscript"/>
        </w:rPr>
        <w:footnoteReference w:id="10"/>
      </w:r>
      <w:r w:rsidR="007F6643">
        <w:rPr>
          <w:rFonts w:ascii="Arial" w:hAnsi="Arial"/>
        </w:rPr>
        <w:t xml:space="preserve"> du GTT SIN pour JIAF – cette personne sera le point focal </w:t>
      </w:r>
      <w:r>
        <w:rPr>
          <w:rFonts w:ascii="Arial" w:hAnsi="Arial"/>
        </w:rPr>
        <w:t>ayant</w:t>
      </w:r>
      <w:r w:rsidR="007F6643">
        <w:rPr>
          <w:rFonts w:ascii="Arial" w:hAnsi="Arial"/>
        </w:rPr>
        <w:t xml:space="preserve"> toutes les connaissances techniques spécifiques à la nutrition</w:t>
      </w:r>
      <w:r>
        <w:rPr>
          <w:rFonts w:ascii="Arial" w:hAnsi="Arial"/>
        </w:rPr>
        <w:t xml:space="preserve"> et en charge</w:t>
      </w:r>
      <w:r w:rsidR="007F6643">
        <w:rPr>
          <w:rFonts w:ascii="Arial" w:hAnsi="Arial"/>
        </w:rPr>
        <w:t xml:space="preserve"> du partage des informations nutritionnelles et du suivi des demandes ;</w:t>
      </w:r>
    </w:p>
    <w:p w14:paraId="25406AE0" w14:textId="03735A78" w:rsidR="003D24FA" w:rsidRDefault="00D002F6" w:rsidP="001F6950">
      <w:pPr>
        <w:pStyle w:val="Paragraphedeliste"/>
        <w:numPr>
          <w:ilvl w:val="0"/>
          <w:numId w:val="15"/>
        </w:numPr>
        <w:spacing w:after="120"/>
        <w:ind w:left="576" w:hanging="288"/>
        <w:contextualSpacing w:val="0"/>
        <w:jc w:val="both"/>
        <w:rPr>
          <w:rFonts w:ascii="Arial" w:hAnsi="Arial" w:cs="Arial"/>
        </w:rPr>
      </w:pPr>
      <w:r>
        <w:rPr>
          <w:rFonts w:ascii="Arial" w:hAnsi="Arial"/>
        </w:rPr>
        <w:t>D</w:t>
      </w:r>
      <w:r w:rsidR="007F6643">
        <w:rPr>
          <w:rFonts w:ascii="Arial" w:hAnsi="Arial"/>
        </w:rPr>
        <w:t>iscute</w:t>
      </w:r>
      <w:r w:rsidR="005B1F0C">
        <w:rPr>
          <w:rFonts w:ascii="Arial" w:hAnsi="Arial"/>
        </w:rPr>
        <w:t>z</w:t>
      </w:r>
      <w:r w:rsidR="007F6643">
        <w:rPr>
          <w:rFonts w:ascii="Arial" w:hAnsi="Arial"/>
        </w:rPr>
        <w:t xml:space="preserve"> bilatéralement avec les autres collègues sectoriels dans le pays au sujet de leur approche, de leurs </w:t>
      </w:r>
      <w:r w:rsidR="009F05EF">
        <w:rPr>
          <w:rFonts w:ascii="Arial" w:hAnsi="Arial"/>
        </w:rPr>
        <w:t>évidence</w:t>
      </w:r>
      <w:r w:rsidR="007F6643">
        <w:rPr>
          <w:rFonts w:ascii="Arial" w:hAnsi="Arial"/>
        </w:rPr>
        <w:t xml:space="preserve">s et aspects clés qu’ils </w:t>
      </w:r>
      <w:r w:rsidR="005B1F0C" w:rsidRPr="005B1F0C">
        <w:rPr>
          <w:rFonts w:ascii="Arial" w:hAnsi="Arial"/>
        </w:rPr>
        <w:t>privilégieront</w:t>
      </w:r>
      <w:r w:rsidR="007F6643">
        <w:rPr>
          <w:rFonts w:ascii="Arial" w:hAnsi="Arial"/>
        </w:rPr>
        <w:t xml:space="preserve"> pour l’analyse JIAF, </w:t>
      </w:r>
      <w:r>
        <w:rPr>
          <w:rFonts w:ascii="Arial" w:hAnsi="Arial"/>
        </w:rPr>
        <w:t xml:space="preserve">pour, par la suite, </w:t>
      </w:r>
      <w:r w:rsidR="007F6643">
        <w:rPr>
          <w:rFonts w:ascii="Arial" w:hAnsi="Arial"/>
        </w:rPr>
        <w:t xml:space="preserve">assurer </w:t>
      </w:r>
      <w:r>
        <w:rPr>
          <w:rFonts w:ascii="Arial" w:hAnsi="Arial"/>
        </w:rPr>
        <w:t>l’</w:t>
      </w:r>
      <w:r w:rsidR="007F6643">
        <w:rPr>
          <w:rFonts w:ascii="Arial" w:hAnsi="Arial"/>
        </w:rPr>
        <w:t>harmonisation</w:t>
      </w:r>
      <w:r>
        <w:rPr>
          <w:rFonts w:ascii="Arial" w:hAnsi="Arial"/>
        </w:rPr>
        <w:t xml:space="preserve">, </w:t>
      </w:r>
      <w:r w:rsidR="007F6643">
        <w:rPr>
          <w:rFonts w:ascii="Arial" w:hAnsi="Arial"/>
        </w:rPr>
        <w:t>éviter les duplications</w:t>
      </w:r>
      <w:r>
        <w:rPr>
          <w:rFonts w:ascii="Arial" w:hAnsi="Arial"/>
        </w:rPr>
        <w:t xml:space="preserve"> et </w:t>
      </w:r>
      <w:r w:rsidR="007F6643">
        <w:rPr>
          <w:rFonts w:ascii="Arial" w:hAnsi="Arial"/>
        </w:rPr>
        <w:t xml:space="preserve">soutenir l’établissement de projections </w:t>
      </w:r>
      <w:r w:rsidR="009F05EF">
        <w:rPr>
          <w:rFonts w:ascii="Arial" w:hAnsi="Arial"/>
        </w:rPr>
        <w:t xml:space="preserve">de </w:t>
      </w:r>
      <w:r w:rsidR="007F6643">
        <w:rPr>
          <w:rFonts w:ascii="Arial" w:hAnsi="Arial"/>
        </w:rPr>
        <w:t>l’évolution des facteurs contributifs ;</w:t>
      </w:r>
    </w:p>
    <w:p w14:paraId="3350E858" w14:textId="141462A9" w:rsidR="003D24FA" w:rsidRPr="001F6950" w:rsidRDefault="00494A48" w:rsidP="003D10F7">
      <w:pPr>
        <w:pStyle w:val="Paragraphedeliste"/>
        <w:numPr>
          <w:ilvl w:val="0"/>
          <w:numId w:val="15"/>
        </w:numPr>
        <w:spacing w:after="120"/>
        <w:ind w:left="576" w:hanging="288"/>
        <w:contextualSpacing w:val="0"/>
        <w:jc w:val="both"/>
        <w:rPr>
          <w:rFonts w:ascii="Arial" w:hAnsi="Arial" w:cs="Arial"/>
        </w:rPr>
      </w:pPr>
      <w:r>
        <w:rPr>
          <w:rFonts w:ascii="Arial" w:hAnsi="Arial"/>
        </w:rPr>
        <w:t>C</w:t>
      </w:r>
      <w:r w:rsidR="003D24FA">
        <w:rPr>
          <w:rFonts w:ascii="Arial" w:hAnsi="Arial"/>
        </w:rPr>
        <w:t>onsolide</w:t>
      </w:r>
      <w:r w:rsidR="005B1F0C">
        <w:rPr>
          <w:rFonts w:ascii="Arial" w:hAnsi="Arial"/>
        </w:rPr>
        <w:t>z</w:t>
      </w:r>
      <w:r w:rsidR="003D24FA">
        <w:rPr>
          <w:rFonts w:ascii="Arial" w:hAnsi="Arial"/>
        </w:rPr>
        <w:t xml:space="preserve"> les produits de l’analyse de la situation nutritionnelle </w:t>
      </w:r>
      <w:r w:rsidR="005B1F0C">
        <w:rPr>
          <w:rFonts w:ascii="Arial" w:hAnsi="Arial"/>
        </w:rPr>
        <w:t>menée</w:t>
      </w:r>
      <w:r w:rsidR="003D24FA">
        <w:rPr>
          <w:rFonts w:ascii="Arial" w:hAnsi="Arial"/>
        </w:rPr>
        <w:t xml:space="preserve"> par le GTT SIN, qui comprend des données brutes pour chaque indicateur nutritionnel identifié dans le</w:t>
      </w:r>
      <w:r w:rsidR="003D24FA">
        <w:rPr>
          <w:rFonts w:ascii="Arial" w:hAnsi="Arial"/>
          <w:i/>
        </w:rPr>
        <w:t xml:space="preserve"> Tableau 2</w:t>
      </w:r>
      <w:r w:rsidR="003D24FA">
        <w:rPr>
          <w:rFonts w:ascii="Arial" w:hAnsi="Arial"/>
        </w:rPr>
        <w:t xml:space="preserve"> (à désagréger par genre, tranche d’âge et handicap, si </w:t>
      </w:r>
      <w:r w:rsidR="005B1F0C">
        <w:rPr>
          <w:rFonts w:ascii="Arial" w:hAnsi="Arial"/>
        </w:rPr>
        <w:t>les données sont disponibles</w:t>
      </w:r>
      <w:r w:rsidR="003D24FA">
        <w:rPr>
          <w:rFonts w:ascii="Arial" w:hAnsi="Arial"/>
        </w:rPr>
        <w:t xml:space="preserve">) </w:t>
      </w:r>
      <w:r w:rsidR="008B4116">
        <w:rPr>
          <w:rFonts w:ascii="Arial" w:hAnsi="Arial"/>
        </w:rPr>
        <w:t>concernant l</w:t>
      </w:r>
      <w:r w:rsidR="003D24FA">
        <w:rPr>
          <w:rFonts w:ascii="Arial" w:hAnsi="Arial"/>
        </w:rPr>
        <w:t xml:space="preserve">es groupes </w:t>
      </w:r>
      <w:r w:rsidR="003D24FA">
        <w:rPr>
          <w:rFonts w:ascii="Arial" w:hAnsi="Arial"/>
          <w:i/>
        </w:rPr>
        <w:t>affectés</w:t>
      </w:r>
      <w:r w:rsidR="003D24FA">
        <w:rPr>
          <w:rStyle w:val="Appelnotedebasdep"/>
          <w:rFonts w:ascii="Arial" w:hAnsi="Arial" w:cs="Arial"/>
          <w:i/>
          <w:iCs/>
        </w:rPr>
        <w:footnoteReference w:id="11"/>
      </w:r>
      <w:r w:rsidR="003D24FA">
        <w:rPr>
          <w:rFonts w:ascii="Arial" w:hAnsi="Arial"/>
        </w:rPr>
        <w:t xml:space="preserve"> et </w:t>
      </w:r>
      <w:r w:rsidR="009F05EF">
        <w:rPr>
          <w:rFonts w:ascii="Arial" w:hAnsi="Arial"/>
        </w:rPr>
        <w:t xml:space="preserve">classifiez-les </w:t>
      </w:r>
      <w:r>
        <w:rPr>
          <w:rFonts w:ascii="Arial" w:hAnsi="Arial"/>
        </w:rPr>
        <w:t>selon leur dégrée</w:t>
      </w:r>
      <w:r w:rsidR="008B4116">
        <w:rPr>
          <w:rFonts w:ascii="Arial" w:hAnsi="Arial"/>
        </w:rPr>
        <w:t xml:space="preserve"> </w:t>
      </w:r>
      <w:r>
        <w:rPr>
          <w:rFonts w:ascii="Arial" w:hAnsi="Arial"/>
        </w:rPr>
        <w:t xml:space="preserve">de </w:t>
      </w:r>
      <w:r w:rsidR="003D24FA">
        <w:rPr>
          <w:rFonts w:ascii="Arial" w:hAnsi="Arial"/>
        </w:rPr>
        <w:t>fiabilité</w:t>
      </w:r>
      <w:r w:rsidR="008B4116">
        <w:rPr>
          <w:rFonts w:ascii="Arial" w:hAnsi="Arial"/>
        </w:rPr>
        <w:t>,</w:t>
      </w:r>
      <w:r w:rsidR="003D24FA">
        <w:rPr>
          <w:rFonts w:ascii="Arial" w:hAnsi="Arial"/>
        </w:rPr>
        <w:t xml:space="preserve"> conformément au champ d’application de l’analyse du JIAF (</w:t>
      </w:r>
      <w:r w:rsidR="003D24FA">
        <w:rPr>
          <w:rFonts w:ascii="Arial" w:hAnsi="Arial"/>
          <w:i/>
        </w:rPr>
        <w:t xml:space="preserve">voir la Figure 2 des </w:t>
      </w:r>
      <w:hyperlink r:id="rId34" w:history="1">
        <w:r w:rsidR="003D24FA">
          <w:rPr>
            <w:rStyle w:val="Lienhypertexte"/>
            <w:rFonts w:ascii="Arial" w:hAnsi="Arial"/>
          </w:rPr>
          <w:t>Directives pour l’analyse des besoins humanitaires en matière de nutrition</w:t>
        </w:r>
      </w:hyperlink>
      <w:r w:rsidR="003D24FA">
        <w:rPr>
          <w:rFonts w:ascii="Arial" w:hAnsi="Arial"/>
        </w:rPr>
        <w:t> :</w:t>
      </w:r>
      <w:r w:rsidR="003D24FA">
        <w:rPr>
          <w:rStyle w:val="Lienhypertexte"/>
          <w:rFonts w:ascii="Arial" w:hAnsi="Arial"/>
        </w:rPr>
        <w:t xml:space="preserve"> Tableau des scores de fiabilité de l’IPC pour les preuves des besoins nutritionnels en cas de malnutrition aiguë</w:t>
      </w:r>
      <w:r w:rsidR="003D24FA">
        <w:rPr>
          <w:rFonts w:ascii="Arial" w:hAnsi="Arial"/>
          <w:i/>
        </w:rPr>
        <w:t>) </w:t>
      </w:r>
      <w:r w:rsidR="003D24FA">
        <w:rPr>
          <w:rFonts w:ascii="Arial" w:hAnsi="Arial"/>
        </w:rPr>
        <w:t xml:space="preserve">; </w:t>
      </w:r>
    </w:p>
    <w:p w14:paraId="41EE510F" w14:textId="35009777" w:rsidR="00FD0AC9" w:rsidRDefault="00494A48" w:rsidP="00FD0AC9">
      <w:pPr>
        <w:pStyle w:val="Paragraphedeliste"/>
        <w:numPr>
          <w:ilvl w:val="0"/>
          <w:numId w:val="15"/>
        </w:numPr>
        <w:spacing w:after="120"/>
        <w:ind w:left="576" w:hanging="288"/>
        <w:contextualSpacing w:val="0"/>
        <w:jc w:val="both"/>
        <w:rPr>
          <w:rFonts w:ascii="Arial" w:hAnsi="Arial" w:cs="Arial"/>
        </w:rPr>
      </w:pPr>
      <w:r>
        <w:rPr>
          <w:rFonts w:ascii="Arial" w:hAnsi="Arial"/>
        </w:rPr>
        <w:t>I</w:t>
      </w:r>
      <w:r w:rsidR="007F6643">
        <w:rPr>
          <w:rFonts w:ascii="Arial" w:hAnsi="Arial"/>
        </w:rPr>
        <w:t>ndique</w:t>
      </w:r>
      <w:r w:rsidR="000E2076">
        <w:rPr>
          <w:rFonts w:ascii="Arial" w:hAnsi="Arial"/>
        </w:rPr>
        <w:t>z</w:t>
      </w:r>
      <w:r w:rsidR="007F6643">
        <w:rPr>
          <w:rFonts w:ascii="Arial" w:hAnsi="Arial"/>
        </w:rPr>
        <w:t xml:space="preserve"> si le niveau de sévérité des </w:t>
      </w:r>
      <w:r>
        <w:rPr>
          <w:rFonts w:ascii="Arial" w:hAnsi="Arial"/>
        </w:rPr>
        <w:t>indicateurs</w:t>
      </w:r>
      <w:r w:rsidR="007F6643">
        <w:rPr>
          <w:rFonts w:ascii="Arial" w:hAnsi="Arial"/>
        </w:rPr>
        <w:t xml:space="preserve"> nutritionnels (c’est-à-dire, sur la malnutrition aiguë) se situe entre 3 et 5 (</w:t>
      </w:r>
      <w:r>
        <w:rPr>
          <w:rFonts w:ascii="Arial" w:hAnsi="Arial"/>
        </w:rPr>
        <w:t>niveaux qualifiés</w:t>
      </w:r>
      <w:r w:rsidR="0021172B">
        <w:rPr>
          <w:rFonts w:ascii="Arial" w:hAnsi="Arial"/>
        </w:rPr>
        <w:t xml:space="preserve"> de</w:t>
      </w:r>
      <w:r w:rsidR="007F6643">
        <w:rPr>
          <w:rFonts w:ascii="Arial" w:hAnsi="Arial"/>
        </w:rPr>
        <w:t xml:space="preserve"> «</w:t>
      </w:r>
      <w:r w:rsidR="00E66974">
        <w:rPr>
          <w:rFonts w:ascii="Arial" w:hAnsi="Arial"/>
        </w:rPr>
        <w:t> </w:t>
      </w:r>
      <w:r w:rsidR="007F6643">
        <w:rPr>
          <w:rFonts w:ascii="Arial" w:hAnsi="Arial"/>
        </w:rPr>
        <w:t>mort imminente</w:t>
      </w:r>
      <w:r w:rsidR="00E66974">
        <w:rPr>
          <w:rFonts w:ascii="Arial" w:hAnsi="Arial"/>
        </w:rPr>
        <w:t> </w:t>
      </w:r>
      <w:r w:rsidR="007F6643">
        <w:rPr>
          <w:rFonts w:ascii="Arial" w:hAnsi="Arial"/>
        </w:rPr>
        <w:t xml:space="preserve">»), car </w:t>
      </w:r>
      <w:r w:rsidR="000E2076">
        <w:rPr>
          <w:rFonts w:ascii="Arial" w:hAnsi="Arial"/>
        </w:rPr>
        <w:lastRenderedPageBreak/>
        <w:t>elles</w:t>
      </w:r>
      <w:r w:rsidR="007F6643">
        <w:rPr>
          <w:rFonts w:ascii="Arial" w:hAnsi="Arial"/>
        </w:rPr>
        <w:t xml:space="preserve"> peu</w:t>
      </w:r>
      <w:r w:rsidR="000E2076">
        <w:rPr>
          <w:rFonts w:ascii="Arial" w:hAnsi="Arial"/>
        </w:rPr>
        <w:t>ven</w:t>
      </w:r>
      <w:r w:rsidR="007F6643">
        <w:rPr>
          <w:rFonts w:ascii="Arial" w:hAnsi="Arial"/>
        </w:rPr>
        <w:t xml:space="preserve">t </w:t>
      </w:r>
      <w:r w:rsidR="000E2076">
        <w:rPr>
          <w:rFonts w:ascii="Arial" w:hAnsi="Arial"/>
        </w:rPr>
        <w:t>constituer</w:t>
      </w:r>
      <w:r w:rsidR="007F6643">
        <w:rPr>
          <w:rFonts w:ascii="Arial" w:hAnsi="Arial"/>
        </w:rPr>
        <w:t xml:space="preserve"> des </w:t>
      </w:r>
      <w:r w:rsidR="007F6643">
        <w:rPr>
          <w:rFonts w:ascii="Arial" w:hAnsi="Arial"/>
          <w:b/>
        </w:rPr>
        <w:t>indicateurs critiques</w:t>
      </w:r>
      <w:r w:rsidR="007F6643">
        <w:rPr>
          <w:rStyle w:val="Appelnotedebasdep"/>
          <w:rFonts w:ascii="Arial" w:hAnsi="Arial" w:cs="Arial"/>
          <w:b/>
          <w:bCs/>
        </w:rPr>
        <w:footnoteReference w:id="12"/>
      </w:r>
      <w:r w:rsidR="007F6643">
        <w:rPr>
          <w:rFonts w:ascii="Arial" w:hAnsi="Arial"/>
          <w:b/>
        </w:rPr>
        <w:t xml:space="preserve"> </w:t>
      </w:r>
      <w:r w:rsidR="007F6643">
        <w:rPr>
          <w:rFonts w:ascii="Arial" w:hAnsi="Arial"/>
        </w:rPr>
        <w:t>pour l’analyse du JIAF</w:t>
      </w:r>
      <w:r w:rsidR="007F6643">
        <w:rPr>
          <w:rFonts w:ascii="Arial" w:hAnsi="Arial"/>
          <w:b/>
        </w:rPr>
        <w:t xml:space="preserve">. </w:t>
      </w:r>
      <w:r w:rsidR="007F6643">
        <w:rPr>
          <w:rFonts w:ascii="Arial" w:hAnsi="Arial"/>
        </w:rPr>
        <w:t>Consulte</w:t>
      </w:r>
      <w:r w:rsidR="00714F4F">
        <w:rPr>
          <w:rFonts w:ascii="Arial" w:hAnsi="Arial"/>
        </w:rPr>
        <w:t>z</w:t>
      </w:r>
      <w:r w:rsidR="007F6643">
        <w:rPr>
          <w:rFonts w:ascii="Arial" w:hAnsi="Arial"/>
        </w:rPr>
        <w:t xml:space="preserve"> la GNC-CT, selon les besoins ;</w:t>
      </w:r>
    </w:p>
    <w:p w14:paraId="6EA88529" w14:textId="117F6A30" w:rsidR="003F238E" w:rsidRPr="00FD0AC9" w:rsidRDefault="00E950DE" w:rsidP="00FD0AC9">
      <w:pPr>
        <w:pStyle w:val="Paragraphedeliste"/>
        <w:numPr>
          <w:ilvl w:val="0"/>
          <w:numId w:val="15"/>
        </w:numPr>
        <w:spacing w:after="120"/>
        <w:ind w:left="576" w:hanging="288"/>
        <w:contextualSpacing w:val="0"/>
        <w:jc w:val="both"/>
        <w:rPr>
          <w:rFonts w:ascii="Arial" w:hAnsi="Arial" w:cs="Arial"/>
        </w:rPr>
      </w:pPr>
      <w:r>
        <w:rPr>
          <w:rFonts w:ascii="Arial" w:hAnsi="Arial"/>
        </w:rPr>
        <w:t>M</w:t>
      </w:r>
      <w:r w:rsidR="00FD0AC9">
        <w:rPr>
          <w:rFonts w:ascii="Arial" w:hAnsi="Arial"/>
        </w:rPr>
        <w:t>ainten</w:t>
      </w:r>
      <w:r w:rsidR="0037120C">
        <w:rPr>
          <w:rFonts w:ascii="Arial" w:hAnsi="Arial"/>
        </w:rPr>
        <w:t>ez</w:t>
      </w:r>
      <w:r w:rsidR="00FD0AC9">
        <w:rPr>
          <w:rFonts w:ascii="Arial" w:hAnsi="Arial"/>
        </w:rPr>
        <w:t xml:space="preserve"> une communication régulière avec l’équipe responsable de l’analyse du JIAF </w:t>
      </w:r>
      <w:r>
        <w:rPr>
          <w:rFonts w:ascii="Arial" w:hAnsi="Arial"/>
        </w:rPr>
        <w:t>en</w:t>
      </w:r>
      <w:r w:rsidR="00FD0AC9">
        <w:rPr>
          <w:rFonts w:ascii="Arial" w:hAnsi="Arial"/>
        </w:rPr>
        <w:t xml:space="preserve"> cas </w:t>
      </w:r>
      <w:r>
        <w:rPr>
          <w:rFonts w:ascii="Arial" w:hAnsi="Arial"/>
        </w:rPr>
        <w:t>d’éventuelles questions</w:t>
      </w:r>
      <w:r w:rsidR="00FD0AC9">
        <w:rPr>
          <w:rFonts w:ascii="Arial" w:hAnsi="Arial"/>
        </w:rPr>
        <w:t xml:space="preserve">. </w:t>
      </w:r>
    </w:p>
    <w:p w14:paraId="1DE9D7E1" w14:textId="77777777" w:rsidR="00FD0AC9" w:rsidRDefault="00FD0AC9" w:rsidP="00FD0AC9"/>
    <w:p w14:paraId="2F0B8278" w14:textId="49855111" w:rsidR="004258CF" w:rsidRPr="006749AC" w:rsidRDefault="00FD0AC9" w:rsidP="006749AC">
      <w:pPr>
        <w:pStyle w:val="Titre2"/>
        <w:spacing w:after="120"/>
      </w:pPr>
      <w:bookmarkStart w:id="18" w:name="_Toc90559363"/>
      <w:r>
        <w:rPr>
          <w:rFonts w:ascii="Arial" w:hAnsi="Arial"/>
          <w:b/>
          <w:color w:val="000000"/>
          <w:sz w:val="28"/>
        </w:rPr>
        <w:t xml:space="preserve">5) Estimations </w:t>
      </w:r>
      <w:r w:rsidR="00EF1027">
        <w:rPr>
          <w:rFonts w:ascii="Arial" w:hAnsi="Arial"/>
          <w:b/>
          <w:color w:val="000000"/>
          <w:sz w:val="28"/>
        </w:rPr>
        <w:t xml:space="preserve">cumulées </w:t>
      </w:r>
      <w:r w:rsidR="0037120C">
        <w:rPr>
          <w:rFonts w:ascii="Arial" w:hAnsi="Arial"/>
          <w:b/>
          <w:color w:val="000000"/>
          <w:sz w:val="28"/>
        </w:rPr>
        <w:t xml:space="preserve">du nombre de </w:t>
      </w:r>
      <w:r w:rsidR="00E950DE">
        <w:rPr>
          <w:rFonts w:ascii="Arial" w:hAnsi="Arial"/>
          <w:b/>
          <w:color w:val="000000"/>
          <w:sz w:val="28"/>
        </w:rPr>
        <w:t xml:space="preserve">Personnes </w:t>
      </w:r>
      <w:r>
        <w:rPr>
          <w:rFonts w:ascii="Arial" w:hAnsi="Arial"/>
          <w:b/>
          <w:color w:val="000000"/>
          <w:sz w:val="28"/>
        </w:rPr>
        <w:t>dans le besoin (PiN)</w:t>
      </w:r>
      <w:r w:rsidR="0037120C">
        <w:rPr>
          <w:rFonts w:ascii="Arial" w:hAnsi="Arial"/>
          <w:b/>
          <w:color w:val="000000"/>
          <w:sz w:val="28"/>
        </w:rPr>
        <w:t xml:space="preserve"> en matière de nutrition</w:t>
      </w:r>
      <w:r>
        <w:rPr>
          <w:rFonts w:ascii="Arial" w:hAnsi="Arial"/>
          <w:b/>
          <w:color w:val="000000"/>
          <w:sz w:val="28"/>
        </w:rPr>
        <w:t xml:space="preserve"> pour le JIAF</w:t>
      </w:r>
      <w:bookmarkEnd w:id="18"/>
      <w:r>
        <w:rPr>
          <w:rFonts w:ascii="Arial" w:hAnsi="Arial"/>
          <w:b/>
          <w:color w:val="000000"/>
          <w:sz w:val="28"/>
        </w:rPr>
        <w:t xml:space="preserve"> </w:t>
      </w:r>
    </w:p>
    <w:p w14:paraId="6799041E" w14:textId="2015E550" w:rsidR="000731A4" w:rsidRDefault="0037120C" w:rsidP="006749AC">
      <w:pPr>
        <w:pStyle w:val="paragraph"/>
        <w:spacing w:before="0" w:beforeAutospacing="0" w:after="120" w:afterAutospacing="0"/>
        <w:jc w:val="both"/>
        <w:textAlignment w:val="baseline"/>
        <w:rPr>
          <w:rStyle w:val="normaltextrun"/>
          <w:rFonts w:ascii="Arial" w:hAnsi="Arial" w:cs="Arial"/>
        </w:rPr>
      </w:pPr>
      <w:r>
        <w:rPr>
          <w:rStyle w:val="normaltextrun"/>
          <w:rFonts w:ascii="Arial" w:hAnsi="Arial"/>
          <w:color w:val="000000"/>
          <w:shd w:val="clear" w:color="auto" w:fill="FFFFFF"/>
        </w:rPr>
        <w:t xml:space="preserve">La </w:t>
      </w:r>
      <w:r w:rsidR="000731A4">
        <w:rPr>
          <w:rStyle w:val="normaltextrun"/>
          <w:rFonts w:ascii="Arial" w:hAnsi="Arial"/>
          <w:color w:val="000000"/>
          <w:shd w:val="clear" w:color="auto" w:fill="FFFFFF"/>
        </w:rPr>
        <w:t xml:space="preserve">compréhension de l’ampleur de la situation à différents niveaux de sévérité appuie la planification de la réponse en déterminant le nombre de </w:t>
      </w:r>
      <w:r w:rsidR="00E950DE">
        <w:rPr>
          <w:rStyle w:val="normaltextrun"/>
          <w:rFonts w:ascii="Arial" w:hAnsi="Arial"/>
          <w:color w:val="000000"/>
          <w:shd w:val="clear" w:color="auto" w:fill="FFFFFF"/>
        </w:rPr>
        <w:t xml:space="preserve">Personnes </w:t>
      </w:r>
      <w:r w:rsidR="000731A4">
        <w:rPr>
          <w:rStyle w:val="normaltextrun"/>
          <w:rFonts w:ascii="Arial" w:hAnsi="Arial"/>
          <w:color w:val="000000"/>
          <w:shd w:val="clear" w:color="auto" w:fill="FFFFFF"/>
        </w:rPr>
        <w:t xml:space="preserve">dans le besoin (PiN) par secteur et </w:t>
      </w:r>
      <w:r w:rsidR="00E950DE">
        <w:rPr>
          <w:rStyle w:val="normaltextrun"/>
          <w:rFonts w:ascii="Arial" w:hAnsi="Arial"/>
          <w:color w:val="000000"/>
          <w:shd w:val="clear" w:color="auto" w:fill="FFFFFF"/>
        </w:rPr>
        <w:t>pour tous les</w:t>
      </w:r>
      <w:r>
        <w:rPr>
          <w:rStyle w:val="normaltextrun"/>
          <w:rFonts w:ascii="Arial" w:hAnsi="Arial"/>
          <w:color w:val="000000"/>
          <w:shd w:val="clear" w:color="auto" w:fill="FFFFFF"/>
        </w:rPr>
        <w:t xml:space="preserve"> secteurs </w:t>
      </w:r>
      <w:r w:rsidR="000731A4">
        <w:rPr>
          <w:rStyle w:val="normaltextrun"/>
          <w:rFonts w:ascii="Arial" w:hAnsi="Arial"/>
          <w:color w:val="000000"/>
          <w:shd w:val="clear" w:color="auto" w:fill="FFFFFF"/>
        </w:rPr>
        <w:t xml:space="preserve">(à </w:t>
      </w:r>
      <w:r w:rsidR="00E950DE">
        <w:rPr>
          <w:rStyle w:val="normaltextrun"/>
          <w:rFonts w:ascii="Arial" w:hAnsi="Arial"/>
          <w:color w:val="000000"/>
          <w:shd w:val="clear" w:color="auto" w:fill="FFFFFF"/>
        </w:rPr>
        <w:t xml:space="preserve">être assuré </w:t>
      </w:r>
      <w:r w:rsidR="000731A4">
        <w:rPr>
          <w:rStyle w:val="normaltextrun"/>
          <w:rFonts w:ascii="Arial" w:hAnsi="Arial"/>
          <w:color w:val="000000"/>
          <w:shd w:val="clear" w:color="auto" w:fill="FFFFFF"/>
        </w:rPr>
        <w:t xml:space="preserve">par l’équipe responsable de l’analyse du JIAF). </w:t>
      </w:r>
      <w:r w:rsidR="000731A4">
        <w:rPr>
          <w:rStyle w:val="normaltextrun"/>
          <w:rFonts w:ascii="Arial" w:hAnsi="Arial"/>
        </w:rPr>
        <w:t xml:space="preserve">Pour le Cluster Nutrition, le nombre de </w:t>
      </w:r>
      <w:r w:rsidR="000731A4">
        <w:rPr>
          <w:rStyle w:val="spellingerror"/>
          <w:rFonts w:ascii="Arial" w:hAnsi="Arial"/>
        </w:rPr>
        <w:t>PiN</w:t>
      </w:r>
      <w:r w:rsidR="000731A4">
        <w:rPr>
          <w:rStyle w:val="normaltextrun"/>
          <w:rFonts w:ascii="Arial" w:hAnsi="Arial"/>
        </w:rPr>
        <w:t> est la somme du nombre de personnes ayant des besoins nutritionnels, par conséquen</w:t>
      </w:r>
      <w:r w:rsidR="00220399">
        <w:rPr>
          <w:rStyle w:val="normaltextrun"/>
          <w:rFonts w:ascii="Arial" w:hAnsi="Arial"/>
        </w:rPr>
        <w:t>t</w:t>
      </w:r>
      <w:r w:rsidR="0021172B">
        <w:rPr>
          <w:rStyle w:val="normaltextrun"/>
          <w:rFonts w:ascii="Arial" w:hAnsi="Arial"/>
        </w:rPr>
        <w:t>,</w:t>
      </w:r>
      <w:r w:rsidR="000731A4">
        <w:rPr>
          <w:rStyle w:val="normaltextrun"/>
          <w:rFonts w:ascii="Arial" w:hAnsi="Arial"/>
        </w:rPr>
        <w:t xml:space="preserve"> humanitaire</w:t>
      </w:r>
      <w:r w:rsidR="00DB5445">
        <w:rPr>
          <w:rStyle w:val="normaltextrun"/>
          <w:rFonts w:ascii="Arial" w:hAnsi="Arial"/>
        </w:rPr>
        <w:t>s</w:t>
      </w:r>
      <w:r>
        <w:rPr>
          <w:rStyle w:val="normaltextrun"/>
          <w:rFonts w:ascii="Arial" w:hAnsi="Arial"/>
        </w:rPr>
        <w:t xml:space="preserve"> </w:t>
      </w:r>
      <w:r w:rsidR="000731A4">
        <w:rPr>
          <w:rStyle w:val="normaltextrun"/>
          <w:rFonts w:ascii="Arial" w:hAnsi="Arial"/>
        </w:rPr>
        <w:t xml:space="preserve">dans </w:t>
      </w:r>
      <w:r w:rsidR="000731A4">
        <w:rPr>
          <w:rStyle w:val="normaltextrun"/>
          <w:rFonts w:ascii="Arial" w:hAnsi="Arial"/>
          <w:u w:val="single"/>
        </w:rPr>
        <w:t>chaque zone géographique</w:t>
      </w:r>
      <w:r w:rsidR="000731A4">
        <w:rPr>
          <w:rStyle w:val="normaltextrun"/>
          <w:rFonts w:ascii="Arial" w:hAnsi="Arial"/>
        </w:rPr>
        <w:t xml:space="preserve">, selon l’analyse de la situation </w:t>
      </w:r>
      <w:r w:rsidR="0021172B">
        <w:rPr>
          <w:rStyle w:val="normaltextrun"/>
          <w:rFonts w:ascii="Arial" w:hAnsi="Arial"/>
        </w:rPr>
        <w:t xml:space="preserve">basée aux </w:t>
      </w:r>
      <w:r w:rsidR="000731A4">
        <w:rPr>
          <w:rStyle w:val="normaltextrun"/>
          <w:rFonts w:ascii="Arial" w:hAnsi="Arial"/>
        </w:rPr>
        <w:t xml:space="preserve">données/informations. </w:t>
      </w:r>
    </w:p>
    <w:p w14:paraId="743FDA85" w14:textId="71E7C9F2" w:rsidR="000731A4" w:rsidRPr="000731A4" w:rsidRDefault="009B4B5B" w:rsidP="00661135">
      <w:pPr>
        <w:pStyle w:val="Paragraphedeliste"/>
        <w:numPr>
          <w:ilvl w:val="0"/>
          <w:numId w:val="8"/>
        </w:numPr>
        <w:spacing w:after="120"/>
        <w:ind w:left="360"/>
        <w:jc w:val="both"/>
        <w:textAlignment w:val="baseline"/>
        <w:rPr>
          <w:rStyle w:val="normaltextrun"/>
          <w:rFonts w:ascii="Arial" w:hAnsi="Arial" w:cs="Arial"/>
        </w:rPr>
      </w:pPr>
      <w:r>
        <w:rPr>
          <w:rStyle w:val="normaltextrun"/>
          <w:rFonts w:ascii="Arial" w:hAnsi="Arial"/>
        </w:rPr>
        <w:t>A</w:t>
      </w:r>
      <w:r w:rsidR="00F80874">
        <w:rPr>
          <w:rStyle w:val="normaltextrun"/>
          <w:rFonts w:ascii="Arial" w:hAnsi="Arial"/>
        </w:rPr>
        <w:t>vec les </w:t>
      </w:r>
      <w:hyperlink r:id="rId35" w:history="1">
        <w:r w:rsidR="00F80874">
          <w:rPr>
            <w:rStyle w:val="Lienhypertexte"/>
            <w:rFonts w:ascii="Arial" w:hAnsi="Arial"/>
          </w:rPr>
          <w:t>Tableaux 4A, 4B et 4C</w:t>
        </w:r>
      </w:hyperlink>
      <w:r w:rsidR="00F80874">
        <w:rPr>
          <w:rStyle w:val="Lienhypertexte"/>
          <w:rFonts w:ascii="Arial" w:hAnsi="Arial"/>
        </w:rPr>
        <w:t xml:space="preserve"> des Directives pour l’analyse des besoins humanitaires en matière de nutrition et le tableur </w:t>
      </w:r>
      <w:r w:rsidR="0037120C">
        <w:rPr>
          <w:rStyle w:val="Lienhypertexte"/>
          <w:rFonts w:ascii="Arial" w:hAnsi="Arial"/>
        </w:rPr>
        <w:t>«</w:t>
      </w:r>
      <w:r w:rsidR="00E66974">
        <w:rPr>
          <w:rStyle w:val="Lienhypertexte"/>
          <w:rFonts w:ascii="Arial" w:hAnsi="Arial"/>
        </w:rPr>
        <w:t> </w:t>
      </w:r>
      <w:hyperlink r:id="rId36" w:history="1">
        <w:r w:rsidR="00F80874">
          <w:rPr>
            <w:rStyle w:val="Lienhypertexte"/>
            <w:rFonts w:ascii="Arial" w:hAnsi="Arial"/>
          </w:rPr>
          <w:t>Outil de calcul pour l’analyse des besoins humanitaires en matière de nutrition</w:t>
        </w:r>
      </w:hyperlink>
      <w:r w:rsidR="00E66974">
        <w:rPr>
          <w:rStyle w:val="Lienhypertexte"/>
          <w:rFonts w:ascii="Arial" w:hAnsi="Arial"/>
        </w:rPr>
        <w:t> </w:t>
      </w:r>
      <w:r w:rsidR="0037120C">
        <w:rPr>
          <w:rStyle w:val="Lienhypertexte"/>
          <w:rFonts w:ascii="Arial" w:hAnsi="Arial"/>
        </w:rPr>
        <w:t>» qui les accompagne</w:t>
      </w:r>
      <w:r w:rsidR="00F80874">
        <w:rPr>
          <w:rStyle w:val="normaltextrun"/>
          <w:rFonts w:ascii="Arial" w:hAnsi="Arial"/>
          <w:b/>
        </w:rPr>
        <w:t>, calcule</w:t>
      </w:r>
      <w:r w:rsidR="0037120C">
        <w:rPr>
          <w:rStyle w:val="normaltextrun"/>
          <w:rFonts w:ascii="Arial" w:hAnsi="Arial"/>
          <w:b/>
        </w:rPr>
        <w:t>z</w:t>
      </w:r>
      <w:r w:rsidR="00F80874">
        <w:rPr>
          <w:rStyle w:val="normaltextrun"/>
          <w:rFonts w:ascii="Arial" w:hAnsi="Arial"/>
          <w:b/>
        </w:rPr>
        <w:t xml:space="preserve"> le nombre de</w:t>
      </w:r>
      <w:r w:rsidR="00F80874">
        <w:rPr>
          <w:rStyle w:val="normaltextrun"/>
          <w:rFonts w:ascii="Arial" w:hAnsi="Arial"/>
          <w:b/>
          <w:color w:val="000000"/>
          <w:shd w:val="clear" w:color="auto" w:fill="FFFFFF"/>
        </w:rPr>
        <w:t> </w:t>
      </w:r>
      <w:r w:rsidR="00F80874">
        <w:rPr>
          <w:rStyle w:val="spellingerror"/>
          <w:rFonts w:ascii="Arial" w:hAnsi="Arial"/>
          <w:b/>
          <w:color w:val="000000"/>
          <w:shd w:val="clear" w:color="auto" w:fill="FFFFFF"/>
        </w:rPr>
        <w:t>PiN</w:t>
      </w:r>
      <w:r w:rsidR="00F80874">
        <w:rPr>
          <w:rStyle w:val="normaltextrun"/>
          <w:rFonts w:ascii="Arial" w:hAnsi="Arial"/>
          <w:b/>
          <w:color w:val="000000"/>
          <w:shd w:val="clear" w:color="auto" w:fill="FFFFFF"/>
        </w:rPr>
        <w:t xml:space="preserve"> pour chaque besoin nutritionnel spécifique exprimé en tant que tel. </w:t>
      </w:r>
      <w:r w:rsidR="00F80874">
        <w:rPr>
          <w:rFonts w:ascii="Arial" w:hAnsi="Arial"/>
        </w:rPr>
        <w:t xml:space="preserve">Si des données sur la </w:t>
      </w:r>
      <w:r w:rsidR="0037120C">
        <w:rPr>
          <w:rFonts w:ascii="Arial" w:hAnsi="Arial"/>
        </w:rPr>
        <w:t>c</w:t>
      </w:r>
      <w:r w:rsidR="00F80874">
        <w:rPr>
          <w:rFonts w:ascii="Arial" w:hAnsi="Arial"/>
        </w:rPr>
        <w:t>MAG</w:t>
      </w:r>
      <w:r w:rsidR="000731A4" w:rsidRPr="00CA2973">
        <w:rPr>
          <w:rStyle w:val="Appelnotedebasdep"/>
          <w:rFonts w:ascii="Arial" w:hAnsi="Arial" w:cs="Arial"/>
        </w:rPr>
        <w:footnoteReference w:id="13"/>
      </w:r>
      <w:r w:rsidR="00F80874">
        <w:rPr>
          <w:rFonts w:ascii="Arial" w:hAnsi="Arial"/>
        </w:rPr>
        <w:t xml:space="preserve"> sont disponibles à l’échelle du pays, </w:t>
      </w:r>
      <w:r w:rsidR="0037120C">
        <w:rPr>
          <w:rFonts w:ascii="Arial" w:hAnsi="Arial"/>
        </w:rPr>
        <w:t>celles-ci</w:t>
      </w:r>
      <w:r w:rsidR="00F80874">
        <w:rPr>
          <w:rFonts w:ascii="Arial" w:hAnsi="Arial"/>
        </w:rPr>
        <w:t xml:space="preserve"> (ainsi que </w:t>
      </w:r>
      <w:r w:rsidR="0037120C">
        <w:rPr>
          <w:rFonts w:ascii="Arial" w:hAnsi="Arial"/>
        </w:rPr>
        <w:t>les données dérivées</w:t>
      </w:r>
      <w:r w:rsidR="00F80874">
        <w:rPr>
          <w:rFonts w:ascii="Arial" w:hAnsi="Arial"/>
        </w:rPr>
        <w:t xml:space="preserve"> de la cMAM et de la cMAS) seront privilégiées pour les calculs des </w:t>
      </w:r>
      <w:r w:rsidR="0037120C">
        <w:rPr>
          <w:rFonts w:ascii="Arial" w:hAnsi="Arial"/>
        </w:rPr>
        <w:t xml:space="preserve">nombres de </w:t>
      </w:r>
      <w:r w:rsidR="00F80874">
        <w:rPr>
          <w:rFonts w:ascii="Arial" w:hAnsi="Arial"/>
        </w:rPr>
        <w:t>PiN en matière de nutrition</w:t>
      </w:r>
      <w:r w:rsidR="002F2F8A">
        <w:rPr>
          <w:rFonts w:ascii="Arial" w:hAnsi="Arial"/>
        </w:rPr>
        <w:t>. L</w:t>
      </w:r>
      <w:r w:rsidR="00F80874">
        <w:rPr>
          <w:rFonts w:ascii="Arial" w:hAnsi="Arial"/>
        </w:rPr>
        <w:t xml:space="preserve">e </w:t>
      </w:r>
      <w:hyperlink r:id="rId37" w:history="1">
        <w:r w:rsidR="00F80874">
          <w:rPr>
            <w:rStyle w:val="Lienhypertexte"/>
            <w:rFonts w:ascii="Arial" w:hAnsi="Arial"/>
          </w:rPr>
          <w:t>logiciel ENA pour SMART (Version 2020)</w:t>
        </w:r>
      </w:hyperlink>
      <w:r w:rsidR="00F80874">
        <w:rPr>
          <w:rFonts w:ascii="Arial" w:hAnsi="Arial"/>
        </w:rPr>
        <w:t xml:space="preserve"> </w:t>
      </w:r>
      <w:r w:rsidR="002F2F8A">
        <w:rPr>
          <w:rFonts w:ascii="Arial" w:hAnsi="Arial"/>
        </w:rPr>
        <w:t xml:space="preserve">génère automatiquement ces calculs </w:t>
      </w:r>
      <w:r w:rsidR="00F80874">
        <w:rPr>
          <w:rFonts w:ascii="Arial" w:hAnsi="Arial"/>
        </w:rPr>
        <w:t xml:space="preserve">dans </w:t>
      </w:r>
      <w:r w:rsidR="00E950DE">
        <w:rPr>
          <w:rFonts w:ascii="Arial" w:hAnsi="Arial"/>
        </w:rPr>
        <w:t xml:space="preserve">le </w:t>
      </w:r>
      <w:r w:rsidR="00F80874">
        <w:rPr>
          <w:rFonts w:ascii="Arial" w:hAnsi="Arial"/>
        </w:rPr>
        <w:t>rapport d’enquête</w:t>
      </w:r>
      <w:r w:rsidR="00E950DE">
        <w:rPr>
          <w:rFonts w:ascii="Arial" w:hAnsi="Arial"/>
        </w:rPr>
        <w:t xml:space="preserve"> généré automatiquement</w:t>
      </w:r>
      <w:r>
        <w:rPr>
          <w:rFonts w:ascii="Arial" w:hAnsi="Arial"/>
        </w:rPr>
        <w:t>.</w:t>
      </w:r>
      <w:r w:rsidR="00F80874">
        <w:rPr>
          <w:rFonts w:ascii="Arial" w:hAnsi="Arial"/>
        </w:rPr>
        <w:t xml:space="preserve"> </w:t>
      </w:r>
    </w:p>
    <w:p w14:paraId="50AF2889" w14:textId="5E347E2C" w:rsidR="00B02573" w:rsidRPr="005318A2" w:rsidRDefault="009B4B5B" w:rsidP="00B02573">
      <w:pPr>
        <w:pStyle w:val="paragraph"/>
        <w:numPr>
          <w:ilvl w:val="0"/>
          <w:numId w:val="8"/>
        </w:numPr>
        <w:spacing w:before="0" w:beforeAutospacing="0" w:after="120" w:afterAutospacing="0"/>
        <w:ind w:left="360"/>
        <w:jc w:val="both"/>
        <w:textAlignment w:val="baseline"/>
        <w:rPr>
          <w:rStyle w:val="normaltextrun"/>
          <w:rFonts w:ascii="Arial" w:hAnsi="Arial" w:cs="Arial"/>
        </w:rPr>
      </w:pPr>
      <w:r>
        <w:rPr>
          <w:rStyle w:val="normaltextrun"/>
          <w:rFonts w:ascii="Arial" w:hAnsi="Arial"/>
          <w:color w:val="000000"/>
          <w:shd w:val="clear" w:color="auto" w:fill="FFFFFF"/>
        </w:rPr>
        <w:t>D</w:t>
      </w:r>
      <w:r w:rsidR="00341DC1">
        <w:rPr>
          <w:rStyle w:val="normaltextrun"/>
          <w:rFonts w:ascii="Arial" w:hAnsi="Arial"/>
          <w:color w:val="000000"/>
          <w:shd w:val="clear" w:color="auto" w:fill="FFFFFF"/>
        </w:rPr>
        <w:t>ocumente</w:t>
      </w:r>
      <w:r w:rsidR="00EC07AC">
        <w:rPr>
          <w:rStyle w:val="normaltextrun"/>
          <w:rFonts w:ascii="Arial" w:hAnsi="Arial"/>
          <w:color w:val="000000"/>
          <w:shd w:val="clear" w:color="auto" w:fill="FFFFFF"/>
        </w:rPr>
        <w:t>z</w:t>
      </w:r>
      <w:r w:rsidR="00341DC1">
        <w:rPr>
          <w:rStyle w:val="normaltextrun"/>
          <w:rFonts w:ascii="Arial" w:hAnsi="Arial"/>
          <w:color w:val="000000"/>
          <w:shd w:val="clear" w:color="auto" w:fill="FFFFFF"/>
        </w:rPr>
        <w:t xml:space="preserve"> l</w:t>
      </w:r>
      <w:r w:rsidR="00E950DE">
        <w:rPr>
          <w:rStyle w:val="normaltextrun"/>
          <w:rFonts w:ascii="Arial" w:hAnsi="Arial"/>
          <w:color w:val="000000"/>
          <w:shd w:val="clear" w:color="auto" w:fill="FFFFFF"/>
        </w:rPr>
        <w:t>e dégrée de</w:t>
      </w:r>
      <w:r w:rsidR="00341DC1">
        <w:rPr>
          <w:rStyle w:val="normaltextrun"/>
          <w:rFonts w:ascii="Arial" w:hAnsi="Arial"/>
          <w:color w:val="000000"/>
          <w:shd w:val="clear" w:color="auto" w:fill="FFFFFF"/>
        </w:rPr>
        <w:t xml:space="preserve"> fiabilité </w:t>
      </w:r>
      <w:r w:rsidR="00B50863">
        <w:rPr>
          <w:rStyle w:val="normaltextrun"/>
          <w:rFonts w:ascii="Arial" w:hAnsi="Arial"/>
          <w:color w:val="000000"/>
          <w:shd w:val="clear" w:color="auto" w:fill="FFFFFF"/>
        </w:rPr>
        <w:t>des donnée</w:t>
      </w:r>
      <w:r w:rsidR="0021172B">
        <w:rPr>
          <w:rStyle w:val="normaltextrun"/>
          <w:rFonts w:ascii="Arial" w:hAnsi="Arial"/>
          <w:color w:val="000000"/>
          <w:shd w:val="clear" w:color="auto" w:fill="FFFFFF"/>
        </w:rPr>
        <w:t>s</w:t>
      </w:r>
      <w:r w:rsidR="00341DC1">
        <w:rPr>
          <w:rStyle w:val="normaltextrun"/>
          <w:rFonts w:ascii="Arial" w:hAnsi="Arial"/>
          <w:color w:val="000000"/>
          <w:shd w:val="clear" w:color="auto" w:fill="FFFFFF"/>
        </w:rPr>
        <w:t xml:space="preserve">, conformément à la </w:t>
      </w:r>
      <w:r w:rsidR="00341DC1">
        <w:rPr>
          <w:rStyle w:val="normaltextrun"/>
          <w:rFonts w:ascii="Arial" w:hAnsi="Arial"/>
          <w:i/>
          <w:color w:val="000000"/>
          <w:shd w:val="clear" w:color="auto" w:fill="FFFFFF"/>
        </w:rPr>
        <w:t xml:space="preserve">Figure 2 </w:t>
      </w:r>
      <w:r w:rsidR="00341DC1" w:rsidRPr="00D446A4">
        <w:rPr>
          <w:rFonts w:ascii="Arial" w:hAnsi="Arial"/>
          <w:iCs/>
        </w:rPr>
        <w:t>des</w:t>
      </w:r>
      <w:r w:rsidR="00341DC1">
        <w:rPr>
          <w:rFonts w:ascii="Arial" w:hAnsi="Arial"/>
          <w:i/>
        </w:rPr>
        <w:t xml:space="preserve"> </w:t>
      </w:r>
      <w:hyperlink r:id="rId38" w:history="1">
        <w:r w:rsidR="00341DC1">
          <w:rPr>
            <w:rStyle w:val="Lienhypertexte"/>
            <w:rFonts w:ascii="Arial" w:hAnsi="Arial"/>
          </w:rPr>
          <w:t>Directives pour l’analyse des besoins humanitaires en matière de nutrition</w:t>
        </w:r>
      </w:hyperlink>
      <w:r>
        <w:rPr>
          <w:rStyle w:val="normaltextrun"/>
          <w:rFonts w:ascii="Arial" w:hAnsi="Arial"/>
          <w:color w:val="000000"/>
          <w:shd w:val="clear" w:color="auto" w:fill="FFFFFF"/>
        </w:rPr>
        <w:t>.</w:t>
      </w:r>
      <w:r w:rsidR="00341DC1">
        <w:rPr>
          <w:rStyle w:val="normaltextrun"/>
          <w:rFonts w:ascii="Arial" w:hAnsi="Arial"/>
          <w:color w:val="000000"/>
          <w:shd w:val="clear" w:color="auto" w:fill="FFFFFF"/>
        </w:rPr>
        <w:t xml:space="preserve">  </w:t>
      </w:r>
    </w:p>
    <w:p w14:paraId="6AB2F24C" w14:textId="1ED9453D" w:rsidR="00B02573" w:rsidRPr="00B02573" w:rsidRDefault="009B4B5B" w:rsidP="00B02573">
      <w:pPr>
        <w:pStyle w:val="paragraph"/>
        <w:numPr>
          <w:ilvl w:val="0"/>
          <w:numId w:val="8"/>
        </w:numPr>
        <w:spacing w:before="0" w:beforeAutospacing="0" w:after="120" w:afterAutospacing="0"/>
        <w:ind w:left="360"/>
        <w:jc w:val="both"/>
        <w:textAlignment w:val="baseline"/>
        <w:rPr>
          <w:rFonts w:ascii="Arial" w:hAnsi="Arial" w:cs="Arial"/>
        </w:rPr>
      </w:pPr>
      <w:r>
        <w:rPr>
          <w:rStyle w:val="normaltextrun"/>
          <w:rFonts w:ascii="Arial" w:hAnsi="Arial"/>
          <w:color w:val="000000"/>
          <w:shd w:val="clear" w:color="auto" w:fill="FFFFFF"/>
        </w:rPr>
        <w:t>E</w:t>
      </w:r>
      <w:r w:rsidR="00B02573">
        <w:rPr>
          <w:rStyle w:val="normaltextrun"/>
          <w:rFonts w:ascii="Arial" w:hAnsi="Arial"/>
          <w:color w:val="000000"/>
          <w:shd w:val="clear" w:color="auto" w:fill="FFFFFF"/>
        </w:rPr>
        <w:t>xamine</w:t>
      </w:r>
      <w:r w:rsidR="00D446A4">
        <w:rPr>
          <w:rStyle w:val="normaltextrun"/>
          <w:rFonts w:ascii="Arial" w:hAnsi="Arial"/>
          <w:color w:val="000000"/>
          <w:shd w:val="clear" w:color="auto" w:fill="FFFFFF"/>
        </w:rPr>
        <w:t>z</w:t>
      </w:r>
      <w:r w:rsidR="00B02573">
        <w:rPr>
          <w:rStyle w:val="normaltextrun"/>
          <w:rFonts w:ascii="Arial" w:hAnsi="Arial"/>
          <w:color w:val="000000"/>
          <w:shd w:val="clear" w:color="auto" w:fill="FFFFFF"/>
        </w:rPr>
        <w:t xml:space="preserve"> toutes les </w:t>
      </w:r>
      <w:r w:rsidR="00B02573">
        <w:rPr>
          <w:rFonts w:ascii="Arial" w:hAnsi="Arial"/>
        </w:rPr>
        <w:t xml:space="preserve">PiN </w:t>
      </w:r>
      <w:r w:rsidR="00B50863">
        <w:rPr>
          <w:rFonts w:ascii="Arial" w:hAnsi="Arial"/>
        </w:rPr>
        <w:t>par</w:t>
      </w:r>
      <w:r w:rsidR="00B02573">
        <w:rPr>
          <w:rFonts w:ascii="Arial" w:hAnsi="Arial"/>
        </w:rPr>
        <w:t xml:space="preserve"> besoin nutritionnel (malnutrition aiguë et chronique, pratiques d’ANJE, déficiences en micronutriments), dont le nombre est calculé en utilisant l’outil qui accompagne les Directives pour chaque zone géographique </w:t>
      </w:r>
      <w:r w:rsidR="00B02573">
        <w:rPr>
          <w:rFonts w:ascii="Arial" w:hAnsi="Arial"/>
          <w:i/>
        </w:rPr>
        <w:t xml:space="preserve">affectée, </w:t>
      </w:r>
      <w:r w:rsidR="00B02573">
        <w:rPr>
          <w:rFonts w:ascii="Arial" w:hAnsi="Arial"/>
        </w:rPr>
        <w:t xml:space="preserve">estimé selon les résultats de l’Analyse de la situation nutritionnelle et désagrégé par sexe et par besoin spécifique (c’est-à-dire, FEFA, handicap), </w:t>
      </w:r>
      <w:r w:rsidR="00E15773">
        <w:rPr>
          <w:rFonts w:ascii="Arial" w:hAnsi="Arial"/>
        </w:rPr>
        <w:t>sous réserve des données à disposition</w:t>
      </w:r>
      <w:r w:rsidR="00B02573">
        <w:rPr>
          <w:rFonts w:ascii="Arial" w:hAnsi="Arial"/>
        </w:rPr>
        <w:t xml:space="preserve">. </w:t>
      </w:r>
    </w:p>
    <w:p w14:paraId="6E064857" w14:textId="6ADD15C7" w:rsidR="0066077C" w:rsidRDefault="009B4B5B" w:rsidP="0066077C">
      <w:pPr>
        <w:pStyle w:val="paragraph"/>
        <w:numPr>
          <w:ilvl w:val="0"/>
          <w:numId w:val="8"/>
        </w:numPr>
        <w:spacing w:before="0" w:beforeAutospacing="0" w:after="120" w:afterAutospacing="0"/>
        <w:ind w:left="360"/>
        <w:jc w:val="both"/>
        <w:textAlignment w:val="baseline"/>
        <w:rPr>
          <w:rStyle w:val="normaltextrun"/>
          <w:rFonts w:ascii="Arial" w:hAnsi="Arial" w:cs="Arial"/>
        </w:rPr>
      </w:pPr>
      <w:r>
        <w:rPr>
          <w:rStyle w:val="normaltextrun"/>
          <w:rFonts w:ascii="Arial" w:hAnsi="Arial"/>
        </w:rPr>
        <w:t>P</w:t>
      </w:r>
      <w:r w:rsidR="000D51D1">
        <w:rPr>
          <w:rStyle w:val="normaltextrun"/>
          <w:rFonts w:ascii="Arial" w:hAnsi="Arial"/>
        </w:rPr>
        <w:t>assez</w:t>
      </w:r>
      <w:r w:rsidR="0066077C">
        <w:rPr>
          <w:rStyle w:val="normaltextrun"/>
          <w:rFonts w:ascii="Arial" w:hAnsi="Arial"/>
        </w:rPr>
        <w:t xml:space="preserve"> </w:t>
      </w:r>
      <w:r w:rsidR="000D51D1">
        <w:rPr>
          <w:rStyle w:val="normaltextrun"/>
          <w:rFonts w:ascii="Arial" w:hAnsi="Arial"/>
        </w:rPr>
        <w:t xml:space="preserve">en revue </w:t>
      </w:r>
      <w:r w:rsidR="0066077C">
        <w:rPr>
          <w:rStyle w:val="normaltextrun"/>
          <w:rFonts w:ascii="Arial" w:hAnsi="Arial"/>
        </w:rPr>
        <w:t>les estimations du nombre de PiN</w:t>
      </w:r>
      <w:r w:rsidR="002A414E">
        <w:rPr>
          <w:rStyle w:val="Appelnotedebasdep"/>
          <w:rFonts w:ascii="Arial" w:eastAsia="Arial" w:hAnsi="Arial" w:cs="Arial"/>
          <w:lang w:val="en-GB"/>
        </w:rPr>
        <w:footnoteReference w:id="14"/>
      </w:r>
      <w:r w:rsidR="0066077C">
        <w:rPr>
          <w:rStyle w:val="normaltextrun"/>
          <w:rFonts w:ascii="Arial" w:hAnsi="Arial"/>
        </w:rPr>
        <w:t xml:space="preserve"> par groupe cible, sexe et handicap générée</w:t>
      </w:r>
      <w:r w:rsidR="000D51D1">
        <w:rPr>
          <w:rStyle w:val="normaltextrun"/>
          <w:rFonts w:ascii="Arial" w:hAnsi="Arial"/>
        </w:rPr>
        <w:t>s</w:t>
      </w:r>
      <w:r w:rsidR="0066077C">
        <w:rPr>
          <w:rStyle w:val="normaltextrun"/>
          <w:rFonts w:ascii="Arial" w:hAnsi="Arial"/>
        </w:rPr>
        <w:t xml:space="preserve"> dans l</w:t>
      </w:r>
      <w:r w:rsidR="008B58E0">
        <w:rPr>
          <w:rStyle w:val="normaltextrun"/>
          <w:rFonts w:ascii="Arial" w:hAnsi="Arial"/>
        </w:rPr>
        <w:t>a</w:t>
      </w:r>
      <w:r w:rsidR="008B58E0">
        <w:rPr>
          <w:rStyle w:val="normaltextrun"/>
          <w:rFonts w:ascii="Arial" w:hAnsi="Arial"/>
          <w:i/>
          <w:iCs/>
        </w:rPr>
        <w:t xml:space="preserve"> feuille de calcul</w:t>
      </w:r>
      <w:r w:rsidR="0066077C">
        <w:rPr>
          <w:rStyle w:val="normaltextrun"/>
          <w:rFonts w:ascii="Arial" w:hAnsi="Arial"/>
          <w:i/>
          <w:iCs/>
        </w:rPr>
        <w:t xml:space="preserve"> </w:t>
      </w:r>
      <w:r w:rsidR="0066077C">
        <w:rPr>
          <w:rStyle w:val="normaltextrun"/>
          <w:rFonts w:ascii="Arial" w:hAnsi="Arial"/>
          <w:b/>
        </w:rPr>
        <w:t>PiN Total</w:t>
      </w:r>
      <w:r w:rsidR="0066077C">
        <w:rPr>
          <w:rStyle w:val="normaltextrun"/>
          <w:rFonts w:ascii="Arial" w:hAnsi="Arial"/>
        </w:rPr>
        <w:t xml:space="preserve"> ainsi que les sources d’informations</w:t>
      </w:r>
      <w:r w:rsidR="000D51D1">
        <w:rPr>
          <w:rStyle w:val="normaltextrun"/>
          <w:rFonts w:ascii="Arial" w:hAnsi="Arial"/>
        </w:rPr>
        <w:t>.</w:t>
      </w:r>
    </w:p>
    <w:p w14:paraId="02121FAE" w14:textId="0954D7CE" w:rsidR="00B02573" w:rsidRPr="00B02573" w:rsidRDefault="00B02573" w:rsidP="00B02573">
      <w:pPr>
        <w:pStyle w:val="paragraph"/>
        <w:spacing w:before="0" w:beforeAutospacing="0" w:after="120" w:afterAutospacing="0"/>
        <w:ind w:left="360"/>
        <w:jc w:val="both"/>
        <w:textAlignment w:val="baseline"/>
        <w:rPr>
          <w:rFonts w:ascii="Arial" w:hAnsi="Arial" w:cs="Arial"/>
        </w:rPr>
      </w:pPr>
      <w:r>
        <w:rPr>
          <w:rFonts w:ascii="Arial" w:hAnsi="Arial"/>
        </w:rPr>
        <w:t xml:space="preserve">L’utilisation de cet outil devrait aider à éviter un </w:t>
      </w:r>
      <w:r w:rsidR="00AB7F78">
        <w:rPr>
          <w:rFonts w:ascii="Arial" w:hAnsi="Arial"/>
        </w:rPr>
        <w:t xml:space="preserve">double </w:t>
      </w:r>
      <w:r>
        <w:rPr>
          <w:rFonts w:ascii="Arial" w:hAnsi="Arial"/>
        </w:rPr>
        <w:t>comptage. Avec un comptage double, le nombre de personnes ayant besoin d’une assistance est gonflé et donc erroné, surtout dans les cas où certaines populations cibles ou certains services ou prestataires peuvent se recouper. Par exemple, si dans une même zone géographique, 5</w:t>
      </w:r>
      <w:r w:rsidR="00750FBF">
        <w:rPr>
          <w:rFonts w:ascii="Arial" w:hAnsi="Arial"/>
        </w:rPr>
        <w:t> </w:t>
      </w:r>
      <w:r>
        <w:rPr>
          <w:rFonts w:ascii="Arial" w:hAnsi="Arial"/>
        </w:rPr>
        <w:t>000 enfants &lt; 5 ans ont besoin d’un traitement pour une MAS, 10</w:t>
      </w:r>
      <w:r w:rsidR="00750FBF">
        <w:rPr>
          <w:rFonts w:ascii="Arial" w:hAnsi="Arial"/>
        </w:rPr>
        <w:t> </w:t>
      </w:r>
      <w:r>
        <w:rPr>
          <w:rFonts w:ascii="Arial" w:hAnsi="Arial"/>
        </w:rPr>
        <w:t>000 enfants &lt;</w:t>
      </w:r>
      <w:r w:rsidR="009B4B5B">
        <w:rPr>
          <w:rFonts w:ascii="Arial" w:hAnsi="Arial"/>
        </w:rPr>
        <w:t xml:space="preserve"> </w:t>
      </w:r>
      <w:r>
        <w:rPr>
          <w:rFonts w:ascii="Arial" w:hAnsi="Arial"/>
        </w:rPr>
        <w:t>5 ans ont besoin d’un traitement pour une MAM et 1</w:t>
      </w:r>
      <w:r w:rsidR="00750FBF">
        <w:rPr>
          <w:rFonts w:ascii="Arial" w:hAnsi="Arial"/>
        </w:rPr>
        <w:t> </w:t>
      </w:r>
      <w:r>
        <w:rPr>
          <w:rFonts w:ascii="Arial" w:hAnsi="Arial"/>
        </w:rPr>
        <w:t>000 enfants &lt;</w:t>
      </w:r>
      <w:r w:rsidR="009B4B5B">
        <w:rPr>
          <w:rFonts w:ascii="Arial" w:hAnsi="Arial"/>
        </w:rPr>
        <w:t xml:space="preserve"> </w:t>
      </w:r>
      <w:r>
        <w:rPr>
          <w:rFonts w:ascii="Arial" w:hAnsi="Arial"/>
        </w:rPr>
        <w:t xml:space="preserve">2 ans ont besoin d’un appui en matière </w:t>
      </w:r>
      <w:r>
        <w:rPr>
          <w:rFonts w:ascii="Arial" w:hAnsi="Arial"/>
        </w:rPr>
        <w:lastRenderedPageBreak/>
        <w:t xml:space="preserve">d’ANJE, </w:t>
      </w:r>
      <w:r w:rsidR="00AB7F78">
        <w:rPr>
          <w:rFonts w:ascii="Arial" w:hAnsi="Arial"/>
        </w:rPr>
        <w:t>une partie des</w:t>
      </w:r>
      <w:r>
        <w:rPr>
          <w:rFonts w:ascii="Arial" w:hAnsi="Arial"/>
        </w:rPr>
        <w:t> enfants &lt; 2 ans pourraient faire partie des personnes ayant besoin d’un traitement pour une MA</w:t>
      </w:r>
      <w:r w:rsidR="00AB7F78">
        <w:rPr>
          <w:rFonts w:ascii="Arial" w:hAnsi="Arial"/>
        </w:rPr>
        <w:t>S</w:t>
      </w:r>
      <w:r w:rsidR="00F61302">
        <w:rPr>
          <w:rFonts w:ascii="Arial" w:hAnsi="Arial"/>
        </w:rPr>
        <w:t>/</w:t>
      </w:r>
      <w:r>
        <w:rPr>
          <w:rFonts w:ascii="Arial" w:hAnsi="Arial"/>
        </w:rPr>
        <w:t>MAM ou constituer un groupe totalement distinct</w:t>
      </w:r>
      <w:r w:rsidR="009B4B5B">
        <w:rPr>
          <w:rFonts w:ascii="Arial" w:hAnsi="Arial"/>
        </w:rPr>
        <w:t> ;</w:t>
      </w:r>
      <w:r>
        <w:rPr>
          <w:rFonts w:ascii="Arial" w:hAnsi="Arial"/>
        </w:rPr>
        <w:t xml:space="preserve"> </w:t>
      </w:r>
    </w:p>
    <w:p w14:paraId="0C56033F" w14:textId="5229F9A3" w:rsidR="00B02573" w:rsidRPr="00B02573" w:rsidRDefault="009B4B5B" w:rsidP="00B02573">
      <w:pPr>
        <w:pStyle w:val="paragraph"/>
        <w:numPr>
          <w:ilvl w:val="0"/>
          <w:numId w:val="8"/>
        </w:numPr>
        <w:spacing w:before="0" w:beforeAutospacing="0" w:after="120" w:afterAutospacing="0"/>
        <w:ind w:left="360"/>
        <w:jc w:val="both"/>
        <w:textAlignment w:val="baseline"/>
        <w:rPr>
          <w:rFonts w:ascii="Arial" w:hAnsi="Arial" w:cs="Arial"/>
        </w:rPr>
      </w:pPr>
      <w:r>
        <w:rPr>
          <w:rFonts w:ascii="Arial" w:hAnsi="Arial"/>
        </w:rPr>
        <w:t>I</w:t>
      </w:r>
      <w:r w:rsidR="00B02573">
        <w:rPr>
          <w:rFonts w:ascii="Arial" w:hAnsi="Arial"/>
        </w:rPr>
        <w:t>dentifie</w:t>
      </w:r>
      <w:r>
        <w:rPr>
          <w:rFonts w:ascii="Arial" w:hAnsi="Arial"/>
        </w:rPr>
        <w:t>z</w:t>
      </w:r>
      <w:r w:rsidR="00B02573">
        <w:rPr>
          <w:rFonts w:ascii="Arial" w:hAnsi="Arial"/>
        </w:rPr>
        <w:t xml:space="preserve"> les PiN </w:t>
      </w:r>
      <w:r w:rsidR="00AB7F78">
        <w:rPr>
          <w:rFonts w:ascii="Arial" w:hAnsi="Arial"/>
        </w:rPr>
        <w:t xml:space="preserve">en prenant les nombres </w:t>
      </w:r>
      <w:r w:rsidR="00B02573">
        <w:rPr>
          <w:rFonts w:ascii="Arial" w:hAnsi="Arial"/>
        </w:rPr>
        <w:t xml:space="preserve">les plus élevés </w:t>
      </w:r>
      <w:r w:rsidR="00AB7F78">
        <w:rPr>
          <w:rFonts w:ascii="Arial" w:hAnsi="Arial"/>
        </w:rPr>
        <w:t xml:space="preserve">de chaque group : </w:t>
      </w:r>
      <w:r w:rsidR="00B02573">
        <w:rPr>
          <w:rFonts w:ascii="Arial" w:hAnsi="Arial"/>
        </w:rPr>
        <w:t>pour les filles de moins de 5 ans, les garçons de moins de 5 ans, le</w:t>
      </w:r>
      <w:r w:rsidR="00C04FB4">
        <w:rPr>
          <w:rFonts w:ascii="Arial" w:hAnsi="Arial"/>
        </w:rPr>
        <w:t>s</w:t>
      </w:r>
      <w:r w:rsidR="00B02573">
        <w:rPr>
          <w:rFonts w:ascii="Arial" w:hAnsi="Arial"/>
        </w:rPr>
        <w:t xml:space="preserve"> FA/FEFA et les personnes handicapées</w:t>
      </w:r>
      <w:r w:rsidR="00AB7F78">
        <w:rPr>
          <w:rFonts w:ascii="Arial" w:hAnsi="Arial"/>
        </w:rPr>
        <w:t xml:space="preserve"> -</w:t>
      </w:r>
      <w:r w:rsidR="00B02573">
        <w:rPr>
          <w:rFonts w:ascii="Arial" w:hAnsi="Arial"/>
        </w:rPr>
        <w:t xml:space="preserve"> s’ils sont disponibles – par exemple : </w:t>
      </w:r>
    </w:p>
    <w:p w14:paraId="5AC741BB" w14:textId="4FB4DC88" w:rsidR="00B02573" w:rsidRPr="00B02573" w:rsidRDefault="00B02573" w:rsidP="00B02573">
      <w:pPr>
        <w:pStyle w:val="paragraph"/>
        <w:spacing w:before="0" w:beforeAutospacing="0" w:after="120" w:afterAutospacing="0"/>
        <w:ind w:left="360"/>
        <w:jc w:val="both"/>
        <w:textAlignment w:val="baseline"/>
        <w:rPr>
          <w:rFonts w:ascii="Arial" w:hAnsi="Arial" w:cs="Arial"/>
        </w:rPr>
      </w:pPr>
      <w:r>
        <w:rPr>
          <w:rFonts w:ascii="Arial" w:hAnsi="Arial"/>
          <w:b/>
        </w:rPr>
        <w:t>PiN dans le secteur de la nutrition : 1</w:t>
      </w:r>
      <w:r w:rsidR="00750FBF">
        <w:rPr>
          <w:rFonts w:ascii="Arial" w:hAnsi="Arial"/>
          <w:b/>
        </w:rPr>
        <w:t> 635 </w:t>
      </w:r>
      <w:r>
        <w:rPr>
          <w:rFonts w:ascii="Arial" w:hAnsi="Arial"/>
          <w:b/>
        </w:rPr>
        <w:t>912 filles de moins de 5 ans ; 1</w:t>
      </w:r>
      <w:r w:rsidR="00750FBF">
        <w:rPr>
          <w:rFonts w:ascii="Arial" w:hAnsi="Arial"/>
          <w:b/>
        </w:rPr>
        <w:t> 510 </w:t>
      </w:r>
      <w:r>
        <w:rPr>
          <w:rFonts w:ascii="Arial" w:hAnsi="Arial"/>
          <w:b/>
        </w:rPr>
        <w:t>073 garçons de moins de 5 ans ; 559</w:t>
      </w:r>
      <w:r w:rsidR="00750FBF">
        <w:rPr>
          <w:rFonts w:ascii="Arial" w:hAnsi="Arial"/>
          <w:b/>
        </w:rPr>
        <w:t> </w:t>
      </w:r>
      <w:r>
        <w:rPr>
          <w:rFonts w:ascii="Arial" w:hAnsi="Arial"/>
          <w:b/>
        </w:rPr>
        <w:t>286 FA/FEFA</w:t>
      </w:r>
    </w:p>
    <w:p w14:paraId="29319C76" w14:textId="030AF014" w:rsidR="00B02573" w:rsidRPr="00B02573" w:rsidRDefault="00B02573" w:rsidP="00B02573">
      <w:pPr>
        <w:pStyle w:val="paragraph"/>
        <w:numPr>
          <w:ilvl w:val="0"/>
          <w:numId w:val="8"/>
        </w:numPr>
        <w:spacing w:before="0" w:beforeAutospacing="0" w:after="120" w:afterAutospacing="0"/>
        <w:ind w:left="360"/>
        <w:jc w:val="both"/>
        <w:textAlignment w:val="baseline"/>
        <w:rPr>
          <w:rFonts w:ascii="Arial" w:hAnsi="Arial" w:cs="Arial"/>
        </w:rPr>
      </w:pPr>
      <w:r>
        <w:rPr>
          <w:rFonts w:ascii="Arial" w:hAnsi="Arial"/>
        </w:rPr>
        <w:t>Soumett</w:t>
      </w:r>
      <w:r w:rsidR="00C04FB4">
        <w:rPr>
          <w:rFonts w:ascii="Arial" w:hAnsi="Arial"/>
        </w:rPr>
        <w:t>ez</w:t>
      </w:r>
      <w:r>
        <w:rPr>
          <w:rFonts w:ascii="Arial" w:hAnsi="Arial"/>
        </w:rPr>
        <w:t xml:space="preserve"> ce</w:t>
      </w:r>
      <w:r w:rsidR="00AB7F78">
        <w:rPr>
          <w:rFonts w:ascii="Arial" w:hAnsi="Arial"/>
        </w:rPr>
        <w:t>s</w:t>
      </w:r>
      <w:r>
        <w:rPr>
          <w:rFonts w:ascii="Arial" w:hAnsi="Arial"/>
        </w:rPr>
        <w:t xml:space="preserve"> </w:t>
      </w:r>
      <w:r w:rsidR="00AB7F78">
        <w:rPr>
          <w:rFonts w:ascii="Arial" w:hAnsi="Arial"/>
        </w:rPr>
        <w:t xml:space="preserve">chiffres </w:t>
      </w:r>
      <w:r>
        <w:rPr>
          <w:rFonts w:ascii="Arial" w:hAnsi="Arial"/>
        </w:rPr>
        <w:t xml:space="preserve">de PiN </w:t>
      </w:r>
      <w:r w:rsidR="00AB7F78">
        <w:rPr>
          <w:rFonts w:ascii="Arial" w:hAnsi="Arial"/>
        </w:rPr>
        <w:t>du secteur</w:t>
      </w:r>
      <w:r>
        <w:rPr>
          <w:rFonts w:ascii="Arial" w:hAnsi="Arial"/>
        </w:rPr>
        <w:t xml:space="preserve"> nutrition à l’équipe chargée de l’analyse du JIAF en </w:t>
      </w:r>
      <w:r w:rsidR="00AB7F78">
        <w:rPr>
          <w:rFonts w:ascii="Arial" w:hAnsi="Arial"/>
        </w:rPr>
        <w:t>charge de l’</w:t>
      </w:r>
      <w:r>
        <w:rPr>
          <w:rFonts w:ascii="Arial" w:hAnsi="Arial"/>
        </w:rPr>
        <w:t xml:space="preserve">estimation intersectorielle du nombre de PiN. </w:t>
      </w:r>
      <w:r w:rsidR="00AB7F78">
        <w:rPr>
          <w:rFonts w:ascii="Arial" w:hAnsi="Arial"/>
        </w:rPr>
        <w:t>Rappelez-vous</w:t>
      </w:r>
      <w:r>
        <w:rPr>
          <w:rFonts w:ascii="Arial" w:hAnsi="Arial"/>
        </w:rPr>
        <w:t xml:space="preserve"> que</w:t>
      </w:r>
      <w:r w:rsidR="00AB7F78">
        <w:rPr>
          <w:rFonts w:ascii="Arial" w:hAnsi="Arial"/>
        </w:rPr>
        <w:t xml:space="preserve"> ce chiffre servira au calcul de PiN </w:t>
      </w:r>
      <w:r w:rsidR="00511DEF">
        <w:rPr>
          <w:rFonts w:ascii="Arial" w:hAnsi="Arial"/>
        </w:rPr>
        <w:t>intersectoriel</w:t>
      </w:r>
      <w:r w:rsidR="00AB7F78">
        <w:rPr>
          <w:rFonts w:ascii="Arial" w:hAnsi="Arial"/>
        </w:rPr>
        <w:t xml:space="preserve">. </w:t>
      </w:r>
      <w:r w:rsidR="00511DEF">
        <w:rPr>
          <w:rFonts w:ascii="Arial" w:hAnsi="Arial"/>
          <w:b/>
        </w:rPr>
        <w:t>Le nombre de PiN du secteur nutrition à inclure dans le</w:t>
      </w:r>
      <w:r>
        <w:rPr>
          <w:rFonts w:ascii="Arial" w:hAnsi="Arial"/>
          <w:b/>
        </w:rPr>
        <w:t xml:space="preserve"> PRH</w:t>
      </w:r>
      <w:r w:rsidR="00511DEF">
        <w:rPr>
          <w:rFonts w:ascii="Arial" w:hAnsi="Arial"/>
          <w:b/>
        </w:rPr>
        <w:t xml:space="preserve"> restera ventilé </w:t>
      </w:r>
      <w:r>
        <w:rPr>
          <w:rFonts w:ascii="Arial" w:hAnsi="Arial"/>
          <w:b/>
        </w:rPr>
        <w:t>par besoin nutritionnel.</w:t>
      </w:r>
      <w:r>
        <w:rPr>
          <w:rFonts w:ascii="Arial" w:hAnsi="Arial"/>
        </w:rPr>
        <w:t xml:space="preserve"> </w:t>
      </w:r>
    </w:p>
    <w:p w14:paraId="6F4C16E2" w14:textId="3BF07045" w:rsidR="00AC77B2" w:rsidRDefault="00656984" w:rsidP="006749AC">
      <w:pPr>
        <w:spacing w:after="120"/>
        <w:jc w:val="both"/>
        <w:rPr>
          <w:rStyle w:val="normaltextrun"/>
          <w:rFonts w:ascii="Arial" w:hAnsi="Arial" w:cs="Arial"/>
          <w:color w:val="000000"/>
          <w:shd w:val="clear" w:color="auto" w:fill="FFFFFF"/>
        </w:rPr>
      </w:pPr>
      <w:r>
        <w:rPr>
          <w:rStyle w:val="normaltextrun"/>
          <w:rFonts w:ascii="Arial" w:hAnsi="Arial"/>
          <w:color w:val="000000"/>
          <w:shd w:val="clear" w:color="auto" w:fill="FFFFFF"/>
        </w:rPr>
        <w:t xml:space="preserve">Étant donné que différentes méthodologies sont employées pour calculer le nombre sectoriel de PiN et le nombre intersectoriel de PiN au travers du JIAF, des cas où les nombres sectoriels de PiN diffèrent de façon inattendue par rapport aux chiffres intersectoriels sont fort probables. De manière spécifique, du fait que le nombre intersectoriel de PiN couvre tous les secteurs, on peut s’attendre à ce qu’il soit supérieur au nombre sectoriel de PiN. Dans le secteur de la nutrition, cela peut être dû aux différences des champs d’application des analyses, où certaines zones vulnérables sur le plan nutritionnel et les groupes de population qui y sont affectés pourraient être exclus du champ d’application du JIAF. Ces différences devraient malgré tout être prises en compte dans les estimations </w:t>
      </w:r>
      <w:r w:rsidR="00D47405">
        <w:rPr>
          <w:rStyle w:val="normaltextrun"/>
          <w:rFonts w:ascii="Arial" w:hAnsi="Arial"/>
          <w:color w:val="000000"/>
          <w:shd w:val="clear" w:color="auto" w:fill="FFFFFF"/>
        </w:rPr>
        <w:t xml:space="preserve">des personnes </w:t>
      </w:r>
      <w:r>
        <w:rPr>
          <w:rStyle w:val="normaltextrun"/>
          <w:rFonts w:ascii="Arial" w:hAnsi="Arial"/>
          <w:i/>
          <w:iCs/>
          <w:color w:val="000000"/>
          <w:shd w:val="clear" w:color="auto" w:fill="FFFFFF"/>
        </w:rPr>
        <w:t xml:space="preserve">ciblées </w:t>
      </w:r>
      <w:r>
        <w:rPr>
          <w:rStyle w:val="normaltextrun"/>
          <w:rFonts w:ascii="Arial" w:hAnsi="Arial"/>
          <w:color w:val="000000"/>
          <w:shd w:val="clear" w:color="auto" w:fill="FFFFFF"/>
        </w:rPr>
        <w:t xml:space="preserve">et </w:t>
      </w:r>
      <w:r w:rsidR="00FE2A67">
        <w:rPr>
          <w:rStyle w:val="normaltextrun"/>
          <w:rFonts w:ascii="Arial" w:hAnsi="Arial"/>
          <w:color w:val="000000"/>
          <w:shd w:val="clear" w:color="auto" w:fill="FFFFFF"/>
        </w:rPr>
        <w:t xml:space="preserve">par la suite </w:t>
      </w:r>
      <w:r w:rsidR="00D47405">
        <w:rPr>
          <w:rStyle w:val="normaltextrun"/>
          <w:rFonts w:ascii="Arial" w:hAnsi="Arial"/>
          <w:i/>
          <w:iCs/>
          <w:color w:val="000000"/>
          <w:shd w:val="clear" w:color="auto" w:fill="FFFFFF"/>
        </w:rPr>
        <w:t>couvertes</w:t>
      </w:r>
      <w:r>
        <w:rPr>
          <w:rStyle w:val="normaltextrun"/>
          <w:rFonts w:ascii="Arial" w:hAnsi="Arial"/>
          <w:i/>
          <w:iCs/>
          <w:color w:val="000000"/>
          <w:shd w:val="clear" w:color="auto" w:fill="FFFFFF"/>
        </w:rPr>
        <w:t xml:space="preserve"> </w:t>
      </w:r>
      <w:r w:rsidR="00D47405">
        <w:rPr>
          <w:rStyle w:val="normaltextrun"/>
          <w:rFonts w:ascii="Arial" w:hAnsi="Arial"/>
          <w:color w:val="000000"/>
          <w:shd w:val="clear" w:color="auto" w:fill="FFFFFF"/>
        </w:rPr>
        <w:t>par le</w:t>
      </w:r>
      <w:r>
        <w:rPr>
          <w:rStyle w:val="normaltextrun"/>
          <w:rFonts w:ascii="Arial" w:hAnsi="Arial"/>
          <w:color w:val="000000"/>
          <w:shd w:val="clear" w:color="auto" w:fill="FFFFFF"/>
        </w:rPr>
        <w:t xml:space="preserve"> PRH – voir l’</w:t>
      </w:r>
      <w:r>
        <w:rPr>
          <w:rStyle w:val="normaltextrun"/>
          <w:rFonts w:ascii="Arial" w:hAnsi="Arial"/>
          <w:i/>
          <w:color w:val="000000"/>
          <w:shd w:val="clear" w:color="auto" w:fill="FFFFFF"/>
        </w:rPr>
        <w:t>Encadré A</w:t>
      </w:r>
      <w:r>
        <w:rPr>
          <w:rStyle w:val="normaltextrun"/>
          <w:rFonts w:ascii="Arial" w:hAnsi="Arial"/>
          <w:color w:val="000000"/>
          <w:shd w:val="clear" w:color="auto" w:fill="FFFFFF"/>
        </w:rPr>
        <w:t xml:space="preserve"> ci-dessous.</w:t>
      </w:r>
    </w:p>
    <w:p w14:paraId="5516C8E5" w14:textId="6822B372" w:rsidR="00656984" w:rsidRDefault="00AC77B2" w:rsidP="006749AC">
      <w:pPr>
        <w:spacing w:after="120"/>
        <w:jc w:val="both"/>
        <w:rPr>
          <w:rStyle w:val="normaltextrun"/>
          <w:rFonts w:ascii="Arial" w:hAnsi="Arial" w:cs="Arial"/>
          <w:color w:val="000000"/>
          <w:shd w:val="clear" w:color="auto" w:fill="FFFFFF"/>
        </w:rPr>
      </w:pPr>
      <w:r>
        <w:rPr>
          <w:rStyle w:val="normaltextrun"/>
          <w:rFonts w:ascii="Arial" w:hAnsi="Arial"/>
          <w:color w:val="000000"/>
          <w:shd w:val="clear" w:color="auto" w:fill="FFFFFF"/>
        </w:rPr>
        <w:t xml:space="preserve">Néanmoins, l’équipe responsable de l’analyse du JIAF examinera les nombres sectoriels et intersectoriels de PiN en documentant les explications concernant les écarts et en </w:t>
      </w:r>
      <w:r w:rsidR="006718A2">
        <w:rPr>
          <w:rStyle w:val="normaltextrun"/>
          <w:rFonts w:ascii="Arial" w:hAnsi="Arial"/>
          <w:color w:val="000000"/>
          <w:shd w:val="clear" w:color="auto" w:fill="FFFFFF"/>
        </w:rPr>
        <w:t>établissant</w:t>
      </w:r>
      <w:r>
        <w:rPr>
          <w:rStyle w:val="normaltextrun"/>
          <w:rFonts w:ascii="Arial" w:hAnsi="Arial"/>
          <w:color w:val="000000"/>
          <w:shd w:val="clear" w:color="auto" w:fill="FFFFFF"/>
        </w:rPr>
        <w:t xml:space="preserve"> le nombre le plus précis possible de PiN </w:t>
      </w:r>
      <w:r w:rsidR="00FE2A67">
        <w:rPr>
          <w:rStyle w:val="normaltextrun"/>
          <w:rFonts w:ascii="Arial" w:hAnsi="Arial"/>
          <w:color w:val="000000"/>
          <w:shd w:val="clear" w:color="auto" w:fill="FFFFFF"/>
        </w:rPr>
        <w:t>dans l</w:t>
      </w:r>
      <w:r>
        <w:rPr>
          <w:rStyle w:val="normaltextrun"/>
          <w:rFonts w:ascii="Arial" w:hAnsi="Arial"/>
          <w:color w:val="000000"/>
          <w:shd w:val="clear" w:color="auto" w:fill="FFFFFF"/>
        </w:rPr>
        <w:t xml:space="preserve">’ABH. </w:t>
      </w:r>
      <w:r w:rsidR="00FE2A67">
        <w:rPr>
          <w:rStyle w:val="normaltextrun"/>
          <w:rFonts w:ascii="Arial" w:hAnsi="Arial"/>
          <w:color w:val="000000"/>
          <w:shd w:val="clear" w:color="auto" w:fill="FFFFFF"/>
        </w:rPr>
        <w:t>Ceci permettra de</w:t>
      </w:r>
      <w:r>
        <w:rPr>
          <w:rStyle w:val="normaltextrun"/>
          <w:rFonts w:ascii="Arial" w:hAnsi="Arial"/>
          <w:color w:val="000000"/>
          <w:shd w:val="clear" w:color="auto" w:fill="FFFFFF"/>
        </w:rPr>
        <w:t xml:space="preserve"> mieux comprendre les conditions humanitaires des populations et le</w:t>
      </w:r>
      <w:r w:rsidR="00E14F0E">
        <w:rPr>
          <w:rStyle w:val="normaltextrun"/>
          <w:rFonts w:ascii="Arial" w:hAnsi="Arial"/>
          <w:color w:val="000000"/>
          <w:shd w:val="clear" w:color="auto" w:fill="FFFFFF"/>
        </w:rPr>
        <w:t>ur</w:t>
      </w:r>
      <w:r>
        <w:rPr>
          <w:rStyle w:val="normaltextrun"/>
          <w:rFonts w:ascii="Arial" w:hAnsi="Arial"/>
          <w:color w:val="000000"/>
          <w:shd w:val="clear" w:color="auto" w:fill="FFFFFF"/>
        </w:rPr>
        <w:t xml:space="preserve">s causes afin de garantir la pertinence et la validité des analyses de la sévérité et des estimations des PiN. </w:t>
      </w:r>
      <w:r w:rsidR="00FE2A67">
        <w:rPr>
          <w:rStyle w:val="normaltextrun"/>
          <w:rFonts w:ascii="Arial" w:hAnsi="Arial"/>
          <w:color w:val="000000"/>
          <w:shd w:val="clear" w:color="auto" w:fill="FFFFFF"/>
        </w:rPr>
        <w:t>De son côté</w:t>
      </w:r>
      <w:r>
        <w:rPr>
          <w:rStyle w:val="normaltextrun"/>
          <w:rFonts w:ascii="Arial" w:hAnsi="Arial"/>
          <w:color w:val="000000"/>
          <w:shd w:val="clear" w:color="auto" w:fill="FFFFFF"/>
        </w:rPr>
        <w:t>, l</w:t>
      </w:r>
      <w:r w:rsidR="00FE2A67">
        <w:rPr>
          <w:rStyle w:val="normaltextrun"/>
          <w:rFonts w:ascii="Arial" w:hAnsi="Arial"/>
          <w:color w:val="000000"/>
          <w:shd w:val="clear" w:color="auto" w:fill="FFFFFF"/>
        </w:rPr>
        <w:t>’</w:t>
      </w:r>
      <w:r>
        <w:rPr>
          <w:rStyle w:val="normaltextrun"/>
          <w:rFonts w:ascii="Arial" w:hAnsi="Arial"/>
          <w:color w:val="000000"/>
          <w:shd w:val="clear" w:color="auto" w:fill="FFFFFF"/>
        </w:rPr>
        <w:t xml:space="preserve">analyse de sévérité et </w:t>
      </w:r>
      <w:r w:rsidR="00FE2A67">
        <w:rPr>
          <w:rStyle w:val="normaltextrun"/>
          <w:rFonts w:ascii="Arial" w:hAnsi="Arial"/>
          <w:color w:val="000000"/>
          <w:shd w:val="clear" w:color="auto" w:fill="FFFFFF"/>
        </w:rPr>
        <w:t>des</w:t>
      </w:r>
      <w:r>
        <w:rPr>
          <w:rStyle w:val="normaltextrun"/>
          <w:rFonts w:ascii="Arial" w:hAnsi="Arial"/>
          <w:color w:val="000000"/>
          <w:shd w:val="clear" w:color="auto" w:fill="FFFFFF"/>
        </w:rPr>
        <w:t xml:space="preserve"> PiN contribuent à finaliser la description des besoins humanitaires et </w:t>
      </w:r>
      <w:r w:rsidR="00FE2A67">
        <w:rPr>
          <w:rStyle w:val="normaltextrun"/>
          <w:rFonts w:ascii="Arial" w:hAnsi="Arial"/>
          <w:color w:val="000000"/>
          <w:shd w:val="clear" w:color="auto" w:fill="FFFFFF"/>
        </w:rPr>
        <w:t xml:space="preserve">ses </w:t>
      </w:r>
      <w:r>
        <w:rPr>
          <w:rStyle w:val="normaltextrun"/>
          <w:rFonts w:ascii="Arial" w:hAnsi="Arial"/>
          <w:color w:val="000000"/>
          <w:shd w:val="clear" w:color="auto" w:fill="FFFFFF"/>
        </w:rPr>
        <w:t>causes.</w:t>
      </w:r>
    </w:p>
    <w:p w14:paraId="6625EF80" w14:textId="1359EBCF" w:rsidR="00FC7709" w:rsidRPr="009659D9" w:rsidRDefault="006749AC" w:rsidP="00B02573">
      <w:pPr>
        <w:pStyle w:val="paragraph"/>
        <w:spacing w:before="0" w:beforeAutospacing="0" w:after="120" w:afterAutospacing="0"/>
        <w:jc w:val="both"/>
        <w:textAlignment w:val="baseline"/>
        <w:rPr>
          <w:rFonts w:ascii="Arial" w:eastAsia="Arial" w:hAnsi="Arial" w:cs="Arial"/>
        </w:rPr>
      </w:pPr>
      <w:r>
        <w:rPr>
          <w:rFonts w:ascii="Arial" w:hAnsi="Arial"/>
        </w:rPr>
        <w:t xml:space="preserve">Si </w:t>
      </w:r>
      <w:r w:rsidR="00FE2A67">
        <w:rPr>
          <w:rFonts w:ascii="Arial" w:hAnsi="Arial"/>
        </w:rPr>
        <w:t>les</w:t>
      </w:r>
      <w:r>
        <w:rPr>
          <w:rFonts w:ascii="Arial" w:hAnsi="Arial"/>
          <w:i/>
        </w:rPr>
        <w:t xml:space="preserve"> PiN </w:t>
      </w:r>
      <w:r w:rsidR="00FE2A67">
        <w:rPr>
          <w:rFonts w:ascii="Arial" w:hAnsi="Arial"/>
          <w:i/>
        </w:rPr>
        <w:t>en</w:t>
      </w:r>
      <w:r>
        <w:rPr>
          <w:rFonts w:ascii="Arial" w:hAnsi="Arial"/>
          <w:i/>
        </w:rPr>
        <w:t xml:space="preserve"> nutrition </w:t>
      </w:r>
      <w:r>
        <w:rPr>
          <w:rFonts w:ascii="Arial" w:hAnsi="Arial"/>
        </w:rPr>
        <w:t>est supérieur aux estimations du JIAF, discute</w:t>
      </w:r>
      <w:r w:rsidR="00E14F0E">
        <w:rPr>
          <w:rFonts w:ascii="Arial" w:hAnsi="Arial"/>
        </w:rPr>
        <w:t>z</w:t>
      </w:r>
      <w:r>
        <w:rPr>
          <w:rFonts w:ascii="Arial" w:hAnsi="Arial"/>
        </w:rPr>
        <w:t xml:space="preserve"> avec l’équipe JIAF pour en établir les causes possibles, en vérifiant </w:t>
      </w:r>
      <w:r w:rsidR="00FE2A67">
        <w:rPr>
          <w:rFonts w:ascii="Arial" w:hAnsi="Arial"/>
        </w:rPr>
        <w:t xml:space="preserve">comment </w:t>
      </w:r>
      <w:r w:rsidR="00E06FEE">
        <w:rPr>
          <w:rFonts w:ascii="Arial" w:hAnsi="Arial"/>
        </w:rPr>
        <w:t>ils</w:t>
      </w:r>
      <w:r>
        <w:rPr>
          <w:rFonts w:ascii="Arial" w:hAnsi="Arial"/>
        </w:rPr>
        <w:t xml:space="preserve"> </w:t>
      </w:r>
      <w:r w:rsidR="00FE2A67">
        <w:rPr>
          <w:rFonts w:ascii="Arial" w:hAnsi="Arial"/>
        </w:rPr>
        <w:t xml:space="preserve">ont été </w:t>
      </w:r>
      <w:r w:rsidR="00E06FEE">
        <w:rPr>
          <w:rFonts w:ascii="Arial" w:hAnsi="Arial"/>
        </w:rPr>
        <w:t>intégrés au nombre de PiN intersectoriel</w:t>
      </w:r>
      <w:r>
        <w:rPr>
          <w:rFonts w:ascii="Arial" w:hAnsi="Arial"/>
        </w:rPr>
        <w:t>.</w:t>
      </w:r>
    </w:p>
    <w:p w14:paraId="5861FA6F" w14:textId="77777777" w:rsidR="00AC77B2" w:rsidRPr="00215988" w:rsidRDefault="00AC77B2" w:rsidP="00EB0777">
      <w:pPr>
        <w:pStyle w:val="paragraph"/>
        <w:spacing w:before="0" w:beforeAutospacing="0" w:after="120" w:afterAutospacing="0"/>
        <w:ind w:left="360"/>
        <w:jc w:val="both"/>
        <w:textAlignment w:val="baseline"/>
        <w:rPr>
          <w:rFonts w:ascii="Arial" w:eastAsia="Arial" w:hAnsi="Arial" w:cs="Arial"/>
        </w:rPr>
      </w:pPr>
    </w:p>
    <w:p w14:paraId="41D1549B" w14:textId="7BB82BE7" w:rsidR="006749AC" w:rsidRPr="00B02573" w:rsidRDefault="0001329E" w:rsidP="00B02573">
      <w:pPr>
        <w:pStyle w:val="Titre2"/>
        <w:rPr>
          <w:rFonts w:ascii="Arial" w:hAnsi="Arial" w:cs="Arial"/>
          <w:b/>
          <w:color w:val="000000"/>
          <w:sz w:val="28"/>
          <w:szCs w:val="28"/>
        </w:rPr>
      </w:pPr>
      <w:bookmarkStart w:id="19" w:name="_Toc90559364"/>
      <w:r>
        <w:rPr>
          <w:rFonts w:ascii="Arial" w:hAnsi="Arial"/>
          <w:b/>
          <w:color w:val="000000"/>
          <w:sz w:val="28"/>
        </w:rPr>
        <w:t xml:space="preserve">6) Prévisions des conditions </w:t>
      </w:r>
      <w:r w:rsidR="00F61302">
        <w:rPr>
          <w:rFonts w:ascii="Arial" w:hAnsi="Arial"/>
          <w:b/>
          <w:color w:val="000000"/>
          <w:sz w:val="28"/>
        </w:rPr>
        <w:t xml:space="preserve">humanitaires </w:t>
      </w:r>
      <w:r w:rsidR="00EF1027">
        <w:rPr>
          <w:rFonts w:ascii="Arial" w:hAnsi="Arial"/>
          <w:b/>
          <w:color w:val="000000"/>
          <w:sz w:val="28"/>
        </w:rPr>
        <w:t>à venir</w:t>
      </w:r>
      <w:bookmarkEnd w:id="19"/>
    </w:p>
    <w:p w14:paraId="16A7A7CF" w14:textId="2FF8E8C2" w:rsidR="0049443A" w:rsidRDefault="00E14F0E" w:rsidP="00EB0777">
      <w:pPr>
        <w:spacing w:after="120"/>
        <w:jc w:val="both"/>
        <w:rPr>
          <w:rFonts w:ascii="Arial" w:hAnsi="Arial" w:cs="Arial"/>
        </w:rPr>
      </w:pPr>
      <w:r>
        <w:rPr>
          <w:rFonts w:ascii="Arial" w:hAnsi="Arial"/>
        </w:rPr>
        <w:t>C</w:t>
      </w:r>
      <w:r w:rsidR="0049443A">
        <w:rPr>
          <w:rFonts w:ascii="Arial" w:hAnsi="Arial"/>
        </w:rPr>
        <w:t xml:space="preserve">es prévisions </w:t>
      </w:r>
      <w:r>
        <w:rPr>
          <w:rFonts w:ascii="Arial" w:hAnsi="Arial"/>
        </w:rPr>
        <w:t xml:space="preserve">concernent </w:t>
      </w:r>
      <w:r w:rsidR="0049443A">
        <w:rPr>
          <w:rFonts w:ascii="Arial" w:hAnsi="Arial"/>
        </w:rPr>
        <w:t xml:space="preserve">l’évolution possible de la situation sur la base d’un examen approfondi des risques et </w:t>
      </w:r>
      <w:r w:rsidR="00E06FEE">
        <w:rPr>
          <w:rFonts w:ascii="Arial" w:hAnsi="Arial"/>
        </w:rPr>
        <w:t xml:space="preserve">de </w:t>
      </w:r>
      <w:r w:rsidR="0049443A">
        <w:rPr>
          <w:rFonts w:ascii="Arial" w:hAnsi="Arial"/>
        </w:rPr>
        <w:t xml:space="preserve">la manière dont </w:t>
      </w:r>
      <w:r w:rsidR="00E06FEE">
        <w:rPr>
          <w:rFonts w:ascii="Arial" w:hAnsi="Arial"/>
        </w:rPr>
        <w:t xml:space="preserve">ils </w:t>
      </w:r>
      <w:r w:rsidR="0049443A">
        <w:rPr>
          <w:rFonts w:ascii="Arial" w:hAnsi="Arial"/>
        </w:rPr>
        <w:t>pourrai</w:t>
      </w:r>
      <w:r w:rsidR="00E06FEE">
        <w:rPr>
          <w:rFonts w:ascii="Arial" w:hAnsi="Arial"/>
        </w:rPr>
        <w:t>en</w:t>
      </w:r>
      <w:r w:rsidR="0049443A">
        <w:rPr>
          <w:rFonts w:ascii="Arial" w:hAnsi="Arial"/>
        </w:rPr>
        <w:t xml:space="preserve">t </w:t>
      </w:r>
      <w:r w:rsidR="0049443A">
        <w:rPr>
          <w:rFonts w:ascii="Arial" w:hAnsi="Arial"/>
          <w:b/>
        </w:rPr>
        <w:t>augmenter les pourcentages projetés</w:t>
      </w:r>
      <w:r w:rsidR="00F61302" w:rsidRPr="00F61302">
        <w:rPr>
          <w:rFonts w:ascii="Arial" w:hAnsi="Arial"/>
        </w:rPr>
        <w:t xml:space="preserve"> </w:t>
      </w:r>
      <w:r w:rsidR="00F61302">
        <w:rPr>
          <w:rFonts w:ascii="Arial" w:hAnsi="Arial"/>
        </w:rPr>
        <w:t>désagrégées par classe de sévérité et par unité d’analyse</w:t>
      </w:r>
      <w:r w:rsidR="00E06FEE">
        <w:rPr>
          <w:rFonts w:ascii="Arial" w:hAnsi="Arial"/>
          <w:b/>
        </w:rPr>
        <w:t xml:space="preserve">, </w:t>
      </w:r>
      <w:r w:rsidR="00E06FEE" w:rsidRPr="0009769E">
        <w:rPr>
          <w:rFonts w:ascii="Arial" w:hAnsi="Arial"/>
          <w:bCs/>
        </w:rPr>
        <w:t>tout en</w:t>
      </w:r>
      <w:r w:rsidR="0049443A" w:rsidRPr="00E06FEE">
        <w:rPr>
          <w:rFonts w:ascii="Arial" w:hAnsi="Arial"/>
          <w:bCs/>
        </w:rPr>
        <w:t xml:space="preserve"> reflétant</w:t>
      </w:r>
      <w:r w:rsidR="0049443A">
        <w:rPr>
          <w:rFonts w:ascii="Arial" w:hAnsi="Arial"/>
        </w:rPr>
        <w:t xml:space="preserve"> l’évolution </w:t>
      </w:r>
      <w:r w:rsidR="00F61302">
        <w:rPr>
          <w:rFonts w:ascii="Arial" w:hAnsi="Arial"/>
        </w:rPr>
        <w:t>et</w:t>
      </w:r>
      <w:r w:rsidR="00F61302" w:rsidDel="00E06FEE">
        <w:rPr>
          <w:rFonts w:ascii="Arial" w:hAnsi="Arial"/>
        </w:rPr>
        <w:t xml:space="preserve"> </w:t>
      </w:r>
      <w:r w:rsidR="0049443A">
        <w:rPr>
          <w:rFonts w:ascii="Arial" w:hAnsi="Arial"/>
        </w:rPr>
        <w:t>l’impact des conditions humanitaires</w:t>
      </w:r>
      <w:r w:rsidR="00E06FEE" w:rsidRPr="00E06FEE">
        <w:rPr>
          <w:rFonts w:ascii="Arial" w:hAnsi="Arial"/>
        </w:rPr>
        <w:t xml:space="preserve"> </w:t>
      </w:r>
      <w:r w:rsidR="00E06FEE">
        <w:rPr>
          <w:rFonts w:ascii="Arial" w:hAnsi="Arial"/>
        </w:rPr>
        <w:t>attendue</w:t>
      </w:r>
      <w:r w:rsidR="0049443A">
        <w:rPr>
          <w:rFonts w:ascii="Arial" w:hAnsi="Arial"/>
        </w:rPr>
        <w:t xml:space="preserve">. L’équipe du JIAF discutera du scénario le plus probable </w:t>
      </w:r>
      <w:r w:rsidR="00504B20">
        <w:rPr>
          <w:rFonts w:ascii="Arial" w:hAnsi="Arial"/>
        </w:rPr>
        <w:t xml:space="preserve">au sujet de </w:t>
      </w:r>
      <w:r w:rsidR="0049443A">
        <w:rPr>
          <w:rFonts w:ascii="Arial" w:hAnsi="Arial"/>
        </w:rPr>
        <w:t xml:space="preserve">l’évolution des conséquences dans un pays donné, ainsi que de la justification </w:t>
      </w:r>
      <w:r w:rsidR="00E06FEE">
        <w:rPr>
          <w:rFonts w:ascii="Arial" w:hAnsi="Arial"/>
        </w:rPr>
        <w:t>de la classification</w:t>
      </w:r>
      <w:r w:rsidR="0049443A">
        <w:rPr>
          <w:rFonts w:ascii="Arial" w:hAnsi="Arial"/>
        </w:rPr>
        <w:t xml:space="preserve"> de sévérité, </w:t>
      </w:r>
      <w:r w:rsidR="00E06FEE">
        <w:rPr>
          <w:rFonts w:ascii="Arial" w:hAnsi="Arial"/>
        </w:rPr>
        <w:t>l’</w:t>
      </w:r>
      <w:r w:rsidR="0049443A">
        <w:rPr>
          <w:rFonts w:ascii="Arial" w:hAnsi="Arial"/>
        </w:rPr>
        <w:t xml:space="preserve">analyse des éléments factuels, </w:t>
      </w:r>
      <w:r w:rsidR="00E06FEE">
        <w:rPr>
          <w:rFonts w:ascii="Arial" w:hAnsi="Arial"/>
        </w:rPr>
        <w:t xml:space="preserve">la classification </w:t>
      </w:r>
      <w:r w:rsidR="0049443A">
        <w:rPr>
          <w:rFonts w:ascii="Arial" w:hAnsi="Arial"/>
        </w:rPr>
        <w:t xml:space="preserve">de la zone, </w:t>
      </w:r>
      <w:r w:rsidR="00E06FEE">
        <w:rPr>
          <w:rFonts w:ascii="Arial" w:hAnsi="Arial"/>
        </w:rPr>
        <w:t>la période de projection</w:t>
      </w:r>
      <w:r w:rsidR="0049443A">
        <w:rPr>
          <w:rFonts w:ascii="Arial" w:hAnsi="Arial"/>
        </w:rPr>
        <w:t xml:space="preserve">, et des </w:t>
      </w:r>
      <w:r w:rsidR="0049443A">
        <w:rPr>
          <w:rFonts w:ascii="Arial" w:hAnsi="Arial"/>
          <w:b/>
        </w:rPr>
        <w:t>principaux facteurs de risques</w:t>
      </w:r>
      <w:r w:rsidR="0060466E">
        <w:rPr>
          <w:rStyle w:val="Appelnotedebasdep"/>
          <w:rFonts w:ascii="Arial" w:hAnsi="Arial" w:cs="Arial"/>
          <w:b/>
          <w:bCs/>
        </w:rPr>
        <w:footnoteReference w:id="15"/>
      </w:r>
      <w:r w:rsidR="0049443A">
        <w:rPr>
          <w:rFonts w:ascii="Arial" w:hAnsi="Arial"/>
          <w:b/>
        </w:rPr>
        <w:t xml:space="preserve"> </w:t>
      </w:r>
      <w:r w:rsidR="004B74F8">
        <w:rPr>
          <w:rFonts w:ascii="Arial" w:hAnsi="Arial"/>
          <w:b/>
        </w:rPr>
        <w:t xml:space="preserve">auxquels il faudra </w:t>
      </w:r>
      <w:r w:rsidR="0049443A">
        <w:rPr>
          <w:rFonts w:ascii="Arial" w:hAnsi="Arial"/>
          <w:b/>
        </w:rPr>
        <w:t xml:space="preserve">assurer </w:t>
      </w:r>
      <w:r w:rsidR="00E06FEE">
        <w:rPr>
          <w:rFonts w:ascii="Arial" w:hAnsi="Arial"/>
          <w:b/>
        </w:rPr>
        <w:t xml:space="preserve">le </w:t>
      </w:r>
      <w:r w:rsidR="0049443A">
        <w:rPr>
          <w:rFonts w:ascii="Arial" w:hAnsi="Arial"/>
          <w:b/>
        </w:rPr>
        <w:t xml:space="preserve">suivi </w:t>
      </w:r>
      <w:r w:rsidR="0049443A">
        <w:rPr>
          <w:rFonts w:ascii="Arial" w:hAnsi="Arial"/>
        </w:rPr>
        <w:t>par rapport aux projections présumées.</w:t>
      </w:r>
      <w:r w:rsidR="0049443A">
        <w:rPr>
          <w:rFonts w:ascii="Arial" w:hAnsi="Arial"/>
          <w:b/>
        </w:rPr>
        <w:t xml:space="preserve"> </w:t>
      </w:r>
    </w:p>
    <w:p w14:paraId="38DD8073" w14:textId="33FE680B" w:rsidR="0060466E" w:rsidRDefault="0049443A" w:rsidP="0049443A">
      <w:pPr>
        <w:spacing w:after="120"/>
        <w:ind w:left="432" w:hanging="432"/>
        <w:jc w:val="both"/>
        <w:rPr>
          <w:rFonts w:ascii="Arial" w:hAnsi="Arial" w:cs="Arial"/>
        </w:rPr>
      </w:pPr>
      <w:r>
        <w:rPr>
          <w:rFonts w:ascii="Segoe UI Emoji" w:hAnsi="Segoe UI Emoji"/>
        </w:rPr>
        <w:lastRenderedPageBreak/>
        <w:t xml:space="preserve">✔ </w:t>
      </w:r>
      <w:r>
        <w:rPr>
          <w:rFonts w:ascii="Arial" w:hAnsi="Arial"/>
        </w:rPr>
        <w:t xml:space="preserve">Les estimations sur la nutrition comprennent déjà une </w:t>
      </w:r>
      <w:r w:rsidR="00504B20">
        <w:rPr>
          <w:rFonts w:ascii="Arial" w:hAnsi="Arial"/>
        </w:rPr>
        <w:t>perspective prévisionnelle</w:t>
      </w:r>
      <w:r w:rsidR="004B74F8">
        <w:rPr>
          <w:rFonts w:ascii="Arial" w:hAnsi="Arial"/>
        </w:rPr>
        <w:t> :</w:t>
      </w:r>
      <w:r>
        <w:rPr>
          <w:rFonts w:ascii="Arial" w:hAnsi="Arial"/>
        </w:rPr>
        <w:t xml:space="preserve"> le calcul du nombre de PiN en matière de nutrition </w:t>
      </w:r>
      <w:r w:rsidR="00504B20">
        <w:rPr>
          <w:rFonts w:ascii="Arial" w:hAnsi="Arial"/>
        </w:rPr>
        <w:t xml:space="preserve">repose sur </w:t>
      </w:r>
      <w:r>
        <w:rPr>
          <w:rFonts w:ascii="Arial" w:hAnsi="Arial"/>
        </w:rPr>
        <w:t xml:space="preserve">une estimation de l’incidence </w:t>
      </w:r>
      <w:r w:rsidR="004B74F8">
        <w:rPr>
          <w:rFonts w:ascii="Arial" w:hAnsi="Arial"/>
        </w:rPr>
        <w:t xml:space="preserve">et </w:t>
      </w:r>
      <w:r>
        <w:rPr>
          <w:rFonts w:ascii="Arial" w:hAnsi="Arial"/>
        </w:rPr>
        <w:t xml:space="preserve">de la prévalence des personnes ayant des besoins nutritionnels. </w:t>
      </w:r>
    </w:p>
    <w:p w14:paraId="249583DC" w14:textId="4ADF5128" w:rsidR="006222BA" w:rsidRDefault="004B74F8" w:rsidP="00C15943">
      <w:pPr>
        <w:spacing w:after="120"/>
        <w:jc w:val="both"/>
        <w:rPr>
          <w:rFonts w:ascii="Arial" w:hAnsi="Arial" w:cs="Arial"/>
        </w:rPr>
      </w:pPr>
      <w:r>
        <w:rPr>
          <w:rFonts w:ascii="Arial" w:hAnsi="Arial"/>
        </w:rPr>
        <w:t>Pour cette raison</w:t>
      </w:r>
      <w:r w:rsidR="00C057C3">
        <w:rPr>
          <w:rFonts w:ascii="Arial" w:hAnsi="Arial"/>
        </w:rPr>
        <w:t>, prévo</w:t>
      </w:r>
      <w:r w:rsidR="00504B20">
        <w:rPr>
          <w:rFonts w:ascii="Arial" w:hAnsi="Arial"/>
        </w:rPr>
        <w:t>yez</w:t>
      </w:r>
      <w:r w:rsidR="00C057C3">
        <w:rPr>
          <w:rFonts w:ascii="Arial" w:hAnsi="Arial"/>
        </w:rPr>
        <w:t xml:space="preserve"> le </w:t>
      </w:r>
      <w:r w:rsidR="00C057C3">
        <w:rPr>
          <w:rFonts w:ascii="Arial" w:hAnsi="Arial"/>
          <w:b/>
        </w:rPr>
        <w:t xml:space="preserve">même nombre de PiN </w:t>
      </w:r>
      <w:r w:rsidR="00C057C3">
        <w:rPr>
          <w:rFonts w:ascii="Arial" w:hAnsi="Arial"/>
        </w:rPr>
        <w:t xml:space="preserve">pour l’exercice de projection du JIAF. </w:t>
      </w:r>
    </w:p>
    <w:p w14:paraId="16F05EB9" w14:textId="77777777" w:rsidR="00C15943" w:rsidRDefault="00C15943" w:rsidP="00C15943">
      <w:pPr>
        <w:spacing w:after="120"/>
        <w:jc w:val="both"/>
        <w:rPr>
          <w:rFonts w:ascii="Arial" w:hAnsi="Arial" w:cs="Arial"/>
          <w:b/>
          <w:color w:val="000000"/>
          <w:sz w:val="28"/>
          <w:szCs w:val="28"/>
        </w:rPr>
      </w:pPr>
    </w:p>
    <w:p w14:paraId="1E6EA3D8" w14:textId="43125323" w:rsidR="006222BA" w:rsidRPr="00B02573" w:rsidRDefault="006222BA" w:rsidP="00B02573">
      <w:pPr>
        <w:pStyle w:val="Titre2"/>
        <w:rPr>
          <w:rFonts w:ascii="Arial" w:hAnsi="Arial" w:cs="Arial"/>
          <w:b/>
          <w:color w:val="000000"/>
          <w:sz w:val="28"/>
          <w:szCs w:val="28"/>
        </w:rPr>
      </w:pPr>
      <w:bookmarkStart w:id="20" w:name="_Toc90559365"/>
      <w:r>
        <w:rPr>
          <w:rFonts w:ascii="Arial" w:hAnsi="Arial"/>
          <w:b/>
          <w:color w:val="000000"/>
          <w:sz w:val="28"/>
        </w:rPr>
        <w:t>7) Prépar</w:t>
      </w:r>
      <w:r w:rsidR="00504B20">
        <w:rPr>
          <w:rFonts w:ascii="Arial" w:hAnsi="Arial"/>
          <w:b/>
          <w:color w:val="000000"/>
          <w:sz w:val="28"/>
        </w:rPr>
        <w:t>ation</w:t>
      </w:r>
      <w:r>
        <w:rPr>
          <w:rFonts w:ascii="Arial" w:hAnsi="Arial"/>
          <w:b/>
          <w:color w:val="000000"/>
          <w:sz w:val="28"/>
        </w:rPr>
        <w:t xml:space="preserve"> </w:t>
      </w:r>
      <w:r w:rsidR="00504B20">
        <w:rPr>
          <w:rFonts w:ascii="Arial" w:hAnsi="Arial"/>
          <w:b/>
          <w:color w:val="000000"/>
          <w:sz w:val="28"/>
        </w:rPr>
        <w:t>d</w:t>
      </w:r>
      <w:r>
        <w:rPr>
          <w:rFonts w:ascii="Arial" w:hAnsi="Arial"/>
          <w:b/>
          <w:color w:val="000000"/>
          <w:sz w:val="28"/>
        </w:rPr>
        <w:t>es principaux chiffres pour le PRH</w:t>
      </w:r>
      <w:bookmarkEnd w:id="20"/>
    </w:p>
    <w:p w14:paraId="159057A2" w14:textId="564386DF" w:rsidR="00F044B6" w:rsidRDefault="006222BA" w:rsidP="00F044B6">
      <w:pPr>
        <w:spacing w:after="120"/>
        <w:jc w:val="both"/>
        <w:rPr>
          <w:rFonts w:ascii="Arial" w:hAnsi="Arial" w:cs="Arial"/>
          <w:b/>
          <w:bCs/>
        </w:rPr>
      </w:pPr>
      <w:r>
        <w:rPr>
          <w:rFonts w:ascii="Arial" w:hAnsi="Arial"/>
        </w:rPr>
        <w:t xml:space="preserve">Sur la base de ce qui précède et des résultats de l’ABH, les </w:t>
      </w:r>
      <w:r w:rsidR="004B74F8">
        <w:rPr>
          <w:rFonts w:ascii="Arial" w:hAnsi="Arial"/>
        </w:rPr>
        <w:t>contribution</w:t>
      </w:r>
      <w:r w:rsidR="00F61302">
        <w:rPr>
          <w:rFonts w:ascii="Arial" w:hAnsi="Arial"/>
        </w:rPr>
        <w:t>s</w:t>
      </w:r>
      <w:r w:rsidR="004B74F8">
        <w:rPr>
          <w:rFonts w:ascii="Arial" w:hAnsi="Arial"/>
        </w:rPr>
        <w:t xml:space="preserve"> du secteur nutrition</w:t>
      </w:r>
      <w:r>
        <w:rPr>
          <w:rFonts w:ascii="Arial" w:hAnsi="Arial"/>
        </w:rPr>
        <w:t xml:space="preserve"> pour le PRH devraient se focaliser sur les sous-groupes de la population identifiée (désagrégés par sexe, âge et handicap, si ces données sont disponibles), selon les </w:t>
      </w:r>
      <w:r>
        <w:rPr>
          <w:rFonts w:ascii="Arial" w:hAnsi="Arial"/>
          <w:b/>
        </w:rPr>
        <w:t xml:space="preserve">priorités géographiques établies pour </w:t>
      </w:r>
      <w:r w:rsidR="004B74F8">
        <w:rPr>
          <w:rFonts w:ascii="Arial" w:hAnsi="Arial"/>
          <w:b/>
        </w:rPr>
        <w:t xml:space="preserve">la mise en œuvre </w:t>
      </w:r>
      <w:r>
        <w:rPr>
          <w:rFonts w:ascii="Arial" w:hAnsi="Arial"/>
          <w:b/>
        </w:rPr>
        <w:t xml:space="preserve">de l’ensemble complet d’interventions nutritionnelles. </w:t>
      </w:r>
      <w:r>
        <w:rPr>
          <w:rFonts w:ascii="Arial" w:hAnsi="Arial"/>
        </w:rPr>
        <w:t>Toutes les PiN identifiées dans l’ABH doivent être prises en compte lors du lancement du processus de planification, étant donné que, par définition, leurs besoins sont «</w:t>
      </w:r>
      <w:r w:rsidR="00E66974">
        <w:rPr>
          <w:rFonts w:ascii="Arial" w:hAnsi="Arial"/>
        </w:rPr>
        <w:t> </w:t>
      </w:r>
      <w:r>
        <w:rPr>
          <w:rFonts w:ascii="Arial" w:hAnsi="Arial"/>
        </w:rPr>
        <w:t>humanitaires</w:t>
      </w:r>
      <w:r w:rsidR="00E66974">
        <w:rPr>
          <w:rFonts w:ascii="Arial" w:hAnsi="Arial"/>
        </w:rPr>
        <w:t> </w:t>
      </w:r>
      <w:r>
        <w:rPr>
          <w:rFonts w:ascii="Arial" w:hAnsi="Arial"/>
        </w:rPr>
        <w:t>» et que leur sévérité a été déterminée dans l’analyse de l’ABH</w:t>
      </w:r>
      <w:r w:rsidR="00F044B6">
        <w:rPr>
          <w:rStyle w:val="Appelnotedebasdep"/>
          <w:rFonts w:ascii="Arial" w:hAnsi="Arial" w:cs="Arial"/>
        </w:rPr>
        <w:footnoteReference w:id="16"/>
      </w:r>
      <w:r>
        <w:rPr>
          <w:rFonts w:ascii="Arial" w:hAnsi="Arial"/>
        </w:rPr>
        <w:t>. Le champ d’application initial du PRH repose sur les groupes et sous-groupes de la population qui sont dans le besoin, conformément au principe d’humanité, d’impartialité, de neutralité et d’indépendance.</w:t>
      </w:r>
      <w:r>
        <w:rPr>
          <w:rFonts w:ascii="Arial" w:hAnsi="Arial"/>
          <w:b/>
        </w:rPr>
        <w:t xml:space="preserve"> </w:t>
      </w:r>
    </w:p>
    <w:p w14:paraId="5D7EA43D" w14:textId="7799EB0E" w:rsidR="006222BA" w:rsidRDefault="00F044B6" w:rsidP="00F044B6">
      <w:pPr>
        <w:spacing w:after="120"/>
        <w:jc w:val="both"/>
        <w:rPr>
          <w:rFonts w:ascii="Arial" w:hAnsi="Arial" w:cs="Arial"/>
          <w:b/>
          <w:bCs/>
        </w:rPr>
      </w:pPr>
      <w:r>
        <w:rPr>
          <w:rFonts w:ascii="Arial" w:hAnsi="Arial"/>
          <w:b/>
        </w:rPr>
        <w:t xml:space="preserve">Pour déterminer </w:t>
      </w:r>
      <w:r w:rsidR="000C4AD0">
        <w:rPr>
          <w:rFonts w:ascii="Arial" w:hAnsi="Arial"/>
          <w:b/>
        </w:rPr>
        <w:t>la portée</w:t>
      </w:r>
      <w:r>
        <w:rPr>
          <w:rFonts w:ascii="Arial" w:hAnsi="Arial"/>
          <w:b/>
        </w:rPr>
        <w:t xml:space="preserve"> du PRH selon l’analyse des besoins nutritionnels :</w:t>
      </w:r>
    </w:p>
    <w:p w14:paraId="5E6F8F73" w14:textId="66DB7451" w:rsidR="006222BA" w:rsidRDefault="004B74F8" w:rsidP="006222BA">
      <w:pPr>
        <w:pStyle w:val="Paragraphedeliste"/>
        <w:numPr>
          <w:ilvl w:val="0"/>
          <w:numId w:val="14"/>
        </w:numPr>
        <w:spacing w:after="120"/>
        <w:jc w:val="both"/>
        <w:rPr>
          <w:rFonts w:ascii="Arial" w:hAnsi="Arial" w:cs="Arial"/>
        </w:rPr>
      </w:pPr>
      <w:r>
        <w:rPr>
          <w:rFonts w:ascii="Arial" w:hAnsi="Arial"/>
        </w:rPr>
        <w:t>E</w:t>
      </w:r>
      <w:r w:rsidR="006222BA">
        <w:rPr>
          <w:rFonts w:ascii="Arial" w:hAnsi="Arial"/>
        </w:rPr>
        <w:t>xamine</w:t>
      </w:r>
      <w:r w:rsidR="00335E21">
        <w:rPr>
          <w:rFonts w:ascii="Arial" w:hAnsi="Arial"/>
        </w:rPr>
        <w:t>z</w:t>
      </w:r>
      <w:r w:rsidR="006222BA">
        <w:rPr>
          <w:rFonts w:ascii="Arial" w:hAnsi="Arial"/>
        </w:rPr>
        <w:t xml:space="preserve"> le type et la sévérité de chaque besoin nutritionnel identifié pour les groupes </w:t>
      </w:r>
      <w:r w:rsidR="00335E21">
        <w:rPr>
          <w:rFonts w:ascii="Arial" w:hAnsi="Arial"/>
        </w:rPr>
        <w:t>démographiques</w:t>
      </w:r>
      <w:r w:rsidR="006222BA">
        <w:rPr>
          <w:rFonts w:ascii="Arial" w:hAnsi="Arial"/>
        </w:rPr>
        <w:t xml:space="preserve"> et les zones géographiques </w:t>
      </w:r>
      <w:r w:rsidR="006222BA">
        <w:rPr>
          <w:rFonts w:ascii="Arial" w:hAnsi="Arial"/>
          <w:i/>
          <w:iCs/>
        </w:rPr>
        <w:t>affectés</w:t>
      </w:r>
      <w:r w:rsidR="006222BA">
        <w:rPr>
          <w:rFonts w:ascii="Arial" w:hAnsi="Arial"/>
        </w:rPr>
        <w:t xml:space="preserve"> au niveau sectoriel et décide</w:t>
      </w:r>
      <w:r w:rsidR="00AD0CF9">
        <w:rPr>
          <w:rFonts w:ascii="Arial" w:hAnsi="Arial"/>
        </w:rPr>
        <w:t>z</w:t>
      </w:r>
      <w:r w:rsidR="006222BA">
        <w:rPr>
          <w:rFonts w:ascii="Arial" w:hAnsi="Arial"/>
        </w:rPr>
        <w:t xml:space="preserve"> du champ d’application du PRH ;</w:t>
      </w:r>
    </w:p>
    <w:p w14:paraId="78DF2011" w14:textId="0C0A2790" w:rsidR="006222BA" w:rsidRDefault="000C4AD0" w:rsidP="006222BA">
      <w:pPr>
        <w:pStyle w:val="Paragraphedeliste"/>
        <w:numPr>
          <w:ilvl w:val="0"/>
          <w:numId w:val="14"/>
        </w:numPr>
        <w:spacing w:after="120"/>
        <w:jc w:val="both"/>
        <w:rPr>
          <w:rFonts w:ascii="Arial" w:hAnsi="Arial" w:cs="Arial"/>
        </w:rPr>
      </w:pPr>
      <w:r>
        <w:rPr>
          <w:rFonts w:ascii="Arial" w:hAnsi="Arial"/>
        </w:rPr>
        <w:t>T</w:t>
      </w:r>
      <w:r w:rsidR="00E04A92">
        <w:rPr>
          <w:rFonts w:ascii="Arial" w:hAnsi="Arial"/>
        </w:rPr>
        <w:t xml:space="preserve">enez </w:t>
      </w:r>
      <w:r w:rsidR="006222BA">
        <w:rPr>
          <w:rFonts w:ascii="Arial" w:hAnsi="Arial"/>
        </w:rPr>
        <w:t>compte des aspects suivants :</w:t>
      </w:r>
    </w:p>
    <w:p w14:paraId="22DE1E98" w14:textId="192E9E15" w:rsidR="006222BA" w:rsidRDefault="000C4AD0" w:rsidP="00BF21D7">
      <w:pPr>
        <w:pStyle w:val="Paragraphedeliste"/>
        <w:numPr>
          <w:ilvl w:val="1"/>
          <w:numId w:val="14"/>
        </w:numPr>
        <w:spacing w:after="120"/>
        <w:ind w:left="1008" w:hanging="144"/>
        <w:jc w:val="both"/>
        <w:rPr>
          <w:rFonts w:ascii="Arial" w:hAnsi="Arial" w:cs="Arial"/>
        </w:rPr>
      </w:pPr>
      <w:r>
        <w:rPr>
          <w:rFonts w:ascii="Arial" w:hAnsi="Arial"/>
        </w:rPr>
        <w:t>L</w:t>
      </w:r>
      <w:r w:rsidR="006222BA">
        <w:rPr>
          <w:rFonts w:ascii="Arial" w:hAnsi="Arial"/>
        </w:rPr>
        <w:t>’ampleur (</w:t>
      </w:r>
      <w:r w:rsidR="00E04A92">
        <w:rPr>
          <w:rFonts w:ascii="Arial" w:hAnsi="Arial"/>
        </w:rPr>
        <w:t xml:space="preserve">le </w:t>
      </w:r>
      <w:r w:rsidR="006222BA">
        <w:rPr>
          <w:rFonts w:ascii="Arial" w:hAnsi="Arial"/>
        </w:rPr>
        <w:t xml:space="preserve">nombre de PiN), sur la base du nombre de personnes confrontées à différentes conditions humanitaires et </w:t>
      </w:r>
      <w:r w:rsidR="00E04A92">
        <w:rPr>
          <w:rFonts w:ascii="Arial" w:hAnsi="Arial"/>
        </w:rPr>
        <w:t xml:space="preserve">à </w:t>
      </w:r>
      <w:r w:rsidR="006222BA">
        <w:rPr>
          <w:rFonts w:ascii="Arial" w:hAnsi="Arial"/>
        </w:rPr>
        <w:t xml:space="preserve">différents besoins nutritionnels, </w:t>
      </w:r>
      <w:r w:rsidR="00E04A92">
        <w:rPr>
          <w:rFonts w:ascii="Arial" w:hAnsi="Arial"/>
        </w:rPr>
        <w:t xml:space="preserve">de </w:t>
      </w:r>
      <w:r w:rsidR="006222BA">
        <w:rPr>
          <w:rFonts w:ascii="Arial" w:hAnsi="Arial"/>
        </w:rPr>
        <w:t xml:space="preserve">leur sévérité et </w:t>
      </w:r>
      <w:r w:rsidR="00E04A92">
        <w:rPr>
          <w:rFonts w:ascii="Arial" w:hAnsi="Arial"/>
        </w:rPr>
        <w:t xml:space="preserve">de </w:t>
      </w:r>
      <w:r w:rsidR="006222BA">
        <w:rPr>
          <w:rFonts w:ascii="Arial" w:hAnsi="Arial"/>
        </w:rPr>
        <w:t xml:space="preserve">leur </w:t>
      </w:r>
      <w:r w:rsidR="004B74F8">
        <w:rPr>
          <w:rFonts w:ascii="Arial" w:hAnsi="Arial"/>
        </w:rPr>
        <w:t>localisation </w:t>
      </w:r>
      <w:r w:rsidR="006222BA">
        <w:rPr>
          <w:rFonts w:ascii="Arial" w:hAnsi="Arial"/>
        </w:rPr>
        <w:t xml:space="preserve">; </w:t>
      </w:r>
    </w:p>
    <w:p w14:paraId="3E486EC8" w14:textId="7246E510" w:rsidR="00BF21D7" w:rsidRDefault="000C4AD0" w:rsidP="00BF21D7">
      <w:pPr>
        <w:pStyle w:val="Paragraphedeliste"/>
        <w:numPr>
          <w:ilvl w:val="1"/>
          <w:numId w:val="14"/>
        </w:numPr>
        <w:spacing w:after="120"/>
        <w:ind w:left="1008" w:hanging="144"/>
        <w:jc w:val="both"/>
        <w:rPr>
          <w:rFonts w:ascii="Arial" w:hAnsi="Arial" w:cs="Arial"/>
        </w:rPr>
      </w:pPr>
      <w:r>
        <w:rPr>
          <w:rFonts w:ascii="Arial" w:hAnsi="Arial"/>
        </w:rPr>
        <w:t>L</w:t>
      </w:r>
      <w:r w:rsidR="00BF21D7">
        <w:rPr>
          <w:rFonts w:ascii="Arial" w:hAnsi="Arial"/>
        </w:rPr>
        <w:t xml:space="preserve">es données d’interventions nutritionnelles passées </w:t>
      </w:r>
      <w:r>
        <w:rPr>
          <w:rFonts w:ascii="Arial" w:hAnsi="Arial"/>
        </w:rPr>
        <w:t>pour soutenir</w:t>
      </w:r>
      <w:r w:rsidR="00BF21D7">
        <w:rPr>
          <w:rFonts w:ascii="Arial" w:hAnsi="Arial"/>
        </w:rPr>
        <w:t xml:space="preserve"> </w:t>
      </w:r>
      <w:r>
        <w:rPr>
          <w:rFonts w:ascii="Arial" w:hAnsi="Arial"/>
        </w:rPr>
        <w:t>l</w:t>
      </w:r>
      <w:r w:rsidR="00BF21D7">
        <w:rPr>
          <w:rFonts w:ascii="Arial" w:hAnsi="Arial"/>
        </w:rPr>
        <w:t>’identification des cibles – voir l’</w:t>
      </w:r>
      <w:r w:rsidR="00BF21D7">
        <w:rPr>
          <w:rFonts w:ascii="Arial" w:hAnsi="Arial"/>
          <w:i/>
          <w:iCs/>
        </w:rPr>
        <w:t>Encadré A</w:t>
      </w:r>
      <w:r w:rsidR="00BF21D7">
        <w:rPr>
          <w:rFonts w:ascii="Arial" w:hAnsi="Arial"/>
        </w:rPr>
        <w:t> ;</w:t>
      </w:r>
    </w:p>
    <w:p w14:paraId="7BCEC605" w14:textId="24CE78E6" w:rsidR="00BF21D7" w:rsidRDefault="000C4AD0" w:rsidP="00BF21D7">
      <w:pPr>
        <w:pStyle w:val="Paragraphedeliste"/>
        <w:numPr>
          <w:ilvl w:val="1"/>
          <w:numId w:val="14"/>
        </w:numPr>
        <w:spacing w:after="120"/>
        <w:ind w:left="1008" w:hanging="144"/>
        <w:jc w:val="both"/>
        <w:rPr>
          <w:rFonts w:ascii="Arial" w:hAnsi="Arial" w:cs="Arial"/>
        </w:rPr>
      </w:pPr>
      <w:r>
        <w:rPr>
          <w:rFonts w:ascii="Arial" w:hAnsi="Arial" w:cs="Arial"/>
        </w:rPr>
        <w:t>L</w:t>
      </w:r>
      <w:r w:rsidR="00E04A92" w:rsidRPr="00E04A92">
        <w:rPr>
          <w:rFonts w:ascii="Arial" w:hAnsi="Arial" w:cs="Arial"/>
        </w:rPr>
        <w:t>es</w:t>
      </w:r>
      <w:r w:rsidR="00E04A92">
        <w:t xml:space="preserve"> </w:t>
      </w:r>
      <w:hyperlink r:id="rId39" w:history="1">
        <w:r w:rsidR="00E04A92">
          <w:rPr>
            <w:rStyle w:val="Lienhypertexte"/>
            <w:rFonts w:ascii="Arial" w:hAnsi="Arial"/>
          </w:rPr>
          <w:t>c</w:t>
        </w:r>
        <w:r w:rsidR="002F3DE0">
          <w:rPr>
            <w:rStyle w:val="Lienhypertexte"/>
            <w:rFonts w:ascii="Arial" w:hAnsi="Arial"/>
          </w:rPr>
          <w:t>onseils</w:t>
        </w:r>
      </w:hyperlink>
      <w:r w:rsidR="002F3DE0">
        <w:rPr>
          <w:rFonts w:ascii="Arial" w:hAnsi="Arial"/>
        </w:rPr>
        <w:t xml:space="preserve"> permettant aux Clusters Nutrition et à leurs partenaires de faciliter la planification d’une réponse collective et l’élaboration d’interventions nutritionnelles en situation d’urgence</w:t>
      </w:r>
      <w:r>
        <w:rPr>
          <w:rFonts w:ascii="Arial" w:hAnsi="Arial"/>
        </w:rPr>
        <w:t>,</w:t>
      </w:r>
      <w:r w:rsidR="002F3DE0">
        <w:rPr>
          <w:rFonts w:ascii="Arial" w:hAnsi="Arial"/>
        </w:rPr>
        <w:t xml:space="preserve"> une fois que les objectifs sectoriels spécifiques et le type d’interventions d’urgence ont été convenus</w:t>
      </w:r>
      <w:r w:rsidR="00E04A92">
        <w:rPr>
          <w:rFonts w:ascii="Arial" w:hAnsi="Arial"/>
        </w:rPr>
        <w:t> ;</w:t>
      </w:r>
    </w:p>
    <w:p w14:paraId="468FA614" w14:textId="1A3230E1" w:rsidR="00BF21D7" w:rsidRDefault="000C4AD0" w:rsidP="00BF21D7">
      <w:pPr>
        <w:pStyle w:val="Paragraphedeliste"/>
        <w:numPr>
          <w:ilvl w:val="1"/>
          <w:numId w:val="14"/>
        </w:numPr>
        <w:spacing w:after="120"/>
        <w:ind w:left="1008" w:hanging="144"/>
        <w:jc w:val="both"/>
        <w:rPr>
          <w:rFonts w:ascii="Arial" w:hAnsi="Arial" w:cs="Arial"/>
        </w:rPr>
      </w:pPr>
      <w:r w:rsidRPr="000C4AD0">
        <w:t xml:space="preserve"> </w:t>
      </w:r>
      <w:r w:rsidRPr="000C4AD0">
        <w:rPr>
          <w:rFonts w:ascii="Arial" w:hAnsi="Arial"/>
        </w:rPr>
        <w:t>La mesure dans laquelle les conditions et les besoins humanitaires se chevauchent et peuvent s'aggraver mutuellement</w:t>
      </w:r>
      <w:r>
        <w:rPr>
          <w:rFonts w:ascii="Arial" w:hAnsi="Arial"/>
        </w:rPr>
        <w:t xml:space="preserve"> </w:t>
      </w:r>
      <w:r w:rsidR="006222BA">
        <w:rPr>
          <w:rFonts w:ascii="Arial" w:hAnsi="Arial"/>
        </w:rPr>
        <w:t xml:space="preserve">– en particulier si certains besoins ne seront pas satisfaits, à moins que d’autres ne le soient </w:t>
      </w:r>
      <w:r w:rsidR="00C104FD">
        <w:rPr>
          <w:rFonts w:ascii="Arial" w:hAnsi="Arial"/>
        </w:rPr>
        <w:t xml:space="preserve">pas </w:t>
      </w:r>
      <w:r w:rsidR="006222BA">
        <w:rPr>
          <w:rFonts w:ascii="Arial" w:hAnsi="Arial"/>
        </w:rPr>
        <w:t xml:space="preserve">dans </w:t>
      </w:r>
      <w:r>
        <w:rPr>
          <w:rFonts w:ascii="Arial" w:hAnsi="Arial"/>
        </w:rPr>
        <w:t>le bon ordre</w:t>
      </w:r>
      <w:r w:rsidR="006222BA">
        <w:rPr>
          <w:rFonts w:ascii="Arial" w:hAnsi="Arial"/>
        </w:rPr>
        <w:t> ;</w:t>
      </w:r>
    </w:p>
    <w:p w14:paraId="0FE31546" w14:textId="00C1B112" w:rsidR="00BF21D7" w:rsidRDefault="000C4AD0" w:rsidP="00BF21D7">
      <w:pPr>
        <w:pStyle w:val="Paragraphedeliste"/>
        <w:numPr>
          <w:ilvl w:val="1"/>
          <w:numId w:val="14"/>
        </w:numPr>
        <w:spacing w:after="120"/>
        <w:ind w:left="1008" w:hanging="144"/>
        <w:jc w:val="both"/>
        <w:rPr>
          <w:rFonts w:ascii="Arial" w:hAnsi="Arial" w:cs="Arial"/>
        </w:rPr>
      </w:pPr>
      <w:r>
        <w:rPr>
          <w:rFonts w:ascii="Arial" w:hAnsi="Arial"/>
        </w:rPr>
        <w:t>L</w:t>
      </w:r>
      <w:r w:rsidR="00CA7768">
        <w:rPr>
          <w:rFonts w:ascii="Arial" w:hAnsi="Arial"/>
        </w:rPr>
        <w:t>’é</w:t>
      </w:r>
      <w:r w:rsidR="006222BA">
        <w:rPr>
          <w:rFonts w:ascii="Arial" w:hAnsi="Arial"/>
        </w:rPr>
        <w:t xml:space="preserve">volution la plus probable de la situation, </w:t>
      </w:r>
      <w:r w:rsidR="003E0EF3">
        <w:rPr>
          <w:rFonts w:ascii="Arial" w:hAnsi="Arial"/>
        </w:rPr>
        <w:t xml:space="preserve">des </w:t>
      </w:r>
      <w:r w:rsidR="006222BA">
        <w:rPr>
          <w:rFonts w:ascii="Arial" w:hAnsi="Arial"/>
        </w:rPr>
        <w:t xml:space="preserve">risques et </w:t>
      </w:r>
      <w:r>
        <w:rPr>
          <w:rFonts w:ascii="Arial" w:hAnsi="Arial"/>
        </w:rPr>
        <w:t>des</w:t>
      </w:r>
      <w:r w:rsidR="006222BA">
        <w:rPr>
          <w:rFonts w:ascii="Arial" w:hAnsi="Arial"/>
        </w:rPr>
        <w:t xml:space="preserve"> PiN projeté </w:t>
      </w:r>
      <w:r w:rsidR="003E0EF3">
        <w:rPr>
          <w:rFonts w:ascii="Arial" w:hAnsi="Arial"/>
        </w:rPr>
        <w:t>et s</w:t>
      </w:r>
      <w:r w:rsidR="006222BA">
        <w:rPr>
          <w:rFonts w:ascii="Arial" w:hAnsi="Arial"/>
        </w:rPr>
        <w:t xml:space="preserve">es effets sur les groupes </w:t>
      </w:r>
      <w:r w:rsidR="003E0EF3">
        <w:rPr>
          <w:rFonts w:ascii="Arial" w:hAnsi="Arial"/>
        </w:rPr>
        <w:t>démographiques</w:t>
      </w:r>
      <w:r w:rsidR="006222BA">
        <w:rPr>
          <w:rFonts w:ascii="Arial" w:hAnsi="Arial"/>
        </w:rPr>
        <w:t> ;</w:t>
      </w:r>
    </w:p>
    <w:p w14:paraId="15B3E743" w14:textId="070C8477" w:rsidR="006222BA" w:rsidRPr="00BF21D7" w:rsidRDefault="00DA62DB" w:rsidP="00BF21D7">
      <w:pPr>
        <w:pStyle w:val="Paragraphedeliste"/>
        <w:numPr>
          <w:ilvl w:val="1"/>
          <w:numId w:val="14"/>
        </w:numPr>
        <w:spacing w:after="120"/>
        <w:ind w:left="1008" w:hanging="144"/>
        <w:jc w:val="both"/>
        <w:rPr>
          <w:rFonts w:ascii="Arial" w:hAnsi="Arial" w:cs="Arial"/>
        </w:rPr>
      </w:pPr>
      <w:r>
        <w:rPr>
          <w:i/>
          <w:noProof/>
        </w:rPr>
        <w:lastRenderedPageBreak/>
        <mc:AlternateContent>
          <mc:Choice Requires="wps">
            <w:drawing>
              <wp:anchor distT="0" distB="0" distL="114300" distR="114300" simplePos="0" relativeHeight="251885568" behindDoc="1" locked="0" layoutInCell="1" allowOverlap="1" wp14:anchorId="4C36E511" wp14:editId="37082FB0">
                <wp:simplePos x="0" y="0"/>
                <wp:positionH relativeFrom="margin">
                  <wp:posOffset>-62865</wp:posOffset>
                </wp:positionH>
                <wp:positionV relativeFrom="paragraph">
                  <wp:posOffset>1068705</wp:posOffset>
                </wp:positionV>
                <wp:extent cx="6142355" cy="2576830"/>
                <wp:effectExtent l="0" t="0" r="10795" b="13970"/>
                <wp:wrapTight wrapText="bothSides">
                  <wp:wrapPolygon edited="0">
                    <wp:start x="0" y="0"/>
                    <wp:lineTo x="0" y="21557"/>
                    <wp:lineTo x="21571" y="21557"/>
                    <wp:lineTo x="2157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42355" cy="2576830"/>
                        </a:xfrm>
                        <a:prstGeom prst="rect">
                          <a:avLst/>
                        </a:prstGeom>
                        <a:solidFill>
                          <a:schemeClr val="accent6">
                            <a:lumMod val="40000"/>
                            <a:lumOff val="60000"/>
                          </a:schemeClr>
                        </a:solidFill>
                        <a:ln w="6350">
                          <a:solidFill>
                            <a:schemeClr val="tx1"/>
                          </a:solidFill>
                        </a:ln>
                      </wps:spPr>
                      <wps:txbx>
                        <w:txbxContent>
                          <w:p w14:paraId="4AC24CD8" w14:textId="77777777" w:rsidR="00F61302" w:rsidRPr="009E3E32" w:rsidRDefault="00F61302" w:rsidP="0037402C">
                            <w:pPr>
                              <w:widowControl w:val="0"/>
                              <w:pBdr>
                                <w:top w:val="nil"/>
                                <w:left w:val="nil"/>
                                <w:bottom w:val="nil"/>
                                <w:right w:val="nil"/>
                                <w:between w:val="nil"/>
                              </w:pBdr>
                              <w:shd w:val="clear" w:color="auto" w:fill="A8D08D" w:themeFill="accent6" w:themeFillTint="99"/>
                              <w:spacing w:after="40"/>
                              <w:jc w:val="both"/>
                              <w:rPr>
                                <w:rFonts w:ascii="Arial" w:hAnsi="Arial" w:cs="Arial"/>
                                <w:b/>
                                <w:bCs/>
                                <w:sz w:val="22"/>
                                <w:szCs w:val="22"/>
                              </w:rPr>
                            </w:pPr>
                            <w:r>
                              <w:rPr>
                                <w:rFonts w:ascii="Arial" w:hAnsi="Arial"/>
                                <w:b/>
                                <w:sz w:val="22"/>
                              </w:rPr>
                              <w:t xml:space="preserve">Encadré A. Aspects à prendre en compte pour le ciblage </w:t>
                            </w:r>
                          </w:p>
                          <w:p w14:paraId="1B0AE59E" w14:textId="77777777" w:rsidR="00F61302" w:rsidRPr="00C52A2A" w:rsidRDefault="00F61302" w:rsidP="00AC77B2">
                            <w:pPr>
                              <w:widowControl w:val="0"/>
                              <w:pBdr>
                                <w:top w:val="nil"/>
                                <w:left w:val="nil"/>
                                <w:bottom w:val="nil"/>
                                <w:right w:val="nil"/>
                                <w:between w:val="nil"/>
                              </w:pBdr>
                              <w:shd w:val="clear" w:color="auto" w:fill="A8D08D" w:themeFill="accent6" w:themeFillTint="99"/>
                              <w:spacing w:after="40"/>
                              <w:jc w:val="both"/>
                              <w:rPr>
                                <w:rFonts w:ascii="Arial" w:hAnsi="Arial" w:cs="Arial"/>
                                <w:sz w:val="20"/>
                                <w:szCs w:val="20"/>
                              </w:rPr>
                            </w:pPr>
                            <w:r>
                              <w:rPr>
                                <w:rFonts w:ascii="Arial" w:hAnsi="Arial"/>
                                <w:sz w:val="20"/>
                              </w:rPr>
                              <w:t>Pour améliorer l’équité, la couverture et la qualité des programmes humanitaires sur la base des principes humanitaires, de l’engagement des ODD à ne laisser personne de côté et de la gestion axée sur les résultats, les aspects suivants devraient être pris en compte lors de la préparation de ces chiffres – voir l’</w:t>
                            </w:r>
                            <w:hyperlink r:id="rId40" w:history="1">
                              <w:r>
                                <w:rPr>
                                  <w:rStyle w:val="Lienhypertexte"/>
                                  <w:rFonts w:ascii="Arial" w:hAnsi="Arial"/>
                                  <w:i/>
                                  <w:sz w:val="20"/>
                                </w:rPr>
                                <w:t>Annexe 2</w:t>
                              </w:r>
                            </w:hyperlink>
                            <w:r w:rsidRPr="00BE4CB0">
                              <w:rPr>
                                <w:rFonts w:ascii="Arial" w:hAnsi="Arial"/>
                                <w:sz w:val="20"/>
                              </w:rPr>
                              <w:t xml:space="preserve"> </w:t>
                            </w:r>
                            <w:r>
                              <w:rPr>
                                <w:rFonts w:ascii="Arial" w:hAnsi="Arial"/>
                                <w:sz w:val="20"/>
                              </w:rPr>
                              <w:t>pour les principales définitions.</w:t>
                            </w:r>
                          </w:p>
                          <w:p w14:paraId="0C17AE80" w14:textId="044CC758" w:rsidR="00F61302" w:rsidRPr="00C52A2A" w:rsidRDefault="00F61302" w:rsidP="00EB0777">
                            <w:pPr>
                              <w:widowControl w:val="0"/>
                              <w:pBdr>
                                <w:top w:val="nil"/>
                                <w:left w:val="nil"/>
                                <w:bottom w:val="nil"/>
                                <w:right w:val="nil"/>
                                <w:between w:val="nil"/>
                              </w:pBdr>
                              <w:shd w:val="clear" w:color="auto" w:fill="A8D08D" w:themeFill="accent6" w:themeFillTint="99"/>
                              <w:spacing w:after="40"/>
                              <w:jc w:val="both"/>
                              <w:rPr>
                                <w:rFonts w:ascii="Arial" w:hAnsi="Arial" w:cs="Arial"/>
                                <w:sz w:val="20"/>
                                <w:szCs w:val="20"/>
                              </w:rPr>
                            </w:pPr>
                            <w:r>
                              <w:rPr>
                                <w:rFonts w:ascii="Arial" w:hAnsi="Arial"/>
                                <w:sz w:val="20"/>
                              </w:rPr>
                              <w:t>1) Toutes les PiN doivent être prises en compte au début du processus de PRH.</w:t>
                            </w:r>
                          </w:p>
                          <w:p w14:paraId="038E1EA6" w14:textId="54143574" w:rsidR="00F61302" w:rsidRPr="00C52A2A" w:rsidRDefault="00F61302" w:rsidP="0037402C">
                            <w:pPr>
                              <w:widowControl w:val="0"/>
                              <w:pBdr>
                                <w:top w:val="nil"/>
                                <w:left w:val="nil"/>
                                <w:bottom w:val="nil"/>
                                <w:right w:val="nil"/>
                                <w:between w:val="nil"/>
                              </w:pBdr>
                              <w:shd w:val="clear" w:color="auto" w:fill="A8D08D" w:themeFill="accent6" w:themeFillTint="99"/>
                              <w:spacing w:after="40"/>
                              <w:jc w:val="both"/>
                              <w:rPr>
                                <w:rFonts w:ascii="Arial" w:hAnsi="Arial" w:cs="Arial"/>
                                <w:sz w:val="20"/>
                                <w:szCs w:val="20"/>
                              </w:rPr>
                            </w:pPr>
                            <w:r>
                              <w:rPr>
                                <w:rFonts w:ascii="Arial" w:hAnsi="Arial"/>
                                <w:sz w:val="20"/>
                              </w:rPr>
                              <w:t>2) Lors de l’analyse de la réponse – au cours de l’examen de la faisabilité –, il s’agit avant tout d’établir les modalités de la réponse qui permettront de surmonter certaines des contraintes identifiées (accès, capacités des partenaires, etc.). Ces contraintes ne doivent pas automatiquement entraîner une réduction des cibles. Les contraintes en matière de capacités des partenaires (en dehors du facteur « temps » où il n’est pas possible de renforcer les capacités au cours de la durée de vie du plan) et d’accès ne sont pas des raisons acceptables pour exclure des personnes qui ont été identifiées comme étant dans le besoin. Il faut s’efforcer autant que possible d’établir un plan permettant de leur offrir une assistance.   </w:t>
                            </w:r>
                          </w:p>
                          <w:p w14:paraId="7E3A77FB" w14:textId="77777777" w:rsidR="00F61302" w:rsidRPr="00C52A2A" w:rsidRDefault="00F61302" w:rsidP="00DF5D92">
                            <w:pPr>
                              <w:widowControl w:val="0"/>
                              <w:pBdr>
                                <w:top w:val="nil"/>
                                <w:left w:val="nil"/>
                                <w:bottom w:val="nil"/>
                                <w:right w:val="nil"/>
                                <w:between w:val="nil"/>
                              </w:pBdr>
                              <w:shd w:val="clear" w:color="auto" w:fill="A8D08D" w:themeFill="accent6" w:themeFillTint="99"/>
                              <w:spacing w:after="40"/>
                              <w:jc w:val="both"/>
                              <w:rPr>
                                <w:rFonts w:ascii="Arial" w:hAnsi="Arial" w:cs="Arial"/>
                                <w:sz w:val="20"/>
                                <w:szCs w:val="20"/>
                              </w:rPr>
                            </w:pPr>
                            <w:r>
                              <w:rPr>
                                <w:rFonts w:ascii="Arial" w:hAnsi="Arial"/>
                                <w:sz w:val="20"/>
                              </w:rPr>
                              <w:t>3) Les problèmes d’accès et de financement sont considérés comme des contraintes opérationnelles à traiter dans le cadre des modalités de la mise en œuvre, plutôt que comme des obstacles à l’étape de planification.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6E511" id="_x0000_s1028" type="#_x0000_t202" style="position:absolute;left:0;text-align:left;margin-left:-4.95pt;margin-top:84.15pt;width:483.65pt;height:202.9pt;z-index:-25143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" fillcolor="#c5e0b3 [1305]" strokecolor="black [3213]" strokeweight=".5pt">
                <v:textbox>
                  <w:txbxContent>
                    <w:p w14:paraId="4AC24CD8" w14:textId="77777777" w:rsidR="00F61302" w:rsidRPr="009E3E32" w:rsidRDefault="00F61302" w:rsidP="0037402C">
                      <w:pPr>
                        <w:widowControl w:val="0"/>
                        <w:pBdr>
                          <w:top w:val="nil"/>
                          <w:left w:val="nil"/>
                          <w:bottom w:val="nil"/>
                          <w:right w:val="nil"/>
                          <w:between w:val="nil"/>
                        </w:pBdr>
                        <w:shd w:val="clear" w:color="auto" w:fill="A8D08D" w:themeFill="accent6" w:themeFillTint="99"/>
                        <w:spacing w:after="40"/>
                        <w:jc w:val="both"/>
                        <w:rPr>
                          <w:rFonts w:ascii="Arial" w:hAnsi="Arial" w:cs="Arial"/>
                          <w:b/>
                          <w:bCs/>
                          <w:sz w:val="22"/>
                          <w:szCs w:val="22"/>
                        </w:rPr>
                      </w:pPr>
                      <w:r>
                        <w:rPr>
                          <w:rFonts w:ascii="Arial" w:hAnsi="Arial"/>
                          <w:b/>
                          <w:sz w:val="22"/>
                        </w:rPr>
                        <w:t xml:space="preserve">Encadré A. Aspects à prendre en compte pour le ciblage </w:t>
                      </w:r>
                    </w:p>
                    <w:p w14:paraId="1B0AE59E" w14:textId="77777777" w:rsidR="00F61302" w:rsidRPr="00C52A2A" w:rsidRDefault="00F61302" w:rsidP="00AC77B2">
                      <w:pPr>
                        <w:widowControl w:val="0"/>
                        <w:pBdr>
                          <w:top w:val="nil"/>
                          <w:left w:val="nil"/>
                          <w:bottom w:val="nil"/>
                          <w:right w:val="nil"/>
                          <w:between w:val="nil"/>
                        </w:pBdr>
                        <w:shd w:val="clear" w:color="auto" w:fill="A8D08D" w:themeFill="accent6" w:themeFillTint="99"/>
                        <w:spacing w:after="40"/>
                        <w:jc w:val="both"/>
                        <w:rPr>
                          <w:rFonts w:ascii="Arial" w:hAnsi="Arial" w:cs="Arial"/>
                          <w:sz w:val="20"/>
                          <w:szCs w:val="20"/>
                        </w:rPr>
                      </w:pPr>
                      <w:r>
                        <w:rPr>
                          <w:rFonts w:ascii="Arial" w:hAnsi="Arial"/>
                          <w:sz w:val="20"/>
                        </w:rPr>
                        <w:t>Pour améliorer l’équité, la couverture et la qualité des programmes humanitaires sur la base des principes humanitaires, de l’engagement des ODD à ne laisser personne de côté et de la gestion axée sur les résultats, les aspects suivants devraient être pris en compte lors de la préparation de ces chiffres – voir l’</w:t>
                      </w:r>
                      <w:hyperlink r:id="rId41" w:history="1">
                        <w:r>
                          <w:rPr>
                            <w:rStyle w:val="Lienhypertexte"/>
                            <w:rFonts w:ascii="Arial" w:hAnsi="Arial"/>
                            <w:i/>
                            <w:sz w:val="20"/>
                          </w:rPr>
                          <w:t>Annexe 2</w:t>
                        </w:r>
                      </w:hyperlink>
                      <w:r w:rsidRPr="00BE4CB0">
                        <w:rPr>
                          <w:rFonts w:ascii="Arial" w:hAnsi="Arial"/>
                          <w:sz w:val="20"/>
                        </w:rPr>
                        <w:t xml:space="preserve"> </w:t>
                      </w:r>
                      <w:r>
                        <w:rPr>
                          <w:rFonts w:ascii="Arial" w:hAnsi="Arial"/>
                          <w:sz w:val="20"/>
                        </w:rPr>
                        <w:t>pour les principales définitions.</w:t>
                      </w:r>
                    </w:p>
                    <w:p w14:paraId="0C17AE80" w14:textId="044CC758" w:rsidR="00F61302" w:rsidRPr="00C52A2A" w:rsidRDefault="00F61302" w:rsidP="00EB0777">
                      <w:pPr>
                        <w:widowControl w:val="0"/>
                        <w:pBdr>
                          <w:top w:val="nil"/>
                          <w:left w:val="nil"/>
                          <w:bottom w:val="nil"/>
                          <w:right w:val="nil"/>
                          <w:between w:val="nil"/>
                        </w:pBdr>
                        <w:shd w:val="clear" w:color="auto" w:fill="A8D08D" w:themeFill="accent6" w:themeFillTint="99"/>
                        <w:spacing w:after="40"/>
                        <w:jc w:val="both"/>
                        <w:rPr>
                          <w:rFonts w:ascii="Arial" w:hAnsi="Arial" w:cs="Arial"/>
                          <w:sz w:val="20"/>
                          <w:szCs w:val="20"/>
                        </w:rPr>
                      </w:pPr>
                      <w:r>
                        <w:rPr>
                          <w:rFonts w:ascii="Arial" w:hAnsi="Arial"/>
                          <w:sz w:val="20"/>
                        </w:rPr>
                        <w:t>1) Toutes les PiN doivent être prises en compte au début du processus de PRH.</w:t>
                      </w:r>
                    </w:p>
                    <w:p w14:paraId="038E1EA6" w14:textId="54143574" w:rsidR="00F61302" w:rsidRPr="00C52A2A" w:rsidRDefault="00F61302" w:rsidP="0037402C">
                      <w:pPr>
                        <w:widowControl w:val="0"/>
                        <w:pBdr>
                          <w:top w:val="nil"/>
                          <w:left w:val="nil"/>
                          <w:bottom w:val="nil"/>
                          <w:right w:val="nil"/>
                          <w:between w:val="nil"/>
                        </w:pBdr>
                        <w:shd w:val="clear" w:color="auto" w:fill="A8D08D" w:themeFill="accent6" w:themeFillTint="99"/>
                        <w:spacing w:after="40"/>
                        <w:jc w:val="both"/>
                        <w:rPr>
                          <w:rFonts w:ascii="Arial" w:hAnsi="Arial" w:cs="Arial"/>
                          <w:sz w:val="20"/>
                          <w:szCs w:val="20"/>
                        </w:rPr>
                      </w:pPr>
                      <w:r>
                        <w:rPr>
                          <w:rFonts w:ascii="Arial" w:hAnsi="Arial"/>
                          <w:sz w:val="20"/>
                        </w:rPr>
                        <w:t>2) Lors de l’analyse de la réponse – au cours de l’examen de la faisabilité –, il s’agit avant tout d’établir les modalités de la réponse qui permettront de surmonter certaines des contraintes identifiées (accès, capacités des partenaires, etc.). Ces contraintes ne doivent pas automatiquement entraîner une réduction des cibles. Les contraintes en matière de capacités des partenaires (en dehors du facteur « temps » où il n’est pas possible de renforcer les capacités au cours de la durée de vie du plan) et d’accès ne sont pas des raisons acceptables pour exclure des personnes qui ont été identifiées comme étant dans le besoin. Il faut s’efforcer autant que possible d’établir un plan permettant de leur offrir une assistance.   </w:t>
                      </w:r>
                    </w:p>
                    <w:p w14:paraId="7E3A77FB" w14:textId="77777777" w:rsidR="00F61302" w:rsidRPr="00C52A2A" w:rsidRDefault="00F61302" w:rsidP="00DF5D92">
                      <w:pPr>
                        <w:widowControl w:val="0"/>
                        <w:pBdr>
                          <w:top w:val="nil"/>
                          <w:left w:val="nil"/>
                          <w:bottom w:val="nil"/>
                          <w:right w:val="nil"/>
                          <w:between w:val="nil"/>
                        </w:pBdr>
                        <w:shd w:val="clear" w:color="auto" w:fill="A8D08D" w:themeFill="accent6" w:themeFillTint="99"/>
                        <w:spacing w:after="40"/>
                        <w:jc w:val="both"/>
                        <w:rPr>
                          <w:rFonts w:ascii="Arial" w:hAnsi="Arial" w:cs="Arial"/>
                          <w:sz w:val="20"/>
                          <w:szCs w:val="20"/>
                        </w:rPr>
                      </w:pPr>
                      <w:r>
                        <w:rPr>
                          <w:rFonts w:ascii="Arial" w:hAnsi="Arial"/>
                          <w:sz w:val="20"/>
                        </w:rPr>
                        <w:t>3) Les problèmes d’accès et de financement sont considérés comme des contraintes opérationnelles à traiter dans le cadre des modalités de la mise en œuvre, plutôt que comme des obstacles à l’étape de planification.  </w:t>
                      </w:r>
                    </w:p>
                  </w:txbxContent>
                </v:textbox>
                <w10:wrap type="tight" anchorx="margin"/>
              </v:shape>
            </w:pict>
          </mc:Fallback>
        </mc:AlternateContent>
      </w:r>
      <w:r w:rsidR="000C4AD0">
        <w:rPr>
          <w:rFonts w:ascii="Arial" w:hAnsi="Arial"/>
        </w:rPr>
        <w:t>L</w:t>
      </w:r>
      <w:r w:rsidR="003E0EF3">
        <w:rPr>
          <w:rFonts w:ascii="Arial" w:hAnsi="Arial"/>
        </w:rPr>
        <w:t>es c</w:t>
      </w:r>
      <w:r>
        <w:rPr>
          <w:rFonts w:ascii="Arial" w:hAnsi="Arial"/>
        </w:rPr>
        <w:t xml:space="preserve">auses immédiates, sous-jacentes et </w:t>
      </w:r>
      <w:r w:rsidR="00C104FD">
        <w:rPr>
          <w:rFonts w:ascii="Arial" w:hAnsi="Arial"/>
        </w:rPr>
        <w:t>structurelles</w:t>
      </w:r>
      <w:r w:rsidR="000C4AD0">
        <w:rPr>
          <w:rFonts w:ascii="Arial" w:hAnsi="Arial"/>
        </w:rPr>
        <w:t xml:space="preserve"> </w:t>
      </w:r>
      <w:r>
        <w:rPr>
          <w:rFonts w:ascii="Arial" w:hAnsi="Arial"/>
        </w:rPr>
        <w:t>des diverses conséquences humanitaires, y compris les risques/impacts globaux en matière de protection. Les causes qui ne sont pas directement liées à la crise peuvent indiquer que les problèmes sont structurels ou qu’ils sortent du champ d’application d’une réponse humanitaire.</w:t>
      </w:r>
    </w:p>
    <w:p w14:paraId="31BBBE19" w14:textId="77777777" w:rsidR="003804EB" w:rsidRPr="00215988" w:rsidRDefault="003804EB" w:rsidP="00BF21D7">
      <w:pPr>
        <w:pStyle w:val="paragraph"/>
        <w:spacing w:before="0" w:beforeAutospacing="0" w:after="120" w:afterAutospacing="0"/>
        <w:ind w:right="144"/>
        <w:jc w:val="both"/>
        <w:textAlignment w:val="baseline"/>
        <w:rPr>
          <w:rFonts w:ascii="Arial" w:eastAsia="Arial" w:hAnsi="Arial" w:cs="Arial"/>
        </w:rPr>
      </w:pPr>
    </w:p>
    <w:p w14:paraId="0A7886DF" w14:textId="06427A63" w:rsidR="00BF21D7" w:rsidRPr="001A10F6" w:rsidRDefault="00BF21D7" w:rsidP="00BF21D7">
      <w:pPr>
        <w:pStyle w:val="paragraph"/>
        <w:spacing w:before="0" w:beforeAutospacing="0" w:after="120" w:afterAutospacing="0"/>
        <w:ind w:right="144"/>
        <w:jc w:val="both"/>
        <w:textAlignment w:val="baseline"/>
        <w:rPr>
          <w:rFonts w:ascii="Arial" w:hAnsi="Arial" w:cs="Arial"/>
        </w:rPr>
      </w:pPr>
      <w:r>
        <w:rPr>
          <w:rFonts w:ascii="Arial" w:hAnsi="Arial"/>
        </w:rPr>
        <w:t xml:space="preserve">Les </w:t>
      </w:r>
      <w:r>
        <w:rPr>
          <w:rFonts w:ascii="Arial" w:hAnsi="Arial"/>
          <w:b/>
          <w:i/>
        </w:rPr>
        <w:t>cibles</w:t>
      </w:r>
      <w:r>
        <w:rPr>
          <w:rFonts w:ascii="Arial" w:hAnsi="Arial"/>
        </w:rPr>
        <w:t xml:space="preserve"> nutritionnelles doivent être désagrégées par sexe, tranche d’âge et besoin spécifique en couvrant toutes les </w:t>
      </w:r>
      <w:r>
        <w:rPr>
          <w:rFonts w:ascii="Arial" w:hAnsi="Arial"/>
          <w:i/>
        </w:rPr>
        <w:t>zones géographiques affectées</w:t>
      </w:r>
      <w:r>
        <w:rPr>
          <w:rFonts w:ascii="Arial" w:hAnsi="Arial"/>
        </w:rPr>
        <w:t xml:space="preserve">. Ces cibles diffèrent considérablement du nombre de personnes </w:t>
      </w:r>
      <w:r w:rsidR="00414C8E">
        <w:rPr>
          <w:rFonts w:ascii="Arial" w:hAnsi="Arial"/>
          <w:i/>
          <w:iCs/>
        </w:rPr>
        <w:t>couvertes</w:t>
      </w:r>
      <w:r>
        <w:rPr>
          <w:rFonts w:ascii="Arial" w:hAnsi="Arial"/>
        </w:rPr>
        <w:t xml:space="preserve"> – le nombre de personnes admises/inscrites/ayant bénéficié d’une forme d’intervention/de programme nutritionnel (pour éviter un compta</w:t>
      </w:r>
      <w:r w:rsidR="00414C8E">
        <w:rPr>
          <w:rFonts w:ascii="Arial" w:hAnsi="Arial"/>
        </w:rPr>
        <w:t>g</w:t>
      </w:r>
      <w:r>
        <w:rPr>
          <w:rFonts w:ascii="Arial" w:hAnsi="Arial"/>
        </w:rPr>
        <w:t xml:space="preserve">e double), c’est-à-dire, dont les besoins nutritionnels </w:t>
      </w:r>
      <w:r w:rsidR="00B3165F">
        <w:rPr>
          <w:rFonts w:ascii="Arial" w:hAnsi="Arial"/>
        </w:rPr>
        <w:t xml:space="preserve">ont été </w:t>
      </w:r>
      <w:r>
        <w:rPr>
          <w:rFonts w:ascii="Arial" w:hAnsi="Arial"/>
        </w:rPr>
        <w:t xml:space="preserve">satisfaits.  </w:t>
      </w:r>
    </w:p>
    <w:p w14:paraId="4CDADEEB" w14:textId="45D85CD9" w:rsidR="006222BA" w:rsidRDefault="00B3165F" w:rsidP="006222BA">
      <w:pPr>
        <w:rPr>
          <w:rFonts w:ascii="Arial" w:hAnsi="Arial" w:cs="Arial"/>
        </w:rPr>
      </w:pPr>
      <w:r>
        <w:rPr>
          <w:rFonts w:ascii="Arial" w:hAnsi="Arial"/>
        </w:rPr>
        <w:t xml:space="preserve">La feuille de calcul </w:t>
      </w:r>
      <w:r w:rsidR="005021D9">
        <w:rPr>
          <w:rFonts w:ascii="Arial" w:hAnsi="Arial"/>
        </w:rPr>
        <w:t xml:space="preserve">de synthèse de tous les nombres de PiN </w:t>
      </w:r>
      <w:r w:rsidR="00414C8E">
        <w:rPr>
          <w:rFonts w:ascii="Arial" w:hAnsi="Arial"/>
        </w:rPr>
        <w:t xml:space="preserve">offre une </w:t>
      </w:r>
      <w:r w:rsidR="005021D9">
        <w:rPr>
          <w:rFonts w:ascii="Arial" w:hAnsi="Arial"/>
        </w:rPr>
        <w:t xml:space="preserve">base </w:t>
      </w:r>
      <w:r w:rsidR="00414C8E">
        <w:rPr>
          <w:rFonts w:ascii="Arial" w:hAnsi="Arial"/>
        </w:rPr>
        <w:t xml:space="preserve">pour les </w:t>
      </w:r>
      <w:r w:rsidR="005021D9">
        <w:rPr>
          <w:rFonts w:ascii="Arial" w:hAnsi="Arial"/>
        </w:rPr>
        <w:t xml:space="preserve">intrants et </w:t>
      </w:r>
      <w:r w:rsidR="00414C8E">
        <w:rPr>
          <w:rFonts w:ascii="Arial" w:hAnsi="Arial"/>
        </w:rPr>
        <w:t xml:space="preserve">le </w:t>
      </w:r>
      <w:r w:rsidR="005021D9">
        <w:rPr>
          <w:rFonts w:ascii="Arial" w:hAnsi="Arial"/>
        </w:rPr>
        <w:t>suivi du PRH – voir la</w:t>
      </w:r>
      <w:r w:rsidR="002547A2">
        <w:rPr>
          <w:rFonts w:ascii="Arial" w:hAnsi="Arial"/>
        </w:rPr>
        <w:t xml:space="preserve"> feuille de calcul</w:t>
      </w:r>
      <w:r w:rsidR="005021D9">
        <w:rPr>
          <w:rFonts w:ascii="Arial" w:hAnsi="Arial"/>
        </w:rPr>
        <w:t xml:space="preserve"> </w:t>
      </w:r>
      <w:r w:rsidR="005021D9">
        <w:rPr>
          <w:rFonts w:ascii="Arial" w:hAnsi="Arial"/>
          <w:b/>
          <w:color w:val="00B050"/>
        </w:rPr>
        <w:t xml:space="preserve">PiN Total </w:t>
      </w:r>
      <w:r w:rsidR="005021D9">
        <w:rPr>
          <w:rFonts w:ascii="Arial" w:hAnsi="Arial"/>
        </w:rPr>
        <w:t xml:space="preserve">avec le pourcentage ciblé indiqué dans le tableur </w:t>
      </w:r>
      <w:hyperlink r:id="rId42" w:history="1">
        <w:r w:rsidR="005021D9">
          <w:rPr>
            <w:rStyle w:val="Lienhypertexte"/>
            <w:rFonts w:ascii="Arial" w:hAnsi="Arial"/>
          </w:rPr>
          <w:t>Outil d’analyse des besoins humanitaires en matière de nutrition</w:t>
        </w:r>
      </w:hyperlink>
      <w:r w:rsidR="005021D9">
        <w:rPr>
          <w:rFonts w:ascii="Arial" w:hAnsi="Arial"/>
        </w:rPr>
        <w:t>.</w:t>
      </w:r>
    </w:p>
    <w:p w14:paraId="03A6C946" w14:textId="77777777" w:rsidR="005021D9" w:rsidRDefault="005021D9" w:rsidP="006222BA">
      <w:pPr>
        <w:rPr>
          <w:rFonts w:ascii="Arial" w:eastAsia="Calibri" w:hAnsi="Arial" w:cs="Arial"/>
          <w:b/>
          <w:lang w:eastAsia="fr-FR"/>
        </w:rPr>
      </w:pPr>
    </w:p>
    <w:p w14:paraId="3084251F" w14:textId="77777777" w:rsidR="002F3231" w:rsidRPr="00DC483E" w:rsidRDefault="00E62539" w:rsidP="00DC483E">
      <w:pPr>
        <w:pStyle w:val="Titre2"/>
        <w:rPr>
          <w:rFonts w:ascii="Arial" w:hAnsi="Arial" w:cs="Arial"/>
          <w:b/>
          <w:color w:val="000000"/>
          <w:sz w:val="28"/>
          <w:szCs w:val="28"/>
        </w:rPr>
      </w:pPr>
      <w:bookmarkStart w:id="21" w:name="_Toc90559366"/>
      <w:r>
        <w:rPr>
          <w:rFonts w:ascii="Arial" w:hAnsi="Arial"/>
          <w:b/>
          <w:color w:val="000000"/>
          <w:sz w:val="28"/>
        </w:rPr>
        <w:t>Validation finale des besoins intersectoriels</w:t>
      </w:r>
      <w:bookmarkEnd w:id="21"/>
    </w:p>
    <w:p w14:paraId="5890F3EC" w14:textId="5958AF5D" w:rsidR="00460B09" w:rsidRDefault="00E62539" w:rsidP="00460B09">
      <w:pPr>
        <w:spacing w:after="120"/>
        <w:jc w:val="both"/>
        <w:rPr>
          <w:rFonts w:ascii="Arial" w:hAnsi="Arial" w:cs="Arial"/>
        </w:rPr>
      </w:pPr>
      <w:r>
        <w:rPr>
          <w:rFonts w:ascii="Arial" w:hAnsi="Arial"/>
        </w:rPr>
        <w:t xml:space="preserve">Une fois que la zone géographique, les groupes </w:t>
      </w:r>
      <w:r w:rsidR="00414C8E">
        <w:rPr>
          <w:rFonts w:ascii="Arial" w:hAnsi="Arial"/>
        </w:rPr>
        <w:t xml:space="preserve">démographiques </w:t>
      </w:r>
      <w:r>
        <w:rPr>
          <w:rFonts w:ascii="Arial" w:hAnsi="Arial"/>
        </w:rPr>
        <w:t xml:space="preserve">et les problèmes les plus urgents à traiter (en raison de leur sévérité, de la pression du temps, etc.) ont été déterminés à partir des résultats du JIAF, un atelier de validation finale devrait être organisé pour valider les principales conclusions. </w:t>
      </w:r>
      <w:r>
        <w:rPr>
          <w:rFonts w:ascii="Arial" w:hAnsi="Arial"/>
          <w:b/>
        </w:rPr>
        <w:t>Il est important que la personne identifiée comme responsable de la nutrition participe à cet atelier pour veiller à ce que les contributions en matière de nutrition soient effectivement prises en compte et intégrées.</w:t>
      </w:r>
      <w:r>
        <w:rPr>
          <w:rFonts w:ascii="Arial" w:hAnsi="Arial"/>
        </w:rPr>
        <w:t xml:space="preserve"> </w:t>
      </w:r>
    </w:p>
    <w:p w14:paraId="4BEA8085" w14:textId="11BB2940" w:rsidR="00E62539" w:rsidRPr="00CA2973" w:rsidRDefault="00E62539" w:rsidP="00460B09">
      <w:pPr>
        <w:spacing w:after="120"/>
        <w:jc w:val="both"/>
        <w:rPr>
          <w:rFonts w:ascii="Arial" w:hAnsi="Arial" w:cs="Arial"/>
        </w:rPr>
        <w:sectPr w:rsidR="00E62539" w:rsidRPr="00CA2973" w:rsidSect="00460B09">
          <w:headerReference w:type="default" r:id="rId43"/>
          <w:endnotePr>
            <w:numFmt w:val="decimal"/>
          </w:endnotePr>
          <w:pgSz w:w="11906" w:h="16838"/>
          <w:pgMar w:top="1440" w:right="1080" w:bottom="1440" w:left="1080" w:header="144" w:footer="720" w:gutter="0"/>
          <w:cols w:space="720"/>
          <w:docGrid w:linePitch="360"/>
        </w:sectPr>
      </w:pPr>
      <w:r>
        <w:rPr>
          <w:rFonts w:ascii="Arial" w:hAnsi="Arial"/>
        </w:rPr>
        <w:t>Cet addend</w:t>
      </w:r>
      <w:r w:rsidR="000D03CB">
        <w:rPr>
          <w:rFonts w:ascii="Arial" w:hAnsi="Arial"/>
        </w:rPr>
        <w:t>um</w:t>
      </w:r>
      <w:r>
        <w:rPr>
          <w:rFonts w:ascii="Arial" w:hAnsi="Arial"/>
        </w:rPr>
        <w:t xml:space="preserve"> et les </w:t>
      </w:r>
      <w:hyperlink r:id="rId44" w:history="1">
        <w:r>
          <w:rPr>
            <w:rStyle w:val="Lienhypertexte"/>
            <w:rFonts w:ascii="Arial" w:hAnsi="Arial"/>
          </w:rPr>
          <w:t>Directives pour l’analyse des besoins humanitaires en matière de nutrition</w:t>
        </w:r>
      </w:hyperlink>
      <w:r>
        <w:rPr>
          <w:rFonts w:ascii="Arial" w:hAnsi="Arial"/>
        </w:rPr>
        <w:t xml:space="preserve"> qui l’accompagnent seront ajustés selon leurs modalités de pilotage et </w:t>
      </w:r>
      <w:r w:rsidR="00414C8E">
        <w:rPr>
          <w:rFonts w:ascii="Arial" w:hAnsi="Arial"/>
        </w:rPr>
        <w:t>sur la base d</w:t>
      </w:r>
      <w:r>
        <w:rPr>
          <w:rFonts w:ascii="Arial" w:hAnsi="Arial"/>
        </w:rPr>
        <w:t xml:space="preserve">es enseignements </w:t>
      </w:r>
      <w:r w:rsidR="00414C8E">
        <w:rPr>
          <w:rFonts w:ascii="Arial" w:hAnsi="Arial"/>
        </w:rPr>
        <w:t xml:space="preserve">qui sont </w:t>
      </w:r>
      <w:r>
        <w:rPr>
          <w:rFonts w:ascii="Arial" w:hAnsi="Arial"/>
        </w:rPr>
        <w:t xml:space="preserve">tirés et regroupés chaque année </w:t>
      </w:r>
      <w:r w:rsidR="00414C8E">
        <w:rPr>
          <w:rFonts w:ascii="Arial" w:hAnsi="Arial"/>
        </w:rPr>
        <w:t>en vue</w:t>
      </w:r>
      <w:r>
        <w:rPr>
          <w:rFonts w:ascii="Arial" w:hAnsi="Arial"/>
        </w:rPr>
        <w:t xml:space="preserve"> </w:t>
      </w:r>
      <w:r w:rsidR="00414C8E">
        <w:rPr>
          <w:rFonts w:ascii="Arial" w:hAnsi="Arial"/>
        </w:rPr>
        <w:t>d’</w:t>
      </w:r>
      <w:r>
        <w:rPr>
          <w:rFonts w:ascii="Arial" w:hAnsi="Arial"/>
        </w:rPr>
        <w:t xml:space="preserve">orienter </w:t>
      </w:r>
      <w:r w:rsidR="00414C8E">
        <w:rPr>
          <w:rFonts w:ascii="Arial" w:hAnsi="Arial"/>
        </w:rPr>
        <w:t>des</w:t>
      </w:r>
      <w:r>
        <w:rPr>
          <w:rFonts w:ascii="Arial" w:hAnsi="Arial"/>
        </w:rPr>
        <w:t xml:space="preserve"> versions futures.</w:t>
      </w:r>
    </w:p>
    <w:p w14:paraId="7E515BB5" w14:textId="77777777" w:rsidR="00E80616" w:rsidRPr="00CA2973" w:rsidRDefault="00B7441C" w:rsidP="003E41FD">
      <w:pPr>
        <w:pStyle w:val="Titre2"/>
        <w:rPr>
          <w:rFonts w:ascii="Arial" w:hAnsi="Arial" w:cs="Arial"/>
          <w:b/>
          <w:color w:val="000000"/>
          <w:sz w:val="24"/>
          <w:szCs w:val="24"/>
        </w:rPr>
      </w:pPr>
      <w:bookmarkStart w:id="22" w:name="_Toc90559367"/>
      <w:r>
        <w:rPr>
          <w:rFonts w:ascii="Arial" w:hAnsi="Arial"/>
          <w:b/>
          <w:color w:val="000000"/>
          <w:sz w:val="24"/>
        </w:rPr>
        <w:lastRenderedPageBreak/>
        <w:t>Références</w:t>
      </w:r>
      <w:bookmarkEnd w:id="22"/>
    </w:p>
    <w:p w14:paraId="12383674" w14:textId="77777777" w:rsidR="003E41FD" w:rsidRPr="00CA2973" w:rsidRDefault="003E41FD" w:rsidP="003E41FD">
      <w:pPr>
        <w:rPr>
          <w:lang w:eastAsia="fr-FR"/>
        </w:rPr>
      </w:pPr>
    </w:p>
    <w:p w14:paraId="118DB1D2" w14:textId="6A53E659" w:rsidR="00E80616" w:rsidRPr="00414C8E" w:rsidRDefault="00E80616" w:rsidP="003E41FD">
      <w:pPr>
        <w:spacing w:after="180"/>
        <w:rPr>
          <w:rFonts w:ascii="Arial" w:hAnsi="Arial" w:cs="Arial"/>
          <w:b/>
          <w:color w:val="000000"/>
          <w:sz w:val="22"/>
          <w:szCs w:val="22"/>
        </w:rPr>
      </w:pPr>
      <w:r w:rsidRPr="00414C8E">
        <w:rPr>
          <w:rFonts w:ascii="Arial" w:hAnsi="Arial" w:cs="Arial"/>
          <w:sz w:val="22"/>
          <w:szCs w:val="22"/>
        </w:rPr>
        <w:t xml:space="preserve">Cashin, K. et Oot, L., 2018. </w:t>
      </w:r>
      <w:hyperlink r:id="rId45" w:history="1">
        <w:r w:rsidRPr="00414C8E">
          <w:rPr>
            <w:rStyle w:val="Lienhypertexte"/>
            <w:rFonts w:ascii="Arial" w:hAnsi="Arial" w:cs="Arial"/>
            <w:sz w:val="22"/>
            <w:szCs w:val="22"/>
            <w:lang w:val="en-US"/>
          </w:rPr>
          <w:t>GUIDE TO ANTHROPOMETRY</w:t>
        </w:r>
        <w:r w:rsidR="00414C8E" w:rsidRPr="00414C8E">
          <w:rPr>
            <w:rStyle w:val="Lienhypertexte"/>
            <w:rFonts w:ascii="Arial" w:hAnsi="Arial" w:cs="Arial"/>
            <w:sz w:val="22"/>
            <w:szCs w:val="22"/>
            <w:lang w:val="en-US"/>
          </w:rPr>
          <w:t>:</w:t>
        </w:r>
        <w:r w:rsidRPr="00414C8E">
          <w:rPr>
            <w:rStyle w:val="Lienhypertexte"/>
            <w:rFonts w:ascii="Arial" w:hAnsi="Arial" w:cs="Arial"/>
            <w:sz w:val="22"/>
            <w:szCs w:val="22"/>
            <w:lang w:val="en-US"/>
          </w:rPr>
          <w:t xml:space="preserve"> A practical tool for Program Planners, </w:t>
        </w:r>
        <w:proofErr w:type="gramStart"/>
        <w:r w:rsidRPr="00414C8E">
          <w:rPr>
            <w:rStyle w:val="Lienhypertexte"/>
            <w:rFonts w:ascii="Arial" w:hAnsi="Arial" w:cs="Arial"/>
            <w:sz w:val="22"/>
            <w:szCs w:val="22"/>
            <w:lang w:val="en-US"/>
          </w:rPr>
          <w:t>Managers</w:t>
        </w:r>
        <w:proofErr w:type="gramEnd"/>
        <w:r w:rsidRPr="00414C8E">
          <w:rPr>
            <w:rStyle w:val="Lienhypertexte"/>
            <w:rFonts w:ascii="Arial" w:hAnsi="Arial" w:cs="Arial"/>
            <w:sz w:val="22"/>
            <w:szCs w:val="22"/>
            <w:lang w:val="en-US"/>
          </w:rPr>
          <w:t xml:space="preserve"> and Implementers.</w:t>
        </w:r>
      </w:hyperlink>
      <w:r w:rsidRPr="00414C8E">
        <w:rPr>
          <w:rFonts w:ascii="Arial" w:hAnsi="Arial" w:cs="Arial"/>
          <w:sz w:val="22"/>
          <w:szCs w:val="22"/>
          <w:lang w:val="en-US"/>
        </w:rPr>
        <w:t xml:space="preserve"> </w:t>
      </w:r>
      <w:r w:rsidRPr="00414C8E">
        <w:rPr>
          <w:rFonts w:ascii="Arial" w:hAnsi="Arial" w:cs="Arial"/>
          <w:sz w:val="22"/>
          <w:szCs w:val="22"/>
        </w:rPr>
        <w:t>(GUIDE D’ANTHROPOMÉTRIE</w:t>
      </w:r>
      <w:r w:rsidR="00414C8E" w:rsidRPr="00414C8E">
        <w:rPr>
          <w:rFonts w:ascii="Arial" w:hAnsi="Arial" w:cs="Arial"/>
          <w:sz w:val="22"/>
          <w:szCs w:val="22"/>
        </w:rPr>
        <w:t> :</w:t>
      </w:r>
      <w:r w:rsidRPr="00414C8E">
        <w:rPr>
          <w:rFonts w:ascii="Arial" w:hAnsi="Arial" w:cs="Arial"/>
          <w:sz w:val="22"/>
          <w:szCs w:val="22"/>
        </w:rPr>
        <w:t xml:space="preserve"> Outil pratique pour les planificateurs, gestionnaires et responsables de la mise en œuvre des programmes)</w:t>
      </w:r>
    </w:p>
    <w:p w14:paraId="03EB892E" w14:textId="7923B7ED" w:rsidR="00ED3143" w:rsidRPr="00414C8E" w:rsidRDefault="00ED3143" w:rsidP="003E41FD">
      <w:pPr>
        <w:pStyle w:val="Notedebasdepage"/>
        <w:spacing w:after="180"/>
        <w:rPr>
          <w:rFonts w:ascii="Arial" w:hAnsi="Arial" w:cs="Arial"/>
          <w:sz w:val="22"/>
          <w:szCs w:val="22"/>
        </w:rPr>
      </w:pPr>
      <w:r w:rsidRPr="00414C8E">
        <w:rPr>
          <w:rFonts w:ascii="Arial" w:hAnsi="Arial" w:cs="Arial"/>
          <w:sz w:val="22"/>
          <w:szCs w:val="22"/>
        </w:rPr>
        <w:t>Projet d’assistance technique en alimentation et nutrition (FANTA), 2018. </w:t>
      </w:r>
      <w:hyperlink r:id="rId46" w:history="1">
        <w:r w:rsidRPr="00414C8E">
          <w:rPr>
            <w:rStyle w:val="Lienhypertexte"/>
            <w:rFonts w:ascii="Arial" w:hAnsi="Arial" w:cs="Arial"/>
            <w:sz w:val="22"/>
            <w:szCs w:val="22"/>
          </w:rPr>
          <w:t>Training Guide for Community-Based Management of Acute Malnutrition (CMAM)</w:t>
        </w:r>
      </w:hyperlink>
      <w:r w:rsidRPr="00414C8E">
        <w:rPr>
          <w:rFonts w:ascii="Arial" w:hAnsi="Arial" w:cs="Arial"/>
          <w:sz w:val="22"/>
          <w:szCs w:val="22"/>
        </w:rPr>
        <w:t xml:space="preserve"> (Guide de formation pour la prise en charge communautaire de la malnutrition aiguë (PCMA)</w:t>
      </w:r>
    </w:p>
    <w:p w14:paraId="7DFA4C8D" w14:textId="77777777" w:rsidR="00422811" w:rsidRPr="00414C8E" w:rsidRDefault="00422811" w:rsidP="003E41FD">
      <w:pPr>
        <w:pStyle w:val="Notedebasdepage"/>
        <w:spacing w:after="180"/>
        <w:rPr>
          <w:rFonts w:ascii="Arial" w:hAnsi="Arial" w:cs="Arial"/>
          <w:sz w:val="22"/>
          <w:szCs w:val="22"/>
        </w:rPr>
      </w:pPr>
      <w:r w:rsidRPr="00414C8E">
        <w:rPr>
          <w:rFonts w:ascii="Arial" w:hAnsi="Arial" w:cs="Arial"/>
          <w:sz w:val="22"/>
          <w:szCs w:val="22"/>
        </w:rPr>
        <w:t xml:space="preserve">Cluster Nutrition Global, 2013. </w:t>
      </w:r>
      <w:hyperlink r:id="rId47" w:history="1">
        <w:r w:rsidRPr="00414C8E">
          <w:rPr>
            <w:rStyle w:val="Lienhypertexte"/>
            <w:rFonts w:ascii="Arial" w:hAnsi="Arial" w:cs="Arial"/>
            <w:sz w:val="22"/>
            <w:szCs w:val="22"/>
          </w:rPr>
          <w:t>Version finale du Manuel du GNC</w:t>
        </w:r>
      </w:hyperlink>
    </w:p>
    <w:p w14:paraId="0657A8D3" w14:textId="186EDD08" w:rsidR="00E80616" w:rsidRPr="00414C8E" w:rsidRDefault="00E80616" w:rsidP="003E41FD">
      <w:pPr>
        <w:pStyle w:val="Notedebasdepage"/>
        <w:spacing w:after="180"/>
        <w:rPr>
          <w:rStyle w:val="Lienhypertexte"/>
          <w:rFonts w:ascii="Arial" w:hAnsi="Arial" w:cs="Arial"/>
          <w:sz w:val="22"/>
          <w:szCs w:val="22"/>
        </w:rPr>
      </w:pPr>
      <w:r w:rsidRPr="00414C8E">
        <w:rPr>
          <w:rFonts w:ascii="Arial" w:hAnsi="Arial" w:cs="Arial"/>
          <w:sz w:val="22"/>
          <w:szCs w:val="22"/>
        </w:rPr>
        <w:t xml:space="preserve">Cluster Nutrition Global, 2016. </w:t>
      </w:r>
      <w:hyperlink r:id="rId48" w:history="1">
        <w:r w:rsidRPr="00414C8E">
          <w:rPr>
            <w:rStyle w:val="Lienhypertexte"/>
            <w:rFonts w:ascii="Arial" w:hAnsi="Arial" w:cs="Arial"/>
            <w:sz w:val="22"/>
            <w:szCs w:val="22"/>
          </w:rPr>
          <w:t>TIPS ON NUTRITION INTERVENTIONS for the Humanitarian Response Plan</w:t>
        </w:r>
      </w:hyperlink>
      <w:r w:rsidRPr="00414C8E">
        <w:rPr>
          <w:rFonts w:ascii="Arial" w:hAnsi="Arial" w:cs="Arial"/>
          <w:sz w:val="22"/>
          <w:szCs w:val="22"/>
        </w:rPr>
        <w:t xml:space="preserve"> (CONSEILS POUR LES INTERVENTIONS NUTRITIONNELLES </w:t>
      </w:r>
      <w:r w:rsidR="00C104FD">
        <w:rPr>
          <w:rFonts w:ascii="Arial" w:hAnsi="Arial" w:cs="Arial"/>
          <w:sz w:val="22"/>
          <w:szCs w:val="22"/>
        </w:rPr>
        <w:t>du</w:t>
      </w:r>
      <w:r w:rsidRPr="00414C8E">
        <w:rPr>
          <w:rFonts w:ascii="Arial" w:hAnsi="Arial" w:cs="Arial"/>
          <w:sz w:val="22"/>
          <w:szCs w:val="22"/>
        </w:rPr>
        <w:t xml:space="preserve"> Plan de réponse humanitaire)</w:t>
      </w:r>
    </w:p>
    <w:p w14:paraId="6BF453D5" w14:textId="77777777" w:rsidR="00764063" w:rsidRPr="00414C8E" w:rsidRDefault="007F11FF" w:rsidP="003E41FD">
      <w:pPr>
        <w:pStyle w:val="Notedebasdepage"/>
        <w:spacing w:after="180"/>
        <w:rPr>
          <w:rFonts w:ascii="Arial" w:hAnsi="Arial" w:cs="Arial"/>
          <w:sz w:val="22"/>
          <w:szCs w:val="22"/>
        </w:rPr>
      </w:pPr>
      <w:r w:rsidRPr="00414C8E">
        <w:rPr>
          <w:rFonts w:ascii="Arial" w:hAnsi="Arial" w:cs="Arial"/>
          <w:sz w:val="22"/>
          <w:szCs w:val="22"/>
        </w:rPr>
        <w:t xml:space="preserve">Cluster Nutrition Global, 2019. </w:t>
      </w:r>
      <w:r w:rsidRPr="00414C8E">
        <w:rPr>
          <w:rStyle w:val="Lienhypertexte"/>
          <w:rFonts w:ascii="Arial" w:hAnsi="Arial" w:cs="Arial"/>
          <w:sz w:val="22"/>
          <w:szCs w:val="22"/>
        </w:rPr>
        <w:t>PREPAREDNESS GUIDELINES FOR NUTRITION IN EMERGENCIES COORDINATION</w:t>
      </w:r>
      <w:r w:rsidRPr="00414C8E">
        <w:rPr>
          <w:rFonts w:ascii="Arial" w:hAnsi="Arial" w:cs="Arial"/>
          <w:sz w:val="22"/>
          <w:szCs w:val="22"/>
        </w:rPr>
        <w:t xml:space="preserve"> (DIRECTIVES DE PRÉPARATION POUR LA COORDINATION DE LA NUTRITION DANS LES SITUATIONS D’URGENCE)</w:t>
      </w:r>
      <w:r w:rsidRPr="00414C8E">
        <w:rPr>
          <w:rStyle w:val="Lienhypertexte"/>
          <w:rFonts w:ascii="Arial" w:hAnsi="Arial" w:cs="Arial"/>
          <w:sz w:val="22"/>
          <w:szCs w:val="22"/>
        </w:rPr>
        <w:t xml:space="preserve"> </w:t>
      </w:r>
    </w:p>
    <w:p w14:paraId="17410087" w14:textId="6FC97782" w:rsidR="00274249" w:rsidRPr="00414C8E" w:rsidRDefault="00274249" w:rsidP="003E41FD">
      <w:pPr>
        <w:pStyle w:val="Notedebasdepage"/>
        <w:spacing w:after="180"/>
        <w:rPr>
          <w:rFonts w:ascii="Arial" w:hAnsi="Arial" w:cs="Arial"/>
          <w:sz w:val="22"/>
          <w:szCs w:val="22"/>
        </w:rPr>
      </w:pPr>
      <w:r w:rsidRPr="00414C8E">
        <w:rPr>
          <w:rFonts w:ascii="Arial" w:hAnsi="Arial" w:cs="Arial"/>
          <w:sz w:val="22"/>
          <w:szCs w:val="22"/>
        </w:rPr>
        <w:t xml:space="preserve">HelpAge International, NutritionWorks, Cluster Nutrition Global, 2013. </w:t>
      </w:r>
      <w:hyperlink r:id="rId49" w:history="1">
        <w:r w:rsidRPr="00414C8E">
          <w:rPr>
            <w:rStyle w:val="Lienhypertexte"/>
            <w:rFonts w:ascii="Arial" w:hAnsi="Arial" w:cs="Arial"/>
            <w:sz w:val="22"/>
            <w:szCs w:val="22"/>
          </w:rPr>
          <w:t>The Harmonised Training Package (HTP</w:t>
        </w:r>
        <w:proofErr w:type="gramStart"/>
        <w:r w:rsidRPr="00414C8E">
          <w:rPr>
            <w:rStyle w:val="Lienhypertexte"/>
            <w:rFonts w:ascii="Arial" w:hAnsi="Arial" w:cs="Arial"/>
            <w:sz w:val="22"/>
            <w:szCs w:val="22"/>
          </w:rPr>
          <w:t>):</w:t>
        </w:r>
        <w:proofErr w:type="gramEnd"/>
      </w:hyperlink>
      <w:hyperlink r:id="rId50" w:history="1">
        <w:r w:rsidRPr="00414C8E">
          <w:rPr>
            <w:rStyle w:val="Lienhypertexte"/>
            <w:rFonts w:ascii="Arial" w:hAnsi="Arial" w:cs="Arial"/>
            <w:sz w:val="22"/>
            <w:szCs w:val="22"/>
          </w:rPr>
          <w:t xml:space="preserve"> Resource Material for Training on Nutrition in Emergencies, Module 23, Version 1 (2013) Nutrition of older people in emergencies</w:t>
        </w:r>
      </w:hyperlink>
      <w:r w:rsidRPr="00414C8E">
        <w:rPr>
          <w:rFonts w:ascii="Arial" w:hAnsi="Arial" w:cs="Arial"/>
          <w:sz w:val="22"/>
          <w:szCs w:val="22"/>
        </w:rPr>
        <w:t xml:space="preserve"> (Kit de formation harmonisé : ressources pour la formation sur la nutrition dans les situations d’urgence – Module 23 – Version 1 </w:t>
      </w:r>
      <w:r w:rsidR="00801246">
        <w:rPr>
          <w:rFonts w:ascii="Arial" w:hAnsi="Arial" w:cs="Arial"/>
          <w:sz w:val="22"/>
          <w:szCs w:val="22"/>
        </w:rPr>
        <w:t>[</w:t>
      </w:r>
      <w:r w:rsidRPr="00414C8E">
        <w:rPr>
          <w:rFonts w:ascii="Arial" w:hAnsi="Arial" w:cs="Arial"/>
          <w:sz w:val="22"/>
          <w:szCs w:val="22"/>
        </w:rPr>
        <w:t>2013</w:t>
      </w:r>
      <w:r w:rsidR="00801246">
        <w:rPr>
          <w:rFonts w:ascii="Arial" w:hAnsi="Arial" w:cs="Arial"/>
          <w:sz w:val="22"/>
          <w:szCs w:val="22"/>
        </w:rPr>
        <w:t>]</w:t>
      </w:r>
      <w:r w:rsidRPr="00414C8E">
        <w:rPr>
          <w:rFonts w:ascii="Arial" w:hAnsi="Arial" w:cs="Arial"/>
          <w:sz w:val="22"/>
          <w:szCs w:val="22"/>
        </w:rPr>
        <w:t xml:space="preserve"> – La nutrition des personnes âgées dans les situations d’urgence)</w:t>
      </w:r>
    </w:p>
    <w:p w14:paraId="33BDEF1F" w14:textId="77777777" w:rsidR="00422811" w:rsidRPr="00414C8E" w:rsidRDefault="00422811" w:rsidP="003E41FD">
      <w:pPr>
        <w:pStyle w:val="Notedebasdepage"/>
        <w:spacing w:after="180"/>
        <w:rPr>
          <w:rStyle w:val="Lienhypertexte"/>
          <w:rFonts w:ascii="Arial" w:hAnsi="Arial" w:cs="Arial"/>
          <w:sz w:val="22"/>
          <w:szCs w:val="22"/>
        </w:rPr>
      </w:pPr>
      <w:r w:rsidRPr="00414C8E">
        <w:rPr>
          <w:rFonts w:ascii="Arial" w:hAnsi="Arial" w:cs="Arial"/>
          <w:sz w:val="22"/>
          <w:szCs w:val="22"/>
        </w:rPr>
        <w:t xml:space="preserve">IASC, 2012. </w:t>
      </w:r>
      <w:hyperlink r:id="rId51" w:history="1">
        <w:r w:rsidRPr="00414C8E">
          <w:rPr>
            <w:rStyle w:val="Lienhypertexte"/>
            <w:rFonts w:ascii="Arial" w:hAnsi="Arial" w:cs="Arial"/>
            <w:sz w:val="22"/>
            <w:szCs w:val="22"/>
          </w:rPr>
          <w:t>Guide opérationnel pour la coordination des évaluations lors de crises humanitaires</w:t>
        </w:r>
      </w:hyperlink>
    </w:p>
    <w:p w14:paraId="188B34F5" w14:textId="77777777" w:rsidR="00E80616" w:rsidRPr="00414C8E" w:rsidRDefault="00E80616" w:rsidP="003E41FD">
      <w:pPr>
        <w:pStyle w:val="Notedebasdepage"/>
        <w:spacing w:after="180"/>
        <w:rPr>
          <w:rFonts w:ascii="Arial" w:hAnsi="Arial" w:cs="Arial"/>
          <w:sz w:val="22"/>
          <w:szCs w:val="22"/>
        </w:rPr>
      </w:pPr>
      <w:r w:rsidRPr="00414C8E">
        <w:rPr>
          <w:rFonts w:ascii="Arial" w:hAnsi="Arial" w:cs="Arial"/>
          <w:sz w:val="22"/>
          <w:szCs w:val="22"/>
        </w:rPr>
        <w:t xml:space="preserve">IASC, 2015. </w:t>
      </w:r>
      <w:hyperlink r:id="rId52" w:history="1">
        <w:r w:rsidRPr="00414C8E">
          <w:rPr>
            <w:rStyle w:val="Lienhypertexte"/>
            <w:rFonts w:ascii="Arial" w:hAnsi="Arial" w:cs="Arial"/>
            <w:sz w:val="22"/>
            <w:szCs w:val="22"/>
          </w:rPr>
          <w:t>Module de référence pour la mise en œuvre du cycle de programme humanitaire 2015 – Version 2.0</w:t>
        </w:r>
      </w:hyperlink>
    </w:p>
    <w:p w14:paraId="2F7B536D" w14:textId="77777777" w:rsidR="005F1726" w:rsidRPr="00414C8E" w:rsidRDefault="005F1726" w:rsidP="003E41FD">
      <w:pPr>
        <w:pStyle w:val="Notedebasdepage"/>
        <w:spacing w:after="180"/>
        <w:rPr>
          <w:rFonts w:ascii="Arial" w:hAnsi="Arial" w:cs="Arial"/>
          <w:sz w:val="22"/>
          <w:szCs w:val="22"/>
        </w:rPr>
      </w:pPr>
      <w:r w:rsidRPr="00414C8E">
        <w:rPr>
          <w:rFonts w:ascii="Arial" w:hAnsi="Arial" w:cs="Arial"/>
          <w:sz w:val="22"/>
          <w:szCs w:val="22"/>
        </w:rPr>
        <w:t xml:space="preserve">IASC, 2016. </w:t>
      </w:r>
      <w:hyperlink r:id="rId53" w:history="1">
        <w:r w:rsidRPr="00414C8E">
          <w:rPr>
            <w:rStyle w:val="Lienhypertexte"/>
            <w:rFonts w:ascii="Arial" w:hAnsi="Arial" w:cs="Arial"/>
            <w:sz w:val="22"/>
            <w:szCs w:val="22"/>
          </w:rPr>
          <w:t>Humanitarian Profile Support Guidance</w:t>
        </w:r>
      </w:hyperlink>
      <w:r w:rsidRPr="00414C8E">
        <w:rPr>
          <w:rFonts w:ascii="Arial" w:hAnsi="Arial" w:cs="Arial"/>
          <w:sz w:val="22"/>
          <w:szCs w:val="22"/>
        </w:rPr>
        <w:t xml:space="preserve"> (Orientations d’appui pour l’établissement de profils humanitaires) </w:t>
      </w:r>
    </w:p>
    <w:p w14:paraId="293C4DD2" w14:textId="11B8984D" w:rsidR="00E80616" w:rsidRPr="00414C8E" w:rsidRDefault="00E80616" w:rsidP="003E41FD">
      <w:pPr>
        <w:pStyle w:val="Notedebasdepage"/>
        <w:spacing w:after="180"/>
        <w:rPr>
          <w:rFonts w:ascii="Arial" w:hAnsi="Arial" w:cs="Arial"/>
          <w:sz w:val="22"/>
          <w:szCs w:val="22"/>
        </w:rPr>
      </w:pPr>
      <w:r w:rsidRPr="00414C8E">
        <w:rPr>
          <w:rFonts w:ascii="Arial" w:hAnsi="Arial" w:cs="Arial"/>
          <w:sz w:val="22"/>
          <w:szCs w:val="22"/>
        </w:rPr>
        <w:t xml:space="preserve">Partenaires mondiaux de l’IPC, 2019. </w:t>
      </w:r>
      <w:hyperlink r:id="rId54" w:history="1">
        <w:r w:rsidRPr="00414C8E">
          <w:rPr>
            <w:rStyle w:val="Lienhypertexte"/>
            <w:rFonts w:ascii="Arial" w:hAnsi="Arial" w:cs="Arial"/>
            <w:sz w:val="22"/>
            <w:szCs w:val="22"/>
          </w:rPr>
          <w:t>Manuel technique du Cadre intégré de classification de la sécurité alimentaire Version 3.0.</w:t>
        </w:r>
      </w:hyperlink>
      <w:hyperlink r:id="rId55" w:history="1">
        <w:r w:rsidRPr="00414C8E">
          <w:rPr>
            <w:rStyle w:val="Lienhypertexte"/>
            <w:rFonts w:ascii="Arial" w:hAnsi="Arial" w:cs="Arial"/>
            <w:sz w:val="22"/>
            <w:szCs w:val="22"/>
          </w:rPr>
          <w:t xml:space="preserve"> Preuves et normes pour de meilleures décisions en sécurité alimentaire et nutritionnelle</w:t>
        </w:r>
      </w:hyperlink>
    </w:p>
    <w:p w14:paraId="0982473C" w14:textId="77777777" w:rsidR="009C4575" w:rsidRPr="00414C8E" w:rsidRDefault="009C4575" w:rsidP="003E41FD">
      <w:pPr>
        <w:pStyle w:val="Notedebasdepage"/>
        <w:spacing w:after="180"/>
        <w:rPr>
          <w:rFonts w:ascii="Arial" w:hAnsi="Arial" w:cs="Arial"/>
          <w:sz w:val="22"/>
          <w:szCs w:val="22"/>
        </w:rPr>
      </w:pPr>
      <w:r w:rsidRPr="00414C8E">
        <w:rPr>
          <w:rFonts w:ascii="Arial" w:hAnsi="Arial" w:cs="Arial"/>
          <w:sz w:val="22"/>
          <w:szCs w:val="22"/>
        </w:rPr>
        <w:t xml:space="preserve">OCHA, 2019. </w:t>
      </w:r>
      <w:hyperlink r:id="rId56" w:history="1">
        <w:r w:rsidRPr="00414C8E">
          <w:rPr>
            <w:rStyle w:val="Lienhypertexte"/>
            <w:rFonts w:ascii="Arial" w:hAnsi="Arial" w:cs="Arial"/>
            <w:sz w:val="22"/>
            <w:szCs w:val="22"/>
          </w:rPr>
          <w:t>Step-by-step Practical Guide for Humanitarian Needs Overviews, Humanitarian Response Plans and Updates</w:t>
        </w:r>
      </w:hyperlink>
      <w:r w:rsidRPr="00414C8E">
        <w:rPr>
          <w:rFonts w:ascii="Arial" w:hAnsi="Arial" w:cs="Arial"/>
          <w:sz w:val="22"/>
          <w:szCs w:val="22"/>
        </w:rPr>
        <w:t xml:space="preserve"> (Guide pratique pas-à-pas pour les aperçus des besoins humanitaires, les plans de réponse humanitaire et les mises à jour) </w:t>
      </w:r>
    </w:p>
    <w:p w14:paraId="65F38962" w14:textId="71B7816F" w:rsidR="00493FAE" w:rsidRPr="00414C8E" w:rsidRDefault="00493FAE" w:rsidP="003E41FD">
      <w:pPr>
        <w:pStyle w:val="Notedebasdepage"/>
        <w:spacing w:after="180"/>
        <w:rPr>
          <w:rFonts w:ascii="Arial" w:hAnsi="Arial" w:cs="Arial"/>
          <w:sz w:val="22"/>
          <w:szCs w:val="22"/>
          <w:lang w:val="en-US"/>
        </w:rPr>
      </w:pPr>
      <w:r w:rsidRPr="00414C8E">
        <w:rPr>
          <w:rFonts w:ascii="Arial" w:hAnsi="Arial" w:cs="Arial"/>
          <w:sz w:val="22"/>
          <w:szCs w:val="22"/>
          <w:lang w:val="en-US"/>
        </w:rPr>
        <w:t xml:space="preserve">Olofin I, McDonald CM, Ezzati M, Flaxman S, Black RE, et al., 2013. </w:t>
      </w:r>
      <w:hyperlink r:id="rId57" w:history="1">
        <w:r w:rsidRPr="00414C8E">
          <w:rPr>
            <w:rStyle w:val="Lienhypertexte"/>
            <w:rFonts w:ascii="Arial" w:hAnsi="Arial" w:cs="Arial"/>
            <w:sz w:val="22"/>
            <w:szCs w:val="22"/>
            <w:lang w:val="en-US"/>
          </w:rPr>
          <w:t>Associations of Suboptimal Growth with All-Cause and Cause-Specific Mortality in Children under Five Years:</w:t>
        </w:r>
      </w:hyperlink>
      <w:hyperlink r:id="rId58" w:history="1">
        <w:r w:rsidRPr="00414C8E">
          <w:rPr>
            <w:rStyle w:val="Lienhypertexte"/>
            <w:rFonts w:ascii="Arial" w:hAnsi="Arial" w:cs="Arial"/>
            <w:sz w:val="22"/>
            <w:szCs w:val="22"/>
            <w:lang w:val="en-US"/>
          </w:rPr>
          <w:t xml:space="preserve"> A Pooled Analysis of Ten Prospective Studies</w:t>
        </w:r>
      </w:hyperlink>
      <w:r w:rsidRPr="00414C8E">
        <w:rPr>
          <w:rFonts w:ascii="Arial" w:hAnsi="Arial" w:cs="Arial"/>
          <w:sz w:val="22"/>
          <w:szCs w:val="22"/>
          <w:lang w:val="en-US"/>
        </w:rPr>
        <w:t xml:space="preserve"> </w:t>
      </w:r>
    </w:p>
    <w:p w14:paraId="4AEA6478" w14:textId="17D3BC72" w:rsidR="00BE614E" w:rsidRPr="00414C8E" w:rsidRDefault="00BE614E" w:rsidP="003E41FD">
      <w:pPr>
        <w:pStyle w:val="Notedebasdepage"/>
        <w:spacing w:after="180"/>
        <w:rPr>
          <w:rFonts w:ascii="Arial" w:hAnsi="Arial" w:cs="Arial"/>
          <w:sz w:val="22"/>
          <w:szCs w:val="22"/>
        </w:rPr>
      </w:pPr>
      <w:r w:rsidRPr="00414C8E">
        <w:rPr>
          <w:rFonts w:ascii="Arial" w:hAnsi="Arial" w:cs="Arial"/>
          <w:sz w:val="22"/>
          <w:szCs w:val="22"/>
        </w:rPr>
        <w:t xml:space="preserve">Association Sphère, 2018. </w:t>
      </w:r>
      <w:hyperlink r:id="rId59" w:history="1">
        <w:r w:rsidRPr="00414C8E">
          <w:rPr>
            <w:rStyle w:val="Lienhypertexte"/>
            <w:rFonts w:ascii="Arial" w:hAnsi="Arial" w:cs="Arial"/>
            <w:sz w:val="22"/>
            <w:szCs w:val="22"/>
          </w:rPr>
          <w:t>Le Manuel Sphère :</w:t>
        </w:r>
      </w:hyperlink>
      <w:hyperlink r:id="rId60" w:history="1">
        <w:r w:rsidRPr="00414C8E">
          <w:rPr>
            <w:rStyle w:val="Lienhypertexte"/>
            <w:rFonts w:ascii="Arial" w:hAnsi="Arial" w:cs="Arial"/>
            <w:sz w:val="22"/>
            <w:szCs w:val="22"/>
          </w:rPr>
          <w:t xml:space="preserve"> La Charte humanitaire et les Standards minimum</w:t>
        </w:r>
        <w:r w:rsidR="00BD300D">
          <w:rPr>
            <w:rStyle w:val="Lienhypertexte"/>
            <w:rFonts w:ascii="Arial" w:hAnsi="Arial" w:cs="Arial"/>
            <w:sz w:val="22"/>
            <w:szCs w:val="22"/>
          </w:rPr>
          <w:t>s</w:t>
        </w:r>
        <w:r w:rsidRPr="00414C8E">
          <w:rPr>
            <w:rStyle w:val="Lienhypertexte"/>
            <w:rFonts w:ascii="Arial" w:hAnsi="Arial" w:cs="Arial"/>
            <w:sz w:val="22"/>
            <w:szCs w:val="22"/>
          </w:rPr>
          <w:t xml:space="preserve"> de l’intervention humanitaire – Chapitre 6 :</w:t>
        </w:r>
      </w:hyperlink>
      <w:hyperlink r:id="rId61" w:history="1">
        <w:r w:rsidRPr="00414C8E">
          <w:rPr>
            <w:rStyle w:val="Lienhypertexte"/>
            <w:rFonts w:ascii="Arial" w:hAnsi="Arial" w:cs="Arial"/>
            <w:sz w:val="22"/>
            <w:szCs w:val="22"/>
          </w:rPr>
          <w:t xml:space="preserve"> Sécurité alimentaire et nutrition, quatrième édition</w:t>
        </w:r>
      </w:hyperlink>
      <w:r w:rsidRPr="00414C8E">
        <w:rPr>
          <w:rFonts w:ascii="Arial" w:hAnsi="Arial" w:cs="Arial"/>
          <w:sz w:val="22"/>
          <w:szCs w:val="22"/>
        </w:rPr>
        <w:t xml:space="preserve"> </w:t>
      </w:r>
    </w:p>
    <w:p w14:paraId="1D1D30B4" w14:textId="5C64D9D2" w:rsidR="00274249" w:rsidRPr="00414C8E" w:rsidRDefault="00274249" w:rsidP="003E41FD">
      <w:pPr>
        <w:pStyle w:val="Notedebasdepage"/>
        <w:spacing w:after="180"/>
        <w:rPr>
          <w:rStyle w:val="Lienhypertexte"/>
          <w:rFonts w:ascii="Arial" w:hAnsi="Arial" w:cs="Arial"/>
          <w:sz w:val="22"/>
          <w:szCs w:val="22"/>
        </w:rPr>
      </w:pPr>
      <w:r w:rsidRPr="00414C8E">
        <w:rPr>
          <w:rFonts w:ascii="Arial" w:hAnsi="Arial" w:cs="Arial"/>
          <w:sz w:val="22"/>
          <w:szCs w:val="22"/>
        </w:rPr>
        <w:t xml:space="preserve">Sphère, 2019. </w:t>
      </w:r>
      <w:hyperlink r:id="rId62" w:history="1">
        <w:r w:rsidRPr="00414C8E">
          <w:rPr>
            <w:rStyle w:val="Lienhypertexte"/>
            <w:rFonts w:ascii="Arial" w:hAnsi="Arial" w:cs="Arial"/>
            <w:sz w:val="22"/>
            <w:szCs w:val="22"/>
          </w:rPr>
          <w:t>Glossaire Sphère</w:t>
        </w:r>
      </w:hyperlink>
    </w:p>
    <w:p w14:paraId="03E22C75" w14:textId="5F24DB7B" w:rsidR="00274249" w:rsidRPr="00414C8E" w:rsidRDefault="00274249" w:rsidP="003E41FD">
      <w:pPr>
        <w:widowControl w:val="0"/>
        <w:pBdr>
          <w:top w:val="nil"/>
          <w:left w:val="nil"/>
          <w:bottom w:val="nil"/>
          <w:right w:val="nil"/>
          <w:between w:val="nil"/>
        </w:pBdr>
        <w:spacing w:after="180"/>
        <w:jc w:val="both"/>
        <w:rPr>
          <w:rFonts w:ascii="Arial" w:hAnsi="Arial" w:cs="Arial"/>
          <w:sz w:val="22"/>
          <w:szCs w:val="22"/>
          <w:lang w:val="en-US"/>
        </w:rPr>
      </w:pPr>
      <w:r w:rsidRPr="00414C8E">
        <w:rPr>
          <w:rFonts w:ascii="Arial" w:hAnsi="Arial" w:cs="Arial"/>
          <w:sz w:val="22"/>
          <w:szCs w:val="22"/>
        </w:rPr>
        <w:t xml:space="preserve">The Lancet, 2013. </w:t>
      </w:r>
      <w:hyperlink r:id="rId63" w:history="1">
        <w:r w:rsidRPr="00414C8E">
          <w:rPr>
            <w:rStyle w:val="Lienhypertexte"/>
            <w:rFonts w:ascii="Arial" w:hAnsi="Arial" w:cs="Arial"/>
            <w:sz w:val="22"/>
            <w:szCs w:val="22"/>
            <w:lang w:val="en-US"/>
          </w:rPr>
          <w:t xml:space="preserve">Executive Summary of </w:t>
        </w:r>
        <w:r w:rsidRPr="00414C8E">
          <w:rPr>
            <w:rStyle w:val="Lienhypertexte"/>
            <w:rFonts w:ascii="Arial" w:hAnsi="Arial" w:cs="Arial"/>
            <w:i/>
            <w:sz w:val="22"/>
            <w:szCs w:val="22"/>
            <w:lang w:val="en-US"/>
          </w:rPr>
          <w:t>The Lancet</w:t>
        </w:r>
        <w:r w:rsidRPr="00414C8E">
          <w:rPr>
            <w:rStyle w:val="Lienhypertexte"/>
            <w:rFonts w:ascii="Arial" w:hAnsi="Arial" w:cs="Arial"/>
            <w:sz w:val="22"/>
            <w:szCs w:val="22"/>
            <w:lang w:val="en-US"/>
          </w:rPr>
          <w:t xml:space="preserve"> Maternal and Child Nutrition Series</w:t>
        </w:r>
      </w:hyperlink>
    </w:p>
    <w:p w14:paraId="16D0276C" w14:textId="6A203217" w:rsidR="005F1726" w:rsidRPr="00414C8E" w:rsidRDefault="005F1726" w:rsidP="003E41FD">
      <w:pPr>
        <w:pStyle w:val="Notedebasdepage"/>
        <w:spacing w:after="180"/>
        <w:rPr>
          <w:rFonts w:ascii="Arial" w:hAnsi="Arial" w:cs="Arial"/>
          <w:sz w:val="22"/>
          <w:szCs w:val="22"/>
        </w:rPr>
      </w:pPr>
      <w:r w:rsidRPr="0009769E">
        <w:rPr>
          <w:rFonts w:ascii="Arial" w:hAnsi="Arial" w:cs="Arial"/>
          <w:sz w:val="22"/>
          <w:szCs w:val="22"/>
          <w:lang w:val="en-GB"/>
        </w:rPr>
        <w:lastRenderedPageBreak/>
        <w:t xml:space="preserve">UNICEF, 2013. </w:t>
      </w:r>
      <w:hyperlink r:id="rId64" w:history="1">
        <w:r w:rsidRPr="00414C8E">
          <w:rPr>
            <w:rStyle w:val="Lienhypertexte"/>
            <w:rFonts w:ascii="Arial" w:hAnsi="Arial" w:cs="Arial"/>
            <w:sz w:val="22"/>
            <w:szCs w:val="22"/>
          </w:rPr>
          <w:t>Global SAM Management Update – Summary of findings</w:t>
        </w:r>
      </w:hyperlink>
      <w:r w:rsidRPr="00414C8E">
        <w:rPr>
          <w:rFonts w:ascii="Arial" w:hAnsi="Arial" w:cs="Arial"/>
          <w:sz w:val="22"/>
          <w:szCs w:val="22"/>
        </w:rPr>
        <w:t xml:space="preserve"> (Mise à jour sur la gestion de la malnutrition aiguë sévère globale – résumé des conclusions)</w:t>
      </w:r>
    </w:p>
    <w:p w14:paraId="4A852670" w14:textId="702E822E" w:rsidR="00DB6DA9" w:rsidRPr="00414C8E" w:rsidRDefault="00DB6DA9" w:rsidP="003E41FD">
      <w:pPr>
        <w:pStyle w:val="Notedebasdepage"/>
        <w:spacing w:after="180"/>
        <w:rPr>
          <w:rFonts w:ascii="Arial" w:hAnsi="Arial" w:cs="Arial"/>
          <w:sz w:val="22"/>
          <w:szCs w:val="22"/>
        </w:rPr>
      </w:pPr>
      <w:r w:rsidRPr="00414C8E">
        <w:rPr>
          <w:rFonts w:ascii="Arial" w:hAnsi="Arial" w:cs="Arial"/>
          <w:sz w:val="22"/>
          <w:szCs w:val="22"/>
        </w:rPr>
        <w:t xml:space="preserve">OMS, 1999. </w:t>
      </w:r>
      <w:hyperlink r:id="rId65" w:history="1">
        <w:r w:rsidRPr="00414C8E">
          <w:rPr>
            <w:rStyle w:val="Lienhypertexte"/>
            <w:rFonts w:ascii="Arial" w:hAnsi="Arial" w:cs="Arial"/>
            <w:sz w:val="22"/>
            <w:szCs w:val="22"/>
          </w:rPr>
          <w:t>Rapid health assessment protocols for emergencies</w:t>
        </w:r>
      </w:hyperlink>
      <w:r w:rsidRPr="00414C8E">
        <w:rPr>
          <w:rFonts w:ascii="Arial" w:hAnsi="Arial" w:cs="Arial"/>
          <w:sz w:val="22"/>
          <w:szCs w:val="22"/>
        </w:rPr>
        <w:t xml:space="preserve"> (Protocoles d’évaluation rapide de la santé pour les situations d’urgence)</w:t>
      </w:r>
    </w:p>
    <w:p w14:paraId="7120661C" w14:textId="43451925" w:rsidR="00E80616" w:rsidRPr="00414C8E" w:rsidRDefault="00E80616" w:rsidP="003E41FD">
      <w:pPr>
        <w:pStyle w:val="Notedebasdepage"/>
        <w:spacing w:after="180"/>
        <w:rPr>
          <w:rStyle w:val="Lienhypertexte"/>
          <w:rFonts w:ascii="Arial" w:hAnsi="Arial" w:cs="Arial"/>
          <w:color w:val="4472C4" w:themeColor="accent5"/>
          <w:sz w:val="22"/>
          <w:szCs w:val="22"/>
        </w:rPr>
      </w:pPr>
      <w:r w:rsidRPr="00414C8E">
        <w:rPr>
          <w:rFonts w:ascii="Arial" w:hAnsi="Arial" w:cs="Arial"/>
          <w:sz w:val="22"/>
          <w:szCs w:val="22"/>
        </w:rPr>
        <w:t>OMS, 2000.</w:t>
      </w:r>
      <w:r w:rsidRPr="00414C8E">
        <w:rPr>
          <w:rFonts w:ascii="Arial" w:hAnsi="Arial" w:cs="Arial"/>
          <w:color w:val="4472C4" w:themeColor="accent5"/>
          <w:sz w:val="22"/>
          <w:szCs w:val="22"/>
        </w:rPr>
        <w:t xml:space="preserve"> </w:t>
      </w:r>
      <w:hyperlink r:id="rId66" w:history="1">
        <w:r w:rsidRPr="00414C8E">
          <w:rPr>
            <w:rStyle w:val="Lienhypertexte"/>
            <w:rFonts w:ascii="Arial" w:hAnsi="Arial" w:cs="Arial"/>
            <w:color w:val="4472C4" w:themeColor="accent5"/>
            <w:sz w:val="22"/>
            <w:szCs w:val="22"/>
          </w:rPr>
          <w:t xml:space="preserve">The management of nutrition in major emergencies – Annex </w:t>
        </w:r>
        <w:proofErr w:type="gramStart"/>
        <w:r w:rsidRPr="00414C8E">
          <w:rPr>
            <w:rStyle w:val="Lienhypertexte"/>
            <w:rFonts w:ascii="Arial" w:hAnsi="Arial" w:cs="Arial"/>
            <w:color w:val="4472C4" w:themeColor="accent5"/>
            <w:sz w:val="22"/>
            <w:szCs w:val="22"/>
          </w:rPr>
          <w:t>1:</w:t>
        </w:r>
        <w:proofErr w:type="gramEnd"/>
      </w:hyperlink>
      <w:hyperlink r:id="rId67" w:history="1">
        <w:r w:rsidRPr="00414C8E">
          <w:rPr>
            <w:rStyle w:val="Lienhypertexte"/>
            <w:rFonts w:ascii="Arial" w:hAnsi="Arial" w:cs="Arial"/>
            <w:color w:val="4472C4" w:themeColor="accent5"/>
            <w:sz w:val="22"/>
            <w:szCs w:val="22"/>
          </w:rPr>
          <w:t xml:space="preserve"> Energy requirements for emergency-affected populations</w:t>
        </w:r>
      </w:hyperlink>
      <w:r w:rsidRPr="00414C8E">
        <w:rPr>
          <w:rFonts w:ascii="Arial" w:hAnsi="Arial" w:cs="Arial"/>
          <w:sz w:val="22"/>
          <w:szCs w:val="22"/>
        </w:rPr>
        <w:t xml:space="preserve"> (La gestion de la nutrition dans les situations d’urgence majeures – Annexe 1 : Les besoins énergétiques pour les populations touchées par une situation d’urgence)</w:t>
      </w:r>
    </w:p>
    <w:p w14:paraId="02FA2EB2" w14:textId="77777777" w:rsidR="00066E1F" w:rsidRPr="00414C8E" w:rsidRDefault="00066E1F" w:rsidP="003E41FD">
      <w:pPr>
        <w:pStyle w:val="Notedebasdepage"/>
        <w:spacing w:after="180"/>
        <w:rPr>
          <w:rFonts w:ascii="Arial" w:hAnsi="Arial" w:cs="Arial"/>
          <w:sz w:val="22"/>
          <w:szCs w:val="22"/>
        </w:rPr>
      </w:pPr>
      <w:r w:rsidRPr="00414C8E">
        <w:rPr>
          <w:rFonts w:ascii="Arial" w:hAnsi="Arial" w:cs="Arial"/>
          <w:sz w:val="22"/>
          <w:szCs w:val="22"/>
        </w:rPr>
        <w:t xml:space="preserve">OMS, 2016. </w:t>
      </w:r>
      <w:hyperlink r:id="rId68" w:history="1">
        <w:r w:rsidRPr="00414C8E">
          <w:rPr>
            <w:rStyle w:val="Lienhypertexte"/>
            <w:rFonts w:ascii="Arial" w:hAnsi="Arial" w:cs="Arial"/>
            <w:sz w:val="22"/>
            <w:szCs w:val="22"/>
          </w:rPr>
          <w:t>Obésité et surpoids.</w:t>
        </w:r>
      </w:hyperlink>
      <w:hyperlink r:id="rId69" w:history="1">
        <w:r w:rsidRPr="00414C8E">
          <w:rPr>
            <w:rStyle w:val="Lienhypertexte"/>
            <w:rFonts w:ascii="Arial" w:hAnsi="Arial" w:cs="Arial"/>
            <w:sz w:val="22"/>
            <w:szCs w:val="22"/>
          </w:rPr>
          <w:t xml:space="preserve"> Fiche d’information</w:t>
        </w:r>
      </w:hyperlink>
      <w:r w:rsidRPr="00414C8E">
        <w:rPr>
          <w:rFonts w:ascii="Arial" w:hAnsi="Arial" w:cs="Arial"/>
          <w:sz w:val="22"/>
          <w:szCs w:val="22"/>
        </w:rPr>
        <w:t xml:space="preserve"> </w:t>
      </w:r>
    </w:p>
    <w:p w14:paraId="52DE1324" w14:textId="4CE272CA" w:rsidR="00ED3143" w:rsidRPr="00414C8E" w:rsidRDefault="00ED3143" w:rsidP="003E41FD">
      <w:pPr>
        <w:pStyle w:val="Notedebasdepage"/>
        <w:spacing w:after="180"/>
        <w:rPr>
          <w:rStyle w:val="Lienhypertexte"/>
          <w:rFonts w:ascii="Arial" w:hAnsi="Arial" w:cs="Arial"/>
          <w:sz w:val="22"/>
          <w:szCs w:val="22"/>
        </w:rPr>
      </w:pPr>
      <w:r w:rsidRPr="00414C8E">
        <w:rPr>
          <w:rFonts w:ascii="Arial" w:hAnsi="Arial" w:cs="Arial"/>
          <w:sz w:val="22"/>
          <w:szCs w:val="22"/>
        </w:rPr>
        <w:t xml:space="preserve">OMS, 2019. </w:t>
      </w:r>
      <w:hyperlink r:id="rId70" w:history="1">
        <w:r w:rsidRPr="00414C8E">
          <w:rPr>
            <w:rStyle w:val="Lienhypertexte"/>
            <w:rFonts w:ascii="Arial" w:hAnsi="Arial" w:cs="Arial"/>
            <w:sz w:val="22"/>
            <w:szCs w:val="22"/>
          </w:rPr>
          <w:t xml:space="preserve">Essential nutrition </w:t>
        </w:r>
        <w:proofErr w:type="gramStart"/>
        <w:r w:rsidRPr="00414C8E">
          <w:rPr>
            <w:rStyle w:val="Lienhypertexte"/>
            <w:rFonts w:ascii="Arial" w:hAnsi="Arial" w:cs="Arial"/>
            <w:sz w:val="22"/>
            <w:szCs w:val="22"/>
          </w:rPr>
          <w:t>actions:</w:t>
        </w:r>
        <w:proofErr w:type="gramEnd"/>
        <w:r w:rsidRPr="00414C8E">
          <w:rPr>
            <w:rStyle w:val="Lienhypertexte"/>
            <w:rFonts w:ascii="Arial" w:hAnsi="Arial" w:cs="Arial"/>
            <w:sz w:val="22"/>
            <w:szCs w:val="22"/>
          </w:rPr>
          <w:t xml:space="preserve"> mainstreaming nutrition through the life-course</w:t>
        </w:r>
      </w:hyperlink>
      <w:r w:rsidRPr="00414C8E">
        <w:rPr>
          <w:rFonts w:ascii="Arial" w:hAnsi="Arial" w:cs="Arial"/>
          <w:sz w:val="22"/>
          <w:szCs w:val="22"/>
        </w:rPr>
        <w:t xml:space="preserve"> (Actions essentielles en faveur de la nutrition : intégration de la nutrition dans le cycle de vie)</w:t>
      </w:r>
    </w:p>
    <w:p w14:paraId="2C9139ED" w14:textId="77777777" w:rsidR="00ED3143" w:rsidRPr="00CA2973" w:rsidRDefault="00ED3143" w:rsidP="00E80616">
      <w:pPr>
        <w:pStyle w:val="Notedebasdepage"/>
        <w:rPr>
          <w:rFonts w:ascii="Arial" w:hAnsi="Arial" w:cs="Arial"/>
          <w:color w:val="FF0000"/>
          <w:sz w:val="24"/>
          <w:szCs w:val="24"/>
        </w:rPr>
      </w:pPr>
    </w:p>
    <w:p w14:paraId="5A680E84" w14:textId="77777777" w:rsidR="00216EB8" w:rsidRPr="00CA2973" w:rsidRDefault="00304760" w:rsidP="00216EB8">
      <w:pPr>
        <w:pStyle w:val="Titre2"/>
        <w:rPr>
          <w:rFonts w:ascii="Arial" w:hAnsi="Arial" w:cs="Arial"/>
          <w:b/>
          <w:color w:val="000000"/>
          <w:sz w:val="24"/>
          <w:szCs w:val="24"/>
        </w:rPr>
      </w:pPr>
      <w:bookmarkStart w:id="23" w:name="_Toc90559368"/>
      <w:r>
        <w:rPr>
          <w:rFonts w:ascii="Arial" w:hAnsi="Arial"/>
          <w:b/>
          <w:color w:val="000000"/>
          <w:sz w:val="24"/>
        </w:rPr>
        <w:t>Annexe 1 : Principales composantes du Cadre conceptuel du JIAF</w:t>
      </w:r>
      <w:bookmarkEnd w:id="23"/>
    </w:p>
    <w:p w14:paraId="6501BA7D" w14:textId="77777777" w:rsidR="00BB0C61" w:rsidRPr="00CA2973" w:rsidRDefault="00550D39" w:rsidP="00550D39">
      <w:pPr>
        <w:jc w:val="both"/>
        <w:rPr>
          <w:rFonts w:ascii="Arial" w:hAnsi="Arial" w:cs="Arial"/>
        </w:rPr>
      </w:pPr>
      <w:r>
        <w:rPr>
          <w:rFonts w:ascii="Arial" w:hAnsi="Arial"/>
        </w:rPr>
        <w:t>Le JIAF s’articule autour de cinq piliers principaux qui, chacun, contiennent différents sous-piliers. L’objectif principal des piliers et des sous-piliers est d’aider à organiser l’information, à visualiser les relations et à apporter une structure cohérente à l’analyse. En d’autres termes, le JIAF doit aider à cadrer l’histoire d’une population touchée par un choc d’une manière cohérente et complète. Une représentation visuelle du JIAF est proposée ci-dessous :</w:t>
      </w:r>
    </w:p>
    <w:p w14:paraId="0E5C33C4" w14:textId="1680BA9C" w:rsidR="00BB0C61" w:rsidRDefault="004D28C7" w:rsidP="00550D39">
      <w:pPr>
        <w:jc w:val="center"/>
      </w:pPr>
      <w:r>
        <w:rPr>
          <w:noProof/>
        </w:rPr>
        <w:lastRenderedPageBreak/>
        <w:drawing>
          <wp:inline distT="0" distB="0" distL="0" distR="0" wp14:anchorId="39C96B66" wp14:editId="2CFB2C5F">
            <wp:extent cx="4234996" cy="6730264"/>
            <wp:effectExtent l="0" t="0" r="0" b="0"/>
            <wp:docPr id="9" name="Picture 6">
              <a:extLst xmlns:a="http://schemas.openxmlformats.org/drawingml/2006/main">
                <a:ext uri="{FF2B5EF4-FFF2-40B4-BE49-F238E27FC236}">
                  <a16:creationId xmlns:a16="http://schemas.microsoft.com/office/drawing/2014/main" id="{B76A2213-ADAF-4DF7-A6A9-332EEFA6E3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76A2213-ADAF-4DF7-A6A9-332EEFA6E3EB}"/>
                        </a:ext>
                      </a:extLst>
                    </pic:cNvPr>
                    <pic:cNvPicPr>
                      <a:picLocks noChangeAspect="1"/>
                    </pic:cNvPicPr>
                  </pic:nvPicPr>
                  <pic:blipFill>
                    <a:blip r:embed="rId71">
                      <a:extLst>
                        <a:ext uri="{28A0092B-C50C-407E-A947-70E740481C1C}">
                          <a14:useLocalDpi xmlns:a14="http://schemas.microsoft.com/office/drawing/2010/main" val="0"/>
                        </a:ext>
                      </a:extLst>
                    </a:blip>
                    <a:stretch>
                      <a:fillRect/>
                    </a:stretch>
                  </pic:blipFill>
                  <pic:spPr>
                    <a:xfrm>
                      <a:off x="0" y="0"/>
                      <a:ext cx="4234996" cy="6730264"/>
                    </a:xfrm>
                    <a:prstGeom prst="rect">
                      <a:avLst/>
                    </a:prstGeom>
                  </pic:spPr>
                </pic:pic>
              </a:graphicData>
            </a:graphic>
          </wp:inline>
        </w:drawing>
      </w:r>
    </w:p>
    <w:p w14:paraId="023A9E54" w14:textId="5975C7D9" w:rsidR="00550D39" w:rsidRPr="00550D39" w:rsidRDefault="00550D39" w:rsidP="00550D39">
      <w:pPr>
        <w:spacing w:after="200"/>
        <w:jc w:val="both"/>
        <w:rPr>
          <w:rFonts w:ascii="Arial" w:hAnsi="Arial" w:cs="Arial"/>
        </w:rPr>
      </w:pPr>
      <w:r>
        <w:rPr>
          <w:rFonts w:ascii="Arial" w:hAnsi="Arial"/>
        </w:rPr>
        <w:t>Les piliers du JIAF sont décrits ci-dessous :</w:t>
      </w:r>
    </w:p>
    <w:p w14:paraId="1DD8B1DE" w14:textId="2E67832F" w:rsidR="00550D39" w:rsidRPr="00550D39" w:rsidRDefault="00550D39" w:rsidP="00550D39">
      <w:pPr>
        <w:widowControl w:val="0"/>
        <w:spacing w:after="200"/>
        <w:jc w:val="both"/>
        <w:rPr>
          <w:rFonts w:ascii="Arial" w:hAnsi="Arial" w:cs="Arial"/>
        </w:rPr>
      </w:pPr>
      <w:r>
        <w:rPr>
          <w:rFonts w:ascii="Arial" w:hAnsi="Arial"/>
          <w:b/>
        </w:rPr>
        <w:t xml:space="preserve">Contexte : </w:t>
      </w:r>
      <w:r>
        <w:rPr>
          <w:rFonts w:ascii="Arial" w:hAnsi="Arial"/>
        </w:rPr>
        <w:t xml:space="preserve">Le </w:t>
      </w:r>
      <w:r w:rsidR="004D28C7">
        <w:rPr>
          <w:rFonts w:ascii="Arial" w:hAnsi="Arial"/>
        </w:rPr>
        <w:t>pilier «</w:t>
      </w:r>
      <w:r w:rsidR="00E66974">
        <w:rPr>
          <w:rFonts w:ascii="Arial" w:hAnsi="Arial"/>
        </w:rPr>
        <w:t> </w:t>
      </w:r>
      <w:r w:rsidR="004D28C7">
        <w:rPr>
          <w:rFonts w:ascii="Arial" w:hAnsi="Arial"/>
        </w:rPr>
        <w:t>C</w:t>
      </w:r>
      <w:r>
        <w:rPr>
          <w:rFonts w:ascii="Arial" w:hAnsi="Arial"/>
        </w:rPr>
        <w:t>ontexte</w:t>
      </w:r>
      <w:r w:rsidR="00E66974">
        <w:rPr>
          <w:rFonts w:ascii="Arial" w:hAnsi="Arial"/>
        </w:rPr>
        <w:t> </w:t>
      </w:r>
      <w:r w:rsidR="004D28C7">
        <w:rPr>
          <w:rFonts w:ascii="Arial" w:hAnsi="Arial"/>
        </w:rPr>
        <w:t>»</w:t>
      </w:r>
      <w:r>
        <w:rPr>
          <w:rFonts w:ascii="Arial" w:hAnsi="Arial"/>
        </w:rPr>
        <w:t xml:space="preserve"> </w:t>
      </w:r>
      <w:r w:rsidR="004D28C7">
        <w:rPr>
          <w:rFonts w:ascii="Arial" w:hAnsi="Arial"/>
        </w:rPr>
        <w:t>porte</w:t>
      </w:r>
      <w:r>
        <w:rPr>
          <w:rFonts w:ascii="Arial" w:hAnsi="Arial"/>
        </w:rPr>
        <w:t xml:space="preserve"> les caractéri</w:t>
      </w:r>
      <w:r w:rsidRPr="004D28C7">
        <w:rPr>
          <w:rFonts w:ascii="Arial" w:hAnsi="Arial" w:cs="Arial"/>
        </w:rPr>
        <w:t xml:space="preserve">stiques </w:t>
      </w:r>
      <w:r w:rsidR="00261183">
        <w:rPr>
          <w:rFonts w:ascii="Arial" w:hAnsi="Arial" w:cs="Arial"/>
        </w:rPr>
        <w:t>relatives à</w:t>
      </w:r>
      <w:r w:rsidRPr="004D28C7">
        <w:rPr>
          <w:rFonts w:ascii="Arial" w:hAnsi="Arial" w:cs="Arial"/>
        </w:rPr>
        <w:t xml:space="preserve"> l’environnement dans lequel vivent les populations </w:t>
      </w:r>
      <w:r w:rsidR="004D28C7">
        <w:rPr>
          <w:rFonts w:ascii="Arial" w:hAnsi="Arial" w:cs="Arial"/>
        </w:rPr>
        <w:t>touchées</w:t>
      </w:r>
      <w:r w:rsidRPr="004D28C7">
        <w:rPr>
          <w:rFonts w:ascii="Arial" w:hAnsi="Arial" w:cs="Arial"/>
        </w:rPr>
        <w:t>. Il comprend notamment les caractéristiques générales sur le profil politique, socioculturel, comportemental, économique</w:t>
      </w:r>
      <w:r w:rsidR="00A96573">
        <w:rPr>
          <w:rFonts w:ascii="Arial" w:hAnsi="Arial" w:cs="Arial"/>
        </w:rPr>
        <w:t>, juridique</w:t>
      </w:r>
      <w:r w:rsidR="004D28C7">
        <w:rPr>
          <w:rFonts w:ascii="Arial" w:hAnsi="Arial" w:cs="Arial"/>
        </w:rPr>
        <w:t xml:space="preserve"> et</w:t>
      </w:r>
      <w:r w:rsidRPr="004D28C7">
        <w:rPr>
          <w:rFonts w:ascii="Arial" w:hAnsi="Arial" w:cs="Arial"/>
        </w:rPr>
        <w:t xml:space="preserve"> au niveau des technologies, </w:t>
      </w:r>
      <w:r w:rsidR="00A96573">
        <w:rPr>
          <w:rFonts w:ascii="Arial" w:hAnsi="Arial" w:cs="Arial"/>
        </w:rPr>
        <w:t>de la démographie</w:t>
      </w:r>
      <w:r w:rsidRPr="004D28C7">
        <w:rPr>
          <w:rFonts w:ascii="Arial" w:hAnsi="Arial" w:cs="Arial"/>
        </w:rPr>
        <w:t>, de la sécurité, des infrastructures publiques (c’est-à-dire, les écoles, les hôpitaux, les installations de traitement de l’eau, etc.), de la prestation de services et de l’e</w:t>
      </w:r>
      <w:r>
        <w:rPr>
          <w:rFonts w:ascii="Arial" w:hAnsi="Arial"/>
        </w:rPr>
        <w:t xml:space="preserve">nvironnement. Le pilier </w:t>
      </w:r>
      <w:r w:rsidR="006239B0">
        <w:rPr>
          <w:rFonts w:ascii="Arial" w:hAnsi="Arial"/>
        </w:rPr>
        <w:t>«</w:t>
      </w:r>
      <w:r w:rsidR="00E66974">
        <w:rPr>
          <w:rFonts w:ascii="Arial" w:hAnsi="Arial"/>
        </w:rPr>
        <w:t> </w:t>
      </w:r>
      <w:r w:rsidR="006239B0">
        <w:rPr>
          <w:rFonts w:ascii="Arial" w:hAnsi="Arial"/>
        </w:rPr>
        <w:t>C</w:t>
      </w:r>
      <w:r>
        <w:rPr>
          <w:rFonts w:ascii="Arial" w:hAnsi="Arial"/>
        </w:rPr>
        <w:t>ontexte</w:t>
      </w:r>
      <w:r w:rsidR="00E66974">
        <w:rPr>
          <w:rFonts w:ascii="Arial" w:hAnsi="Arial"/>
        </w:rPr>
        <w:t> </w:t>
      </w:r>
      <w:r w:rsidR="006239B0">
        <w:rPr>
          <w:rFonts w:ascii="Arial" w:hAnsi="Arial"/>
        </w:rPr>
        <w:t>»</w:t>
      </w:r>
      <w:r>
        <w:rPr>
          <w:rFonts w:ascii="Arial" w:hAnsi="Arial"/>
        </w:rPr>
        <w:t xml:space="preserve"> devrait </w:t>
      </w:r>
      <w:r>
        <w:rPr>
          <w:rFonts w:ascii="Arial" w:hAnsi="Arial"/>
        </w:rPr>
        <w:lastRenderedPageBreak/>
        <w:t xml:space="preserve">indiquer clairement le nombre total de personnes dans les zones géographiques couvertes ainsi que les principales caractéristiques démographiques – par exemple, la répartition selon le genre et l’âge, la taille moyenne des familles, etc. –, </w:t>
      </w:r>
      <w:r w:rsidR="00261183">
        <w:rPr>
          <w:rFonts w:ascii="Arial" w:hAnsi="Arial"/>
        </w:rPr>
        <w:t>comme définis dans</w:t>
      </w:r>
      <w:r>
        <w:rPr>
          <w:rFonts w:ascii="Arial" w:hAnsi="Arial"/>
        </w:rPr>
        <w:t xml:space="preserve"> les </w:t>
      </w:r>
      <w:hyperlink r:id="rId72">
        <w:r>
          <w:rPr>
            <w:rFonts w:ascii="Arial" w:hAnsi="Arial"/>
            <w:color w:val="1155CC"/>
            <w:u w:val="single"/>
          </w:rPr>
          <w:t>Orientations d’appui 2016 de l’IASC pour l’établissement de profils humanitaires</w:t>
        </w:r>
      </w:hyperlink>
      <w:r>
        <w:rPr>
          <w:rFonts w:ascii="Arial" w:hAnsi="Arial"/>
        </w:rPr>
        <w:t>.</w:t>
      </w:r>
    </w:p>
    <w:p w14:paraId="1D2C51B8" w14:textId="646FF886" w:rsidR="00550D39" w:rsidRPr="00550D39" w:rsidRDefault="00550D39" w:rsidP="00550D39">
      <w:pPr>
        <w:widowControl w:val="0"/>
        <w:spacing w:before="200" w:after="200"/>
        <w:jc w:val="both"/>
        <w:rPr>
          <w:rFonts w:ascii="Arial" w:hAnsi="Arial" w:cs="Arial"/>
          <w:b/>
        </w:rPr>
      </w:pPr>
      <w:r>
        <w:rPr>
          <w:rFonts w:ascii="Arial" w:hAnsi="Arial"/>
          <w:b/>
        </w:rPr>
        <w:t xml:space="preserve">Choc/événement : </w:t>
      </w:r>
      <w:r w:rsidR="0092223B">
        <w:rPr>
          <w:rFonts w:ascii="Arial" w:hAnsi="Arial"/>
        </w:rPr>
        <w:t>Le pilier «</w:t>
      </w:r>
      <w:r w:rsidR="00E66974">
        <w:rPr>
          <w:rFonts w:ascii="Arial" w:hAnsi="Arial"/>
        </w:rPr>
        <w:t> </w:t>
      </w:r>
      <w:r w:rsidR="0092223B">
        <w:rPr>
          <w:rFonts w:ascii="Arial" w:hAnsi="Arial"/>
        </w:rPr>
        <w:t>C</w:t>
      </w:r>
      <w:r>
        <w:rPr>
          <w:rFonts w:ascii="Arial" w:hAnsi="Arial"/>
        </w:rPr>
        <w:t>hoc/événement</w:t>
      </w:r>
      <w:r w:rsidR="00E66974">
        <w:rPr>
          <w:rFonts w:ascii="Arial" w:hAnsi="Arial"/>
        </w:rPr>
        <w:t> </w:t>
      </w:r>
      <w:r w:rsidR="0092223B">
        <w:rPr>
          <w:rFonts w:ascii="Arial" w:hAnsi="Arial"/>
        </w:rPr>
        <w:t>»</w:t>
      </w:r>
      <w:r>
        <w:rPr>
          <w:rFonts w:ascii="Arial" w:hAnsi="Arial"/>
        </w:rPr>
        <w:t> </w:t>
      </w:r>
      <w:r w:rsidR="0092223B">
        <w:rPr>
          <w:rFonts w:ascii="Arial" w:hAnsi="Arial"/>
        </w:rPr>
        <w:t>concerne</w:t>
      </w:r>
      <w:r>
        <w:rPr>
          <w:rFonts w:ascii="Arial" w:hAnsi="Arial"/>
        </w:rPr>
        <w:t xml:space="preserve"> </w:t>
      </w:r>
      <w:r w:rsidR="0092223B">
        <w:rPr>
          <w:rFonts w:ascii="Arial" w:hAnsi="Arial"/>
        </w:rPr>
        <w:t>les</w:t>
      </w:r>
      <w:r>
        <w:rPr>
          <w:rFonts w:ascii="Arial" w:hAnsi="Arial"/>
        </w:rPr>
        <w:t xml:space="preserve"> événement</w:t>
      </w:r>
      <w:r w:rsidR="0092223B">
        <w:rPr>
          <w:rFonts w:ascii="Arial" w:hAnsi="Arial"/>
        </w:rPr>
        <w:t>s</w:t>
      </w:r>
      <w:r>
        <w:rPr>
          <w:rFonts w:ascii="Arial" w:hAnsi="Arial"/>
        </w:rPr>
        <w:t xml:space="preserve"> soudain</w:t>
      </w:r>
      <w:r w:rsidR="0092223B">
        <w:rPr>
          <w:rFonts w:ascii="Arial" w:hAnsi="Arial"/>
        </w:rPr>
        <w:t>s</w:t>
      </w:r>
      <w:r>
        <w:rPr>
          <w:rFonts w:ascii="Arial" w:hAnsi="Arial"/>
        </w:rPr>
        <w:t xml:space="preserve"> ou en cours qui perturbe</w:t>
      </w:r>
      <w:r w:rsidR="0092223B">
        <w:rPr>
          <w:rFonts w:ascii="Arial" w:hAnsi="Arial"/>
        </w:rPr>
        <w:t>nt</w:t>
      </w:r>
      <w:r>
        <w:rPr>
          <w:rFonts w:ascii="Arial" w:hAnsi="Arial"/>
        </w:rPr>
        <w:t xml:space="preserve"> </w:t>
      </w:r>
      <w:r>
        <w:rPr>
          <w:rFonts w:ascii="Arial" w:hAnsi="Arial"/>
          <w:i/>
        </w:rPr>
        <w:t>gravement</w:t>
      </w:r>
      <w:r>
        <w:rPr>
          <w:rFonts w:ascii="Arial" w:hAnsi="Arial"/>
        </w:rPr>
        <w:t xml:space="preserve"> le fonctionnement d’une communauté ou d’une société. Le JIAF vise à identifier les caractéristiques et les causes immédiates du choc, y compris </w:t>
      </w:r>
      <w:r w:rsidR="0092223B">
        <w:rPr>
          <w:rFonts w:ascii="Arial" w:hAnsi="Arial"/>
        </w:rPr>
        <w:t>son</w:t>
      </w:r>
      <w:r>
        <w:rPr>
          <w:rFonts w:ascii="Arial" w:hAnsi="Arial"/>
        </w:rPr>
        <w:t xml:space="preserve"> type, </w:t>
      </w:r>
      <w:r w:rsidR="0092223B">
        <w:rPr>
          <w:rFonts w:ascii="Arial" w:hAnsi="Arial"/>
        </w:rPr>
        <w:t xml:space="preserve">son </w:t>
      </w:r>
      <w:r>
        <w:rPr>
          <w:rFonts w:ascii="Arial" w:hAnsi="Arial"/>
        </w:rPr>
        <w:t xml:space="preserve">emplacement, </w:t>
      </w:r>
      <w:r w:rsidR="0092223B">
        <w:rPr>
          <w:rFonts w:ascii="Arial" w:hAnsi="Arial"/>
        </w:rPr>
        <w:t xml:space="preserve">son </w:t>
      </w:r>
      <w:r>
        <w:rPr>
          <w:rFonts w:ascii="Arial" w:hAnsi="Arial"/>
        </w:rPr>
        <w:t>intensité, etc. Le choc/</w:t>
      </w:r>
      <w:r w:rsidR="0092223B">
        <w:rPr>
          <w:rFonts w:ascii="Arial" w:hAnsi="Arial"/>
        </w:rPr>
        <w:t>l’</w:t>
      </w:r>
      <w:r>
        <w:rPr>
          <w:rFonts w:ascii="Arial" w:hAnsi="Arial"/>
        </w:rPr>
        <w:t>événement (sécheresse, cyclone, inondations, conflit, épidémies, etc.) et les zones d’exposition doivent être localisés géographiquement.</w:t>
      </w:r>
    </w:p>
    <w:p w14:paraId="4847AF93" w14:textId="54205EB1" w:rsidR="00550D39" w:rsidRPr="00550D39" w:rsidRDefault="00550D39" w:rsidP="00550D39">
      <w:pPr>
        <w:widowControl w:val="0"/>
        <w:spacing w:after="200"/>
        <w:rPr>
          <w:rFonts w:ascii="Arial" w:hAnsi="Arial" w:cs="Arial"/>
        </w:rPr>
      </w:pPr>
      <w:r>
        <w:rPr>
          <w:rFonts w:ascii="Arial" w:hAnsi="Arial"/>
          <w:b/>
        </w:rPr>
        <w:t xml:space="preserve">Impact : </w:t>
      </w:r>
      <w:r>
        <w:rPr>
          <w:rFonts w:ascii="Arial" w:hAnsi="Arial"/>
        </w:rPr>
        <w:t xml:space="preserve">Les principaux effets (positifs et/ou négatifs) de l’événement ou du choc sur </w:t>
      </w:r>
      <w:r w:rsidR="00261183">
        <w:rPr>
          <w:rFonts w:ascii="Arial" w:hAnsi="Arial"/>
        </w:rPr>
        <w:t>les personnes</w:t>
      </w:r>
      <w:r>
        <w:rPr>
          <w:rFonts w:ascii="Arial" w:hAnsi="Arial"/>
        </w:rPr>
        <w:t xml:space="preserve">, </w:t>
      </w:r>
      <w:r w:rsidR="00261183">
        <w:rPr>
          <w:rFonts w:ascii="Arial" w:hAnsi="Arial"/>
        </w:rPr>
        <w:t xml:space="preserve">sur </w:t>
      </w:r>
      <w:r>
        <w:rPr>
          <w:rFonts w:ascii="Arial" w:hAnsi="Arial"/>
        </w:rPr>
        <w:t>les systèmes et les services</w:t>
      </w:r>
      <w:r w:rsidR="00261183">
        <w:rPr>
          <w:rFonts w:ascii="Arial" w:hAnsi="Arial"/>
        </w:rPr>
        <w:t>,</w:t>
      </w:r>
      <w:r>
        <w:rPr>
          <w:rFonts w:ascii="Arial" w:hAnsi="Arial"/>
        </w:rPr>
        <w:t xml:space="preserve"> et </w:t>
      </w:r>
      <w:r w:rsidR="00261183">
        <w:rPr>
          <w:rFonts w:ascii="Arial" w:hAnsi="Arial"/>
        </w:rPr>
        <w:t xml:space="preserve">sur </w:t>
      </w:r>
      <w:r>
        <w:rPr>
          <w:rFonts w:ascii="Arial" w:hAnsi="Arial"/>
        </w:rPr>
        <w:t xml:space="preserve">l’accès humanitaire dans la zone touchée. </w:t>
      </w:r>
    </w:p>
    <w:p w14:paraId="012768EE" w14:textId="6522483D" w:rsidR="00550D39" w:rsidRPr="00550D39" w:rsidRDefault="00B243EC" w:rsidP="00661135">
      <w:pPr>
        <w:numPr>
          <w:ilvl w:val="0"/>
          <w:numId w:val="5"/>
        </w:numPr>
        <w:spacing w:after="200" w:line="276" w:lineRule="auto"/>
        <w:jc w:val="both"/>
        <w:rPr>
          <w:rFonts w:ascii="Arial" w:hAnsi="Arial" w:cs="Arial"/>
        </w:rPr>
      </w:pPr>
      <w:r>
        <w:rPr>
          <w:rFonts w:ascii="Arial" w:hAnsi="Arial"/>
          <w:iCs/>
        </w:rPr>
        <w:t>L’</w:t>
      </w:r>
      <w:r w:rsidR="00550D39">
        <w:rPr>
          <w:rFonts w:ascii="Arial" w:hAnsi="Arial"/>
          <w:i/>
        </w:rPr>
        <w:t xml:space="preserve">Impact sur les personnes </w:t>
      </w:r>
      <w:r>
        <w:rPr>
          <w:rFonts w:ascii="Arial" w:hAnsi="Arial"/>
        </w:rPr>
        <w:t>couvre</w:t>
      </w:r>
      <w:r w:rsidR="00550D39">
        <w:rPr>
          <w:rFonts w:ascii="Arial" w:hAnsi="Arial"/>
        </w:rPr>
        <w:t xml:space="preserve"> les problèmes liés aux déplacements, aux pertes et aux dommages </w:t>
      </w:r>
      <w:r w:rsidR="00C104FD">
        <w:rPr>
          <w:rFonts w:ascii="Arial" w:hAnsi="Arial"/>
        </w:rPr>
        <w:t xml:space="preserve">sur les </w:t>
      </w:r>
      <w:r w:rsidR="00550D39">
        <w:rPr>
          <w:rFonts w:ascii="Arial" w:hAnsi="Arial"/>
        </w:rPr>
        <w:t>biens privés</w:t>
      </w:r>
      <w:r w:rsidR="00261183">
        <w:rPr>
          <w:rFonts w:ascii="Arial" w:hAnsi="Arial"/>
        </w:rPr>
        <w:t xml:space="preserve"> ou </w:t>
      </w:r>
      <w:r w:rsidR="00C104FD">
        <w:rPr>
          <w:rFonts w:ascii="Arial" w:hAnsi="Arial"/>
        </w:rPr>
        <w:t>l</w:t>
      </w:r>
      <w:r w:rsidR="00261183">
        <w:rPr>
          <w:rFonts w:ascii="Arial" w:hAnsi="Arial"/>
        </w:rPr>
        <w:t xml:space="preserve">es </w:t>
      </w:r>
      <w:r>
        <w:rPr>
          <w:rFonts w:ascii="Arial" w:hAnsi="Arial"/>
        </w:rPr>
        <w:t>articles</w:t>
      </w:r>
      <w:r w:rsidR="00550D39">
        <w:rPr>
          <w:rFonts w:ascii="Arial" w:hAnsi="Arial"/>
        </w:rPr>
        <w:t xml:space="preserve"> non alimentaires, aux tensions au sein de la communauté, etc. Des exemples positifs peuvent comprendre des conditions favorables pour l’agriculture, un apaisement des tensions communautaires, etc. </w:t>
      </w:r>
    </w:p>
    <w:p w14:paraId="5FF133B9" w14:textId="6F3A482A" w:rsidR="00550D39" w:rsidRPr="00550D39" w:rsidRDefault="00B243EC" w:rsidP="00661135">
      <w:pPr>
        <w:numPr>
          <w:ilvl w:val="0"/>
          <w:numId w:val="5"/>
        </w:numPr>
        <w:spacing w:after="200" w:line="276" w:lineRule="auto"/>
        <w:jc w:val="both"/>
        <w:rPr>
          <w:rFonts w:ascii="Arial" w:hAnsi="Arial" w:cs="Arial"/>
        </w:rPr>
      </w:pPr>
      <w:r>
        <w:rPr>
          <w:rFonts w:ascii="Arial" w:hAnsi="Arial"/>
          <w:iCs/>
        </w:rPr>
        <w:t>L’</w:t>
      </w:r>
      <w:r w:rsidR="00550D39">
        <w:rPr>
          <w:rFonts w:ascii="Arial" w:hAnsi="Arial"/>
          <w:i/>
        </w:rPr>
        <w:t>Impact sur les systèmes et les services</w:t>
      </w:r>
      <w:r w:rsidR="00550D39">
        <w:rPr>
          <w:rFonts w:ascii="Arial" w:hAnsi="Arial"/>
        </w:rPr>
        <w:t xml:space="preserve"> peut comprendre des dommages sur des infrastructures publiques essentielles (établissements de santé, écoles, tours de communications, systèmes d’approvisionnement en eau, etc.), une perturbation de la cohésion sociale, des réseaux d’appui, des marchés, des prix, ainsi que des attaques sur des infrastructures essentielles, etc. Tous les problèmes associés à la disponibilité, </w:t>
      </w:r>
      <w:r w:rsidR="00A96573">
        <w:rPr>
          <w:rFonts w:ascii="Arial" w:hAnsi="Arial"/>
        </w:rPr>
        <w:t>au fonctionnement</w:t>
      </w:r>
      <w:r w:rsidR="00550D39">
        <w:rPr>
          <w:rFonts w:ascii="Arial" w:hAnsi="Arial"/>
        </w:rPr>
        <w:t xml:space="preserve"> ou à la couverture des services de base devraient être indiqués dans le cadre de ce sous-pilier</w:t>
      </w:r>
      <w:r w:rsidR="00550D39" w:rsidRPr="00550D39">
        <w:rPr>
          <w:rFonts w:ascii="Arial" w:hAnsi="Arial" w:cs="Arial"/>
          <w:vertAlign w:val="superscript"/>
        </w:rPr>
        <w:footnoteReference w:id="17"/>
      </w:r>
      <w:r w:rsidR="004002F5" w:rsidRPr="004002F5">
        <w:rPr>
          <w:rFonts w:ascii="Arial" w:hAnsi="Arial"/>
          <w:vertAlign w:val="superscript"/>
        </w:rPr>
        <w:t>,</w:t>
      </w:r>
      <w:r w:rsidR="00550D39" w:rsidRPr="00550D39">
        <w:rPr>
          <w:rFonts w:ascii="Arial" w:hAnsi="Arial" w:cs="Arial"/>
          <w:vertAlign w:val="superscript"/>
        </w:rPr>
        <w:footnoteReference w:id="18"/>
      </w:r>
      <w:r w:rsidR="004002F5" w:rsidRPr="004002F5">
        <w:rPr>
          <w:rFonts w:ascii="Arial" w:hAnsi="Arial"/>
          <w:vertAlign w:val="superscript"/>
        </w:rPr>
        <w:t>,</w:t>
      </w:r>
      <w:r w:rsidR="00550D39" w:rsidRPr="00550D39">
        <w:rPr>
          <w:rFonts w:ascii="Arial" w:hAnsi="Arial" w:cs="Arial"/>
          <w:vertAlign w:val="superscript"/>
        </w:rPr>
        <w:footnoteReference w:id="19"/>
      </w:r>
      <w:r w:rsidR="00550D39">
        <w:rPr>
          <w:rFonts w:ascii="Arial" w:hAnsi="Arial"/>
        </w:rPr>
        <w:t xml:space="preserve">. Des exemples positifs pourraient inclure la reprise des marchés, une expansion de la couverture des services, etc. </w:t>
      </w:r>
    </w:p>
    <w:p w14:paraId="435A2211" w14:textId="4E958FAF" w:rsidR="00550D39" w:rsidRPr="00550D39" w:rsidRDefault="005F7CDA" w:rsidP="00661135">
      <w:pPr>
        <w:numPr>
          <w:ilvl w:val="0"/>
          <w:numId w:val="5"/>
        </w:numPr>
        <w:spacing w:after="200" w:line="276" w:lineRule="auto"/>
        <w:jc w:val="both"/>
        <w:rPr>
          <w:rFonts w:ascii="Arial" w:hAnsi="Arial" w:cs="Arial"/>
        </w:rPr>
      </w:pPr>
      <w:r>
        <w:rPr>
          <w:rFonts w:ascii="Arial" w:hAnsi="Arial"/>
          <w:iCs/>
        </w:rPr>
        <w:lastRenderedPageBreak/>
        <w:t>L’</w:t>
      </w:r>
      <w:r w:rsidR="00550D39">
        <w:rPr>
          <w:rFonts w:ascii="Arial" w:hAnsi="Arial"/>
          <w:i/>
        </w:rPr>
        <w:t xml:space="preserve">Impact sur l’accès humanitaire </w:t>
      </w:r>
      <w:r>
        <w:rPr>
          <w:rFonts w:ascii="Arial" w:hAnsi="Arial"/>
        </w:rPr>
        <w:t>concerne</w:t>
      </w:r>
      <w:r w:rsidR="00550D39">
        <w:rPr>
          <w:rFonts w:ascii="Arial" w:hAnsi="Arial"/>
        </w:rPr>
        <w:t xml:space="preserve"> la capacité de fournir une assistance humanitaire efficace sans restrictions ni limitations. Cela implique une compréhension des obstacles ou défis suivants :</w:t>
      </w:r>
    </w:p>
    <w:p w14:paraId="65AF85C4" w14:textId="29EF64B3" w:rsidR="005F7CDA" w:rsidRDefault="000D3E75" w:rsidP="005F7CDA">
      <w:pPr>
        <w:numPr>
          <w:ilvl w:val="1"/>
          <w:numId w:val="5"/>
        </w:numPr>
        <w:spacing w:after="200" w:line="276" w:lineRule="auto"/>
        <w:ind w:left="992"/>
        <w:jc w:val="both"/>
        <w:rPr>
          <w:rFonts w:ascii="Arial" w:hAnsi="Arial" w:cs="Arial"/>
        </w:rPr>
      </w:pPr>
      <w:r>
        <w:rPr>
          <w:rFonts w:ascii="Arial" w:hAnsi="Arial"/>
        </w:rPr>
        <w:t>L</w:t>
      </w:r>
      <w:r w:rsidR="00550D39">
        <w:rPr>
          <w:rFonts w:ascii="Arial" w:hAnsi="Arial"/>
        </w:rPr>
        <w:t>es obstacles qui empêchent les personnes affectées d’accéder aux services : barrières comportementales ou institutionnelles qui débouchent sur l’exclusion ; obstacles (bureaucratiques et administratifs) </w:t>
      </w:r>
      <w:r w:rsidR="005F7CDA">
        <w:rPr>
          <w:rFonts w:ascii="Arial" w:hAnsi="Arial"/>
        </w:rPr>
        <w:t>à l’entrée dans le pays ;</w:t>
      </w:r>
      <w:r w:rsidR="00550D39">
        <w:rPr>
          <w:rFonts w:ascii="Arial" w:hAnsi="Arial"/>
        </w:rPr>
        <w:t xml:space="preserve"> restriction</w:t>
      </w:r>
      <w:r w:rsidR="00A96573">
        <w:rPr>
          <w:rFonts w:ascii="Arial" w:hAnsi="Arial"/>
        </w:rPr>
        <w:t>s</w:t>
      </w:r>
      <w:r w:rsidR="00550D39">
        <w:rPr>
          <w:rFonts w:ascii="Arial" w:hAnsi="Arial"/>
        </w:rPr>
        <w:t xml:space="preserve"> des mouvements (obstacles à la liberté de mouvement et/ou restrictions administratives) ; interférences dans la mise en œuvre des activités humanitaires ; violence à l’égard du personnel, des installations et des actifs</w:t>
      </w:r>
      <w:r w:rsidR="005F7CDA">
        <w:rPr>
          <w:rFonts w:ascii="Arial" w:hAnsi="Arial"/>
        </w:rPr>
        <w:t> ;</w:t>
      </w:r>
    </w:p>
    <w:p w14:paraId="43D8B103" w14:textId="5AD8F0BF" w:rsidR="005F7CDA" w:rsidRDefault="000D3E75" w:rsidP="005F7CDA">
      <w:pPr>
        <w:numPr>
          <w:ilvl w:val="1"/>
          <w:numId w:val="5"/>
        </w:numPr>
        <w:spacing w:after="200" w:line="276" w:lineRule="auto"/>
        <w:ind w:left="992"/>
        <w:jc w:val="both"/>
        <w:rPr>
          <w:rFonts w:ascii="Arial" w:hAnsi="Arial" w:cs="Arial"/>
        </w:rPr>
      </w:pPr>
      <w:r>
        <w:rPr>
          <w:rFonts w:ascii="Arial" w:hAnsi="Arial"/>
        </w:rPr>
        <w:t>L</w:t>
      </w:r>
      <w:r w:rsidR="005F7CDA">
        <w:rPr>
          <w:rFonts w:ascii="Arial" w:hAnsi="Arial"/>
        </w:rPr>
        <w:t>es o</w:t>
      </w:r>
      <w:r w:rsidR="00550D39" w:rsidRPr="005F7CDA">
        <w:rPr>
          <w:rFonts w:ascii="Arial" w:hAnsi="Arial"/>
        </w:rPr>
        <w:t xml:space="preserve">bstacles/barrières qui empêchent les acteurs humanitaires d’accéder aux personnes affectées : </w:t>
      </w:r>
      <w:r w:rsidR="00A96573">
        <w:rPr>
          <w:rFonts w:ascii="Arial" w:hAnsi="Arial"/>
        </w:rPr>
        <w:t>déni</w:t>
      </w:r>
      <w:r w:rsidR="00A96573" w:rsidRPr="005F7CDA">
        <w:rPr>
          <w:rFonts w:ascii="Arial" w:hAnsi="Arial"/>
        </w:rPr>
        <w:t xml:space="preserve"> </w:t>
      </w:r>
      <w:r w:rsidR="00550D39" w:rsidRPr="005F7CDA">
        <w:rPr>
          <w:rFonts w:ascii="Arial" w:hAnsi="Arial"/>
        </w:rPr>
        <w:t xml:space="preserve">de l’existence des besoins humanitaires ou du droit à l’assistance ; limitation et obstruction de l’accès aux services et à l’assistance ; restrictions dues à </w:t>
      </w:r>
      <w:r>
        <w:rPr>
          <w:rFonts w:ascii="Arial" w:hAnsi="Arial"/>
        </w:rPr>
        <w:t>la</w:t>
      </w:r>
      <w:r w:rsidRPr="005F7CDA">
        <w:rPr>
          <w:rFonts w:ascii="Arial" w:hAnsi="Arial"/>
        </w:rPr>
        <w:t xml:space="preserve"> </w:t>
      </w:r>
      <w:r w:rsidR="00550D39" w:rsidRPr="005F7CDA">
        <w:rPr>
          <w:rFonts w:ascii="Arial" w:hAnsi="Arial"/>
        </w:rPr>
        <w:t xml:space="preserve">contamination par des </w:t>
      </w:r>
      <w:r>
        <w:rPr>
          <w:rFonts w:ascii="Arial" w:hAnsi="Arial"/>
        </w:rPr>
        <w:t>ordures</w:t>
      </w:r>
      <w:r w:rsidRPr="005F7CDA">
        <w:rPr>
          <w:rFonts w:ascii="Arial" w:hAnsi="Arial"/>
        </w:rPr>
        <w:t xml:space="preserve"> </w:t>
      </w:r>
      <w:r w:rsidR="00550D39" w:rsidRPr="005F7CDA">
        <w:rPr>
          <w:rFonts w:ascii="Arial" w:hAnsi="Arial"/>
        </w:rPr>
        <w:t>explosives ;</w:t>
      </w:r>
    </w:p>
    <w:p w14:paraId="5C27ECE0" w14:textId="034F7E8C" w:rsidR="00550D39" w:rsidRPr="005F7CDA" w:rsidRDefault="000D3E75" w:rsidP="005F7CDA">
      <w:pPr>
        <w:numPr>
          <w:ilvl w:val="1"/>
          <w:numId w:val="5"/>
        </w:numPr>
        <w:spacing w:after="200" w:line="276" w:lineRule="auto"/>
        <w:ind w:left="992"/>
        <w:jc w:val="both"/>
        <w:rPr>
          <w:rFonts w:ascii="Arial" w:hAnsi="Arial" w:cs="Arial"/>
        </w:rPr>
      </w:pPr>
      <w:r>
        <w:rPr>
          <w:rFonts w:ascii="Arial" w:hAnsi="Arial"/>
        </w:rPr>
        <w:t>D</w:t>
      </w:r>
      <w:r w:rsidR="005F7CDA">
        <w:rPr>
          <w:rFonts w:ascii="Arial" w:hAnsi="Arial"/>
        </w:rPr>
        <w:t>’a</w:t>
      </w:r>
      <w:r w:rsidR="00550D39" w:rsidRPr="005F7CDA">
        <w:rPr>
          <w:rFonts w:ascii="Arial" w:hAnsi="Arial"/>
        </w:rPr>
        <w:t>utres contraintes physiques et sécuritaires : insécurité/hostilités continues qui affectent l’assistance humanitaire ; présence de</w:t>
      </w:r>
      <w:r>
        <w:rPr>
          <w:rFonts w:ascii="Arial" w:hAnsi="Arial"/>
        </w:rPr>
        <w:t>s</w:t>
      </w:r>
      <w:r w:rsidR="00550D39" w:rsidRPr="005F7CDA">
        <w:rPr>
          <w:rFonts w:ascii="Arial" w:hAnsi="Arial"/>
        </w:rPr>
        <w:t xml:space="preserve"> </w:t>
      </w:r>
      <w:r>
        <w:rPr>
          <w:rFonts w:ascii="Arial" w:hAnsi="Arial"/>
        </w:rPr>
        <w:t>ordures</w:t>
      </w:r>
      <w:r w:rsidRPr="005F7CDA">
        <w:rPr>
          <w:rFonts w:ascii="Arial" w:hAnsi="Arial"/>
        </w:rPr>
        <w:t xml:space="preserve"> </w:t>
      </w:r>
      <w:r w:rsidR="00550D39" w:rsidRPr="005F7CDA">
        <w:rPr>
          <w:rFonts w:ascii="Arial" w:hAnsi="Arial"/>
        </w:rPr>
        <w:t xml:space="preserve">explosives ; contraintes dans l’environnement </w:t>
      </w:r>
      <w:r w:rsidRPr="005F7CDA">
        <w:rPr>
          <w:rFonts w:ascii="Arial" w:hAnsi="Arial"/>
        </w:rPr>
        <w:t xml:space="preserve">physique </w:t>
      </w:r>
      <w:r w:rsidR="00550D39" w:rsidRPr="005F7CDA">
        <w:rPr>
          <w:rFonts w:ascii="Arial" w:hAnsi="Arial"/>
        </w:rPr>
        <w:t>(obstacles liés au terrain, au climat, au manque d’infrastructures, etc.)</w:t>
      </w:r>
      <w:r w:rsidR="005F7CDA">
        <w:rPr>
          <w:rFonts w:ascii="Arial" w:hAnsi="Arial"/>
        </w:rPr>
        <w:t>.</w:t>
      </w:r>
    </w:p>
    <w:p w14:paraId="02B739E0" w14:textId="41BF373C" w:rsidR="00550D39" w:rsidRPr="005F7CDA" w:rsidRDefault="00550D39" w:rsidP="00550D39">
      <w:pPr>
        <w:spacing w:after="200"/>
        <w:jc w:val="both"/>
        <w:rPr>
          <w:rFonts w:ascii="Arial" w:hAnsi="Arial" w:cs="Arial"/>
        </w:rPr>
      </w:pPr>
      <w:r w:rsidRPr="005F7CDA">
        <w:rPr>
          <w:rFonts w:ascii="Arial" w:hAnsi="Arial" w:cs="Arial"/>
        </w:rPr>
        <w:t xml:space="preserve">Une analyse conjointe et une compréhension du contexte, des chocs et des impacts permettent d’identifier les zones affectées et d’estimer le </w:t>
      </w:r>
      <w:r w:rsidRPr="005F7CDA">
        <w:rPr>
          <w:rFonts w:ascii="Arial" w:hAnsi="Arial" w:cs="Arial"/>
          <w:u w:val="single"/>
        </w:rPr>
        <w:t xml:space="preserve">nombre de personnes </w:t>
      </w:r>
      <w:r w:rsidRPr="005F7CDA">
        <w:rPr>
          <w:rFonts w:ascii="Arial" w:hAnsi="Arial" w:cs="Arial"/>
          <w:i/>
          <w:u w:val="single"/>
        </w:rPr>
        <w:t xml:space="preserve">affectées </w:t>
      </w:r>
      <w:r w:rsidRPr="005F7CDA">
        <w:rPr>
          <w:rFonts w:ascii="Arial" w:hAnsi="Arial" w:cs="Arial"/>
          <w:u w:val="single"/>
        </w:rPr>
        <w:t>par la crise humanitaire</w:t>
      </w:r>
      <w:r w:rsidRPr="005F7CDA">
        <w:rPr>
          <w:rFonts w:ascii="Arial" w:hAnsi="Arial" w:cs="Arial"/>
        </w:rPr>
        <w:t xml:space="preserve">, </w:t>
      </w:r>
      <w:r w:rsidR="000D3E75">
        <w:rPr>
          <w:rFonts w:ascii="Arial" w:hAnsi="Arial" w:cs="Arial"/>
        </w:rPr>
        <w:t>comme</w:t>
      </w:r>
      <w:r w:rsidRPr="005F7CDA">
        <w:rPr>
          <w:rFonts w:ascii="Arial" w:hAnsi="Arial" w:cs="Arial"/>
        </w:rPr>
        <w:t xml:space="preserve"> le définissent les </w:t>
      </w:r>
      <w:hyperlink r:id="rId73">
        <w:r w:rsidRPr="005F7CDA">
          <w:rPr>
            <w:rFonts w:ascii="Arial" w:hAnsi="Arial" w:cs="Arial"/>
            <w:color w:val="1155CC"/>
            <w:u w:val="single"/>
          </w:rPr>
          <w:t>Orientations d’appui 2016 de l’IASC pour l’établissement de profils humanitaires</w:t>
        </w:r>
      </w:hyperlink>
      <w:r w:rsidRPr="005F7CDA">
        <w:rPr>
          <w:rFonts w:ascii="Arial" w:hAnsi="Arial" w:cs="Arial"/>
        </w:rPr>
        <w:t>. Elle</w:t>
      </w:r>
      <w:r w:rsidR="005E21CA">
        <w:rPr>
          <w:rFonts w:ascii="Arial" w:hAnsi="Arial" w:cs="Arial"/>
        </w:rPr>
        <w:t>s</w:t>
      </w:r>
      <w:r w:rsidRPr="005F7CDA">
        <w:rPr>
          <w:rFonts w:ascii="Arial" w:hAnsi="Arial" w:cs="Arial"/>
        </w:rPr>
        <w:t xml:space="preserve"> permet</w:t>
      </w:r>
      <w:r w:rsidR="005E21CA">
        <w:rPr>
          <w:rFonts w:ascii="Arial" w:hAnsi="Arial" w:cs="Arial"/>
        </w:rPr>
        <w:t>tent</w:t>
      </w:r>
      <w:r w:rsidRPr="005F7CDA">
        <w:rPr>
          <w:rFonts w:ascii="Arial" w:hAnsi="Arial" w:cs="Arial"/>
        </w:rPr>
        <w:t xml:space="preserve"> également de tenir compte du nombre total de personnes touchées par les restrictions de l’accès humanitaire. Une telle analyse constitue une référence de base pour une analyse </w:t>
      </w:r>
      <w:r w:rsidR="000D3E75" w:rsidRPr="005F7CDA">
        <w:rPr>
          <w:rFonts w:ascii="Arial" w:hAnsi="Arial" w:cs="Arial"/>
        </w:rPr>
        <w:t xml:space="preserve">de la sévérité des conséquences humanitaires et pour les calculs du nombre de PiN </w:t>
      </w:r>
      <w:r w:rsidRPr="005F7CDA">
        <w:rPr>
          <w:rFonts w:ascii="Arial" w:hAnsi="Arial" w:cs="Arial"/>
        </w:rPr>
        <w:t>géographiquement et démographiquement plus ciblée, en reliant les différents piliers du cadre.</w:t>
      </w:r>
    </w:p>
    <w:p w14:paraId="4A3405EA" w14:textId="55A8E3B7" w:rsidR="00550D39" w:rsidRPr="005F7CDA" w:rsidRDefault="00550D39" w:rsidP="005A2B06">
      <w:pPr>
        <w:widowControl w:val="0"/>
        <w:spacing w:after="200"/>
        <w:jc w:val="both"/>
        <w:rPr>
          <w:rFonts w:ascii="Arial" w:hAnsi="Arial" w:cs="Arial"/>
        </w:rPr>
      </w:pPr>
      <w:r w:rsidRPr="005F7CDA">
        <w:rPr>
          <w:rFonts w:ascii="Arial" w:hAnsi="Arial" w:cs="Arial"/>
          <w:b/>
        </w:rPr>
        <w:t xml:space="preserve">Conditions humanitaires : </w:t>
      </w:r>
      <w:bookmarkStart w:id="24" w:name="_Hlk47514170"/>
      <w:r w:rsidR="004A251F">
        <w:rPr>
          <w:rFonts w:ascii="Arial" w:hAnsi="Arial" w:cs="Arial"/>
        </w:rPr>
        <w:t>l</w:t>
      </w:r>
      <w:r w:rsidRPr="005F7CDA">
        <w:rPr>
          <w:rFonts w:ascii="Arial" w:hAnsi="Arial" w:cs="Arial"/>
        </w:rPr>
        <w:t>e pilier «</w:t>
      </w:r>
      <w:r w:rsidR="00E66974">
        <w:rPr>
          <w:rFonts w:ascii="Arial" w:hAnsi="Arial" w:cs="Arial"/>
        </w:rPr>
        <w:t> </w:t>
      </w:r>
      <w:r w:rsidRPr="005F7CDA">
        <w:rPr>
          <w:rFonts w:ascii="Arial" w:hAnsi="Arial" w:cs="Arial"/>
        </w:rPr>
        <w:t>Conditions humanitaires</w:t>
      </w:r>
      <w:r w:rsidR="00E66974">
        <w:rPr>
          <w:rFonts w:ascii="Arial" w:hAnsi="Arial" w:cs="Arial"/>
        </w:rPr>
        <w:t> </w:t>
      </w:r>
      <w:r w:rsidRPr="005F7CDA">
        <w:rPr>
          <w:rFonts w:ascii="Arial" w:hAnsi="Arial" w:cs="Arial"/>
        </w:rPr>
        <w:t xml:space="preserve">» </w:t>
      </w:r>
      <w:r w:rsidR="004A251F">
        <w:rPr>
          <w:rFonts w:ascii="Arial" w:hAnsi="Arial" w:cs="Arial"/>
        </w:rPr>
        <w:t>porte sur</w:t>
      </w:r>
      <w:r w:rsidRPr="005F7CDA">
        <w:rPr>
          <w:rFonts w:ascii="Arial" w:hAnsi="Arial" w:cs="Arial"/>
        </w:rPr>
        <w:t xml:space="preserve"> l’ampleur des </w:t>
      </w:r>
      <w:r w:rsidRPr="005F7CDA">
        <w:rPr>
          <w:rFonts w:ascii="Arial" w:hAnsi="Arial" w:cs="Arial"/>
          <w:i/>
        </w:rPr>
        <w:t xml:space="preserve">conséquences </w:t>
      </w:r>
      <w:r w:rsidRPr="005F7CDA">
        <w:rPr>
          <w:rFonts w:ascii="Arial" w:hAnsi="Arial" w:cs="Arial"/>
        </w:rPr>
        <w:t xml:space="preserve">de l’impact du choc/de l’événement sur les personnes et </w:t>
      </w:r>
      <w:r w:rsidR="000D3E75">
        <w:rPr>
          <w:rFonts w:ascii="Arial" w:hAnsi="Arial" w:cs="Arial"/>
        </w:rPr>
        <w:t>l’</w:t>
      </w:r>
      <w:r w:rsidRPr="005F7CDA">
        <w:rPr>
          <w:rFonts w:ascii="Arial" w:hAnsi="Arial" w:cs="Arial"/>
        </w:rPr>
        <w:t xml:space="preserve">analyse </w:t>
      </w:r>
      <w:r w:rsidR="00C104FD">
        <w:rPr>
          <w:rFonts w:ascii="Arial" w:hAnsi="Arial" w:cs="Arial"/>
        </w:rPr>
        <w:t xml:space="preserve">de </w:t>
      </w:r>
      <w:r w:rsidR="000D3E75">
        <w:rPr>
          <w:rFonts w:ascii="Arial" w:hAnsi="Arial" w:cs="Arial"/>
        </w:rPr>
        <w:t>leur</w:t>
      </w:r>
      <w:r w:rsidRPr="005F7CDA">
        <w:rPr>
          <w:rFonts w:ascii="Arial" w:hAnsi="Arial" w:cs="Arial"/>
        </w:rPr>
        <w:t xml:space="preserve"> sévérité. La sévérité des conditions humanitaires est estimée en tenant compte de trois niveaux de conséquences :</w:t>
      </w:r>
    </w:p>
    <w:p w14:paraId="48D3BD0C" w14:textId="4AC84CEF" w:rsidR="00550D39" w:rsidRPr="00550D39" w:rsidRDefault="00550D39" w:rsidP="00661135">
      <w:pPr>
        <w:widowControl w:val="0"/>
        <w:numPr>
          <w:ilvl w:val="0"/>
          <w:numId w:val="6"/>
        </w:numPr>
        <w:spacing w:after="200" w:line="276" w:lineRule="auto"/>
        <w:jc w:val="both"/>
        <w:rPr>
          <w:rFonts w:ascii="Arial" w:hAnsi="Arial" w:cs="Arial"/>
        </w:rPr>
      </w:pPr>
      <w:r>
        <w:rPr>
          <w:rFonts w:ascii="Arial" w:hAnsi="Arial"/>
          <w:b/>
        </w:rPr>
        <w:t>Conditions de vie :</w:t>
      </w:r>
      <w:r>
        <w:rPr>
          <w:rFonts w:ascii="Arial" w:hAnsi="Arial"/>
        </w:rPr>
        <w:t xml:space="preserve"> </w:t>
      </w:r>
      <w:r w:rsidR="004A251F">
        <w:rPr>
          <w:rFonts w:ascii="Arial" w:hAnsi="Arial"/>
        </w:rPr>
        <w:t>c</w:t>
      </w:r>
      <w:r>
        <w:rPr>
          <w:rFonts w:ascii="Arial" w:hAnsi="Arial"/>
        </w:rPr>
        <w:t xml:space="preserve">e sous-pilier </w:t>
      </w:r>
      <w:r w:rsidR="004A251F">
        <w:rPr>
          <w:rFonts w:ascii="Arial" w:hAnsi="Arial"/>
        </w:rPr>
        <w:t xml:space="preserve">concerne </w:t>
      </w:r>
      <w:r>
        <w:rPr>
          <w:rFonts w:ascii="Arial" w:hAnsi="Arial"/>
        </w:rPr>
        <w:t xml:space="preserve">la capacité de la population affectée </w:t>
      </w:r>
      <w:r w:rsidR="004A251F">
        <w:rPr>
          <w:rFonts w:ascii="Arial" w:hAnsi="Arial"/>
        </w:rPr>
        <w:t>en matière de satisfaction</w:t>
      </w:r>
      <w:r>
        <w:rPr>
          <w:rFonts w:ascii="Arial" w:hAnsi="Arial"/>
        </w:rPr>
        <w:t xml:space="preserve"> à ses </w:t>
      </w:r>
      <w:r>
        <w:rPr>
          <w:rFonts w:ascii="Arial" w:hAnsi="Arial"/>
          <w:b/>
          <w:i/>
        </w:rPr>
        <w:t>besoins essentiels</w:t>
      </w:r>
      <w:r>
        <w:rPr>
          <w:rFonts w:ascii="Arial" w:hAnsi="Arial"/>
        </w:rPr>
        <w:t xml:space="preserve">. En général, cette capacité est mesurée sur la base des indicateurs concernant l’accès de la population aux biens et services essentiels – par exemple, les soins de santé, la nourriture, l’éducation, l’État de droit, </w:t>
      </w:r>
      <w:r w:rsidR="000D3E75">
        <w:rPr>
          <w:rFonts w:ascii="Arial" w:hAnsi="Arial"/>
        </w:rPr>
        <w:t>l’</w:t>
      </w:r>
      <w:r>
        <w:rPr>
          <w:rFonts w:ascii="Arial" w:hAnsi="Arial"/>
        </w:rPr>
        <w:t xml:space="preserve">abris, </w:t>
      </w:r>
      <w:r w:rsidR="000D3E75">
        <w:rPr>
          <w:rFonts w:ascii="Arial" w:hAnsi="Arial"/>
        </w:rPr>
        <w:t>l</w:t>
      </w:r>
      <w:r>
        <w:rPr>
          <w:rFonts w:ascii="Arial" w:hAnsi="Arial"/>
        </w:rPr>
        <w:t xml:space="preserve">es installations d’approvisionnement en eau et d’assainissement, etc. La liste exacte des besoins essentiels peut varier selon le </w:t>
      </w:r>
      <w:r>
        <w:rPr>
          <w:rFonts w:ascii="Arial" w:hAnsi="Arial"/>
        </w:rPr>
        <w:lastRenderedPageBreak/>
        <w:t xml:space="preserve">contexte et doit être </w:t>
      </w:r>
      <w:r>
        <w:rPr>
          <w:rFonts w:ascii="Arial" w:hAnsi="Arial"/>
          <w:b/>
        </w:rPr>
        <w:t>définie dans le contexte</w:t>
      </w:r>
      <w:r w:rsidRPr="00BE4CB0">
        <w:rPr>
          <w:rFonts w:ascii="Arial" w:hAnsi="Arial" w:cs="Arial"/>
          <w:bCs/>
          <w:vertAlign w:val="superscript"/>
        </w:rPr>
        <w:footnoteReference w:id="20"/>
      </w:r>
      <w:r>
        <w:rPr>
          <w:rFonts w:ascii="Arial" w:hAnsi="Arial"/>
        </w:rPr>
        <w:t xml:space="preserve">. </w:t>
      </w:r>
    </w:p>
    <w:p w14:paraId="7E085A6F" w14:textId="0CEA9DF1" w:rsidR="00550D39" w:rsidRPr="00550D39" w:rsidRDefault="00550D39" w:rsidP="00661135">
      <w:pPr>
        <w:widowControl w:val="0"/>
        <w:numPr>
          <w:ilvl w:val="0"/>
          <w:numId w:val="6"/>
        </w:numPr>
        <w:spacing w:after="200" w:line="276" w:lineRule="auto"/>
        <w:jc w:val="both"/>
        <w:rPr>
          <w:rFonts w:ascii="Arial" w:hAnsi="Arial" w:cs="Arial"/>
        </w:rPr>
      </w:pPr>
      <w:r>
        <w:rPr>
          <w:rFonts w:ascii="Arial" w:hAnsi="Arial"/>
          <w:b/>
        </w:rPr>
        <w:t>Mécanismes d’adaptation :</w:t>
      </w:r>
      <w:r>
        <w:rPr>
          <w:rFonts w:ascii="Arial" w:hAnsi="Arial"/>
        </w:rPr>
        <w:t xml:space="preserve"> </w:t>
      </w:r>
      <w:r w:rsidR="004A251F">
        <w:rPr>
          <w:rFonts w:ascii="Arial" w:hAnsi="Arial"/>
        </w:rPr>
        <w:t>c</w:t>
      </w:r>
      <w:r>
        <w:rPr>
          <w:rFonts w:ascii="Arial" w:hAnsi="Arial"/>
        </w:rPr>
        <w:t xml:space="preserve">e sous-pilier permet de comprendre et d’évaluer la mesure dans laquelle les personnes, les ménages, les communautés et les systèmes s’adaptent ou sont confrontés à des difficultés pour se remettre de l’impact, et de déterminer la sévérité des stratégies d’adaptation qu’ils emploient pour surmonter leurs problèmes en matière de conditions de vie ou de bien-être physique et mental. Les mécanismes d’adaptation peuvent être positifs ou négatifs (par exemple, emprunter de l’argent pour acheter des denrées alimentaires), durables ou non (par exemple, dépendance à l’égard de l’aide humanitaire). </w:t>
      </w:r>
    </w:p>
    <w:p w14:paraId="218255CD" w14:textId="013C46BE" w:rsidR="00550D39" w:rsidRPr="00550D39" w:rsidRDefault="00B877D1" w:rsidP="00661135">
      <w:pPr>
        <w:widowControl w:val="0"/>
        <w:numPr>
          <w:ilvl w:val="0"/>
          <w:numId w:val="6"/>
        </w:numPr>
        <w:spacing w:after="200" w:line="276" w:lineRule="auto"/>
        <w:jc w:val="both"/>
        <w:rPr>
          <w:rFonts w:ascii="Arial" w:hAnsi="Arial" w:cs="Arial"/>
        </w:rPr>
      </w:pPr>
      <w:r w:rsidRPr="00B877D1">
        <w:rPr>
          <w:rFonts w:ascii="Arial" w:hAnsi="Arial"/>
          <w:noProof/>
        </w:rPr>
        <w:drawing>
          <wp:anchor distT="0" distB="0" distL="114300" distR="114300" simplePos="0" relativeHeight="251888640" behindDoc="1" locked="0" layoutInCell="1" allowOverlap="1" wp14:anchorId="05A4371A" wp14:editId="42E9BE8C">
            <wp:simplePos x="0" y="0"/>
            <wp:positionH relativeFrom="column">
              <wp:posOffset>4280477</wp:posOffset>
            </wp:positionH>
            <wp:positionV relativeFrom="paragraph">
              <wp:posOffset>4643</wp:posOffset>
            </wp:positionV>
            <wp:extent cx="1643380" cy="2290445"/>
            <wp:effectExtent l="0" t="0" r="0" b="0"/>
            <wp:wrapTight wrapText="bothSides">
              <wp:wrapPolygon edited="0">
                <wp:start x="0" y="0"/>
                <wp:lineTo x="0" y="21378"/>
                <wp:lineTo x="21283" y="21378"/>
                <wp:lineTo x="21283" y="0"/>
                <wp:lineTo x="0"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643380" cy="2290445"/>
                    </a:xfrm>
                    <a:prstGeom prst="rect">
                      <a:avLst/>
                    </a:prstGeom>
                  </pic:spPr>
                </pic:pic>
              </a:graphicData>
            </a:graphic>
            <wp14:sizeRelH relativeFrom="margin">
              <wp14:pctWidth>0</wp14:pctWidth>
            </wp14:sizeRelH>
            <wp14:sizeRelV relativeFrom="margin">
              <wp14:pctHeight>0</wp14:pctHeight>
            </wp14:sizeRelV>
          </wp:anchor>
        </w:drawing>
      </w:r>
      <w:r w:rsidR="00550D39">
        <w:rPr>
          <w:rFonts w:ascii="Arial" w:hAnsi="Arial"/>
          <w:b/>
          <w:bCs/>
        </w:rPr>
        <w:t>Bien-être physique et mental</w:t>
      </w:r>
      <w:r w:rsidR="00550D39">
        <w:rPr>
          <w:rFonts w:ascii="Arial" w:hAnsi="Arial"/>
        </w:rPr>
        <w:t xml:space="preserve"> : </w:t>
      </w:r>
      <w:r w:rsidR="00371673">
        <w:rPr>
          <w:rFonts w:ascii="Arial" w:hAnsi="Arial"/>
        </w:rPr>
        <w:t>c</w:t>
      </w:r>
      <w:r w:rsidR="00550D39">
        <w:rPr>
          <w:rFonts w:ascii="Arial" w:hAnsi="Arial"/>
        </w:rPr>
        <w:t xml:space="preserve">e sous-pilier porte exclusivement sur les informations et les indicateurs concernant la santé physique et mentale de la population affectée. Les mesures et les observations comprennent les données sur la morbidité et la mortalité, </w:t>
      </w:r>
      <w:r w:rsidR="0058594E">
        <w:rPr>
          <w:rFonts w:ascii="Arial" w:hAnsi="Arial"/>
        </w:rPr>
        <w:t>la</w:t>
      </w:r>
      <w:r w:rsidR="00550D39">
        <w:rPr>
          <w:rFonts w:ascii="Arial" w:hAnsi="Arial"/>
        </w:rPr>
        <w:t xml:space="preserve"> malnutrition, les troubles, les blessures et les traumatismes psychosociaux ou physiques, les craintes, etc. Par ailleurs, si les données sont disponibles, les violations graves des droits humains telles que le meurtre, la mutilation, le viol, la détention arbitraire et les disparitions peuvent également être intégrées dans cette catégorie.</w:t>
      </w:r>
    </w:p>
    <w:p w14:paraId="20226E85" w14:textId="7FBDC74B" w:rsidR="00550D39" w:rsidRPr="00550D39" w:rsidRDefault="00550D39" w:rsidP="00550D39">
      <w:pPr>
        <w:widowControl w:val="0"/>
        <w:spacing w:after="200"/>
        <w:jc w:val="both"/>
        <w:rPr>
          <w:rFonts w:ascii="Arial" w:hAnsi="Arial" w:cs="Arial"/>
        </w:rPr>
      </w:pPr>
      <w:r>
        <w:rPr>
          <w:rFonts w:ascii="Arial" w:hAnsi="Arial"/>
        </w:rPr>
        <w:t>Veuillez noter que les sous-piliers «</w:t>
      </w:r>
      <w:r w:rsidR="00E66974">
        <w:rPr>
          <w:rFonts w:ascii="Arial" w:hAnsi="Arial"/>
        </w:rPr>
        <w:t> </w:t>
      </w:r>
      <w:r>
        <w:rPr>
          <w:rFonts w:ascii="Arial" w:hAnsi="Arial"/>
        </w:rPr>
        <w:t>Conditions humanitaires</w:t>
      </w:r>
      <w:r w:rsidR="00E66974">
        <w:rPr>
          <w:rFonts w:ascii="Arial" w:hAnsi="Arial"/>
        </w:rPr>
        <w:t> </w:t>
      </w:r>
      <w:r>
        <w:rPr>
          <w:rFonts w:ascii="Arial" w:hAnsi="Arial"/>
        </w:rPr>
        <w:t xml:space="preserve">» sont tous reliés entre eux et que l’évolution des conséquences humanitaires ne permet pas toujours de suivre une séquence linéaire entre l’incapacité d’accéder aux biens ou services essentiels et l’adoption de mécanismes d’adaptation négative et, enfin, l’impact de ces dernières sur le bien-être physique et mental. </w:t>
      </w:r>
    </w:p>
    <w:p w14:paraId="63F69E02" w14:textId="6D8A4E13" w:rsidR="00550D39" w:rsidRPr="00550D39" w:rsidRDefault="00550D39" w:rsidP="00550D39">
      <w:pPr>
        <w:widowControl w:val="0"/>
        <w:spacing w:after="200"/>
        <w:jc w:val="both"/>
        <w:rPr>
          <w:rFonts w:ascii="Arial" w:hAnsi="Arial" w:cs="Arial"/>
        </w:rPr>
      </w:pPr>
      <w:r>
        <w:rPr>
          <w:rFonts w:ascii="Arial" w:hAnsi="Arial"/>
        </w:rPr>
        <w:t>Il existe des boucles de rétroaction entre les trois sous-piliers et chacun contribue aux résultats négatifs de l’autre – par exemple, un handicap ou la malnutrition peut déboucher sur des difficultés pour accéder aux biens et services essentiels, etc. Du fait qu’il est difficile de comprendre précisément ce qui précède et ce qui contribue à quoi, il est déconseillé de tenter de comprendre les effets de causalité entre les sous-piliers «</w:t>
      </w:r>
      <w:r w:rsidR="00E66974">
        <w:rPr>
          <w:rFonts w:ascii="Arial" w:hAnsi="Arial"/>
        </w:rPr>
        <w:t> </w:t>
      </w:r>
      <w:r>
        <w:rPr>
          <w:rFonts w:ascii="Arial" w:hAnsi="Arial"/>
        </w:rPr>
        <w:t>conditions humanitaires</w:t>
      </w:r>
      <w:r w:rsidR="00E66974">
        <w:rPr>
          <w:rFonts w:ascii="Arial" w:hAnsi="Arial"/>
        </w:rPr>
        <w:t> </w:t>
      </w:r>
      <w:r>
        <w:rPr>
          <w:rFonts w:ascii="Arial" w:hAnsi="Arial"/>
        </w:rPr>
        <w:t xml:space="preserve">». </w:t>
      </w:r>
    </w:p>
    <w:p w14:paraId="0718ADB0" w14:textId="476FF43E" w:rsidR="00550D39" w:rsidRPr="00550D39" w:rsidRDefault="00550D39" w:rsidP="00550D39">
      <w:pPr>
        <w:widowControl w:val="0"/>
        <w:spacing w:after="200"/>
        <w:jc w:val="both"/>
        <w:rPr>
          <w:rFonts w:ascii="Arial" w:hAnsi="Arial" w:cs="Arial"/>
        </w:rPr>
      </w:pPr>
      <w:r>
        <w:rPr>
          <w:rFonts w:ascii="Arial" w:hAnsi="Arial"/>
        </w:rPr>
        <w:t xml:space="preserve">Il n’est pas non plus recommandé d’utiliser la sévérité dans un sous-pilier pris individuellement ou isolément des autres sous-piliers, car cela ne donne qu’un aperçu partiel des conditions humanitaires des personnes. Par exemple, un groupe </w:t>
      </w:r>
      <w:r w:rsidR="00371673">
        <w:rPr>
          <w:rFonts w:ascii="Arial" w:hAnsi="Arial"/>
        </w:rPr>
        <w:t>démographique</w:t>
      </w:r>
      <w:r>
        <w:rPr>
          <w:rFonts w:ascii="Arial" w:hAnsi="Arial"/>
        </w:rPr>
        <w:t xml:space="preserve"> peut présenter un bon niveau d’accès aux biens ou services essentiels </w:t>
      </w:r>
      <w:r>
        <w:rPr>
          <w:rFonts w:ascii="Arial" w:hAnsi="Arial"/>
        </w:rPr>
        <w:lastRenderedPageBreak/>
        <w:t>(sous-pilier «</w:t>
      </w:r>
      <w:r w:rsidR="00E66974">
        <w:rPr>
          <w:rFonts w:ascii="Arial" w:hAnsi="Arial"/>
        </w:rPr>
        <w:t> </w:t>
      </w:r>
      <w:r w:rsidR="00371673">
        <w:rPr>
          <w:rFonts w:ascii="Arial" w:hAnsi="Arial"/>
        </w:rPr>
        <w:t>C</w:t>
      </w:r>
      <w:r>
        <w:rPr>
          <w:rFonts w:ascii="Arial" w:hAnsi="Arial"/>
        </w:rPr>
        <w:t>onditions de vie</w:t>
      </w:r>
      <w:r w:rsidR="00E66974">
        <w:rPr>
          <w:rFonts w:ascii="Arial" w:hAnsi="Arial"/>
        </w:rPr>
        <w:t> </w:t>
      </w:r>
      <w:r>
        <w:rPr>
          <w:rFonts w:ascii="Arial" w:hAnsi="Arial"/>
        </w:rPr>
        <w:t>»), mais seulement parce qu’il a commencé à adopter des stratégies d’adaptation négative</w:t>
      </w:r>
      <w:r w:rsidR="0058594E">
        <w:rPr>
          <w:rFonts w:ascii="Arial" w:hAnsi="Arial"/>
        </w:rPr>
        <w:t>s</w:t>
      </w:r>
      <w:r>
        <w:rPr>
          <w:rFonts w:ascii="Arial" w:hAnsi="Arial"/>
        </w:rPr>
        <w:t xml:space="preserve"> et irréversible</w:t>
      </w:r>
      <w:r w:rsidR="0058594E">
        <w:rPr>
          <w:rFonts w:ascii="Arial" w:hAnsi="Arial"/>
        </w:rPr>
        <w:t>s</w:t>
      </w:r>
      <w:r>
        <w:rPr>
          <w:rFonts w:ascii="Arial" w:hAnsi="Arial"/>
        </w:rPr>
        <w:t xml:space="preserve"> (sous-pilier «</w:t>
      </w:r>
      <w:r w:rsidR="00E66974">
        <w:rPr>
          <w:rFonts w:ascii="Arial" w:hAnsi="Arial"/>
        </w:rPr>
        <w:t> </w:t>
      </w:r>
      <w:r w:rsidR="00371673">
        <w:rPr>
          <w:rFonts w:ascii="Arial" w:hAnsi="Arial"/>
        </w:rPr>
        <w:t>M</w:t>
      </w:r>
      <w:r>
        <w:rPr>
          <w:rFonts w:ascii="Arial" w:hAnsi="Arial"/>
        </w:rPr>
        <w:t>écanismes d’adaptation</w:t>
      </w:r>
      <w:r w:rsidR="00E66974">
        <w:rPr>
          <w:rFonts w:ascii="Arial" w:hAnsi="Arial"/>
        </w:rPr>
        <w:t> </w:t>
      </w:r>
      <w:r>
        <w:rPr>
          <w:rFonts w:ascii="Arial" w:hAnsi="Arial"/>
        </w:rPr>
        <w:t xml:space="preserve">»). </w:t>
      </w:r>
      <w:r w:rsidR="008C408F">
        <w:rPr>
          <w:rFonts w:ascii="Arial" w:hAnsi="Arial"/>
        </w:rPr>
        <w:t xml:space="preserve">Si </w:t>
      </w:r>
      <w:r>
        <w:rPr>
          <w:rFonts w:ascii="Arial" w:hAnsi="Arial"/>
        </w:rPr>
        <w:t xml:space="preserve">le niveau de sévérité des conditions de vie </w:t>
      </w:r>
      <w:r w:rsidR="008C408F">
        <w:rPr>
          <w:rFonts w:ascii="Arial" w:hAnsi="Arial"/>
        </w:rPr>
        <w:t>est pris séparément, il est également facile de l’interpréter de façon erronée</w:t>
      </w:r>
      <w:r>
        <w:rPr>
          <w:rFonts w:ascii="Arial" w:hAnsi="Arial"/>
        </w:rPr>
        <w:t>.</w:t>
      </w:r>
      <w:r w:rsidR="008C408F">
        <w:rPr>
          <w:rFonts w:ascii="Arial" w:hAnsi="Arial"/>
        </w:rPr>
        <w:t xml:space="preserve"> </w:t>
      </w:r>
      <w:r>
        <w:rPr>
          <w:rFonts w:ascii="Arial" w:hAnsi="Arial"/>
        </w:rPr>
        <w:t xml:space="preserve">Ce n’est que </w:t>
      </w:r>
      <w:r w:rsidR="00C33214">
        <w:rPr>
          <w:rFonts w:ascii="Arial" w:hAnsi="Arial"/>
        </w:rPr>
        <w:t>quand</w:t>
      </w:r>
      <w:r>
        <w:rPr>
          <w:rFonts w:ascii="Arial" w:hAnsi="Arial"/>
        </w:rPr>
        <w:t xml:space="preserve"> les trois sous-piliers sont considérés ensemble et agrégés dans un</w:t>
      </w:r>
      <w:r w:rsidR="00F97B4F">
        <w:rPr>
          <w:rFonts w:ascii="Arial" w:hAnsi="Arial"/>
        </w:rPr>
        <w:t xml:space="preserve"> cadre</w:t>
      </w:r>
      <w:r>
        <w:rPr>
          <w:rFonts w:ascii="Arial" w:hAnsi="Arial"/>
        </w:rPr>
        <w:t xml:space="preserve"> </w:t>
      </w:r>
      <w:r w:rsidR="00F97B4F">
        <w:rPr>
          <w:rFonts w:ascii="Arial" w:hAnsi="Arial"/>
        </w:rPr>
        <w:t xml:space="preserve">final présentant le </w:t>
      </w:r>
      <w:r>
        <w:rPr>
          <w:rFonts w:ascii="Arial" w:hAnsi="Arial"/>
        </w:rPr>
        <w:t xml:space="preserve">niveau </w:t>
      </w:r>
      <w:r w:rsidR="00F97B4F">
        <w:rPr>
          <w:rFonts w:ascii="Arial" w:hAnsi="Arial"/>
        </w:rPr>
        <w:t xml:space="preserve">global </w:t>
      </w:r>
      <w:r>
        <w:rPr>
          <w:rFonts w:ascii="Arial" w:hAnsi="Arial"/>
        </w:rPr>
        <w:t>des conditions humanitaires</w:t>
      </w:r>
      <w:r w:rsidR="0058594E">
        <w:rPr>
          <w:rFonts w:ascii="Arial" w:hAnsi="Arial"/>
        </w:rPr>
        <w:t>,</w:t>
      </w:r>
      <w:r>
        <w:rPr>
          <w:rFonts w:ascii="Arial" w:hAnsi="Arial"/>
        </w:rPr>
        <w:t xml:space="preserve"> qu’ils peuvent </w:t>
      </w:r>
      <w:r w:rsidR="0058594E">
        <w:rPr>
          <w:rFonts w:ascii="Arial" w:hAnsi="Arial"/>
        </w:rPr>
        <w:t>refléter</w:t>
      </w:r>
      <w:r>
        <w:rPr>
          <w:rFonts w:ascii="Arial" w:hAnsi="Arial"/>
        </w:rPr>
        <w:t xml:space="preserve"> l’ensemble des conditions humanitaires et de leur sévérité.</w:t>
      </w:r>
    </w:p>
    <w:bookmarkEnd w:id="24"/>
    <w:p w14:paraId="58CBEF2F" w14:textId="77777777" w:rsidR="00550D39" w:rsidRDefault="00550D39" w:rsidP="00550D39">
      <w:pPr>
        <w:jc w:val="center"/>
      </w:pPr>
    </w:p>
    <w:p w14:paraId="22A3CB66" w14:textId="77777777" w:rsidR="00550D39" w:rsidRPr="00CA2973" w:rsidRDefault="00550D39" w:rsidP="00BB0C61"/>
    <w:p w14:paraId="00BEBC0F" w14:textId="77777777" w:rsidR="00DA0AFB" w:rsidRPr="00CA2973" w:rsidRDefault="00DA0AFB" w:rsidP="00145CB4">
      <w:pPr>
        <w:jc w:val="both"/>
        <w:rPr>
          <w:rFonts w:ascii="Arial" w:eastAsia="Arial" w:hAnsi="Arial" w:cs="Arial"/>
        </w:rPr>
      </w:pPr>
    </w:p>
    <w:sectPr w:rsidR="00DA0AFB" w:rsidRPr="00CA2973" w:rsidSect="00CD11E7">
      <w:headerReference w:type="default" r:id="rId75"/>
      <w:endnotePr>
        <w:numFmt w:val="decimal"/>
      </w:endnotePr>
      <w:pgSz w:w="12240" w:h="15840" w:code="1"/>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609E9" w14:textId="77777777" w:rsidR="00122934" w:rsidRDefault="00122934" w:rsidP="00082FFB">
      <w:r>
        <w:separator/>
      </w:r>
    </w:p>
  </w:endnote>
  <w:endnote w:type="continuationSeparator" w:id="0">
    <w:p w14:paraId="41174849" w14:textId="77777777" w:rsidR="00122934" w:rsidRDefault="00122934" w:rsidP="0008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00"/>
    <w:family w:val="swiss"/>
    <w:pitch w:val="variable"/>
    <w:sig w:usb0="F7FFAFFF" w:usb1="E9DFFFFF" w:usb2="0000003F" w:usb3="00000000" w:csb0="003F01FF" w:csb1="00000000"/>
  </w:font>
  <w:font w:name="Acumin Pro SemiCondensed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BB34" w14:textId="77777777" w:rsidR="00F61302" w:rsidRDefault="00F613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D72D1" w14:textId="5B15C47C" w:rsidR="00F61302" w:rsidRPr="003E2631" w:rsidRDefault="00122934" w:rsidP="00332498">
    <w:pPr>
      <w:pStyle w:val="Pieddepage"/>
      <w:pBdr>
        <w:top w:val="single" w:sz="4" w:space="0" w:color="D9D9D9" w:themeColor="background1" w:themeShade="D9"/>
      </w:pBdr>
      <w:jc w:val="right"/>
      <w:rPr>
        <w:rFonts w:asciiTheme="minorHAnsi" w:hAnsiTheme="minorHAnsi" w:cstheme="minorHAnsi"/>
        <w:sz w:val="18"/>
        <w:szCs w:val="18"/>
      </w:rPr>
    </w:pPr>
    <w:sdt>
      <w:sdtPr>
        <w:rPr>
          <w:rFonts w:asciiTheme="minorHAnsi" w:hAnsiTheme="minorHAnsi" w:cstheme="minorHAnsi"/>
          <w:sz w:val="18"/>
          <w:szCs w:val="18"/>
        </w:rPr>
        <w:id w:val="-65494603"/>
        <w:docPartObj>
          <w:docPartGallery w:val="Page Numbers (Bottom of Page)"/>
          <w:docPartUnique/>
        </w:docPartObj>
      </w:sdtPr>
      <w:sdtEndPr>
        <w:rPr>
          <w:color w:val="7F7F7F" w:themeColor="background1" w:themeShade="7F"/>
          <w:spacing w:val="60"/>
        </w:rPr>
      </w:sdtEndPr>
      <w:sdtContent>
        <w:r w:rsidR="00F61302" w:rsidRPr="003E2631">
          <w:rPr>
            <w:rFonts w:asciiTheme="minorHAnsi" w:hAnsiTheme="minorHAnsi"/>
            <w:color w:val="7F7F7F" w:themeColor="background1" w:themeShade="7F"/>
            <w:sz w:val="18"/>
            <w:szCs w:val="18"/>
          </w:rPr>
          <w:t>Addend</w:t>
        </w:r>
        <w:r w:rsidR="00F61302">
          <w:rPr>
            <w:rFonts w:asciiTheme="minorHAnsi" w:hAnsiTheme="minorHAnsi"/>
            <w:color w:val="7F7F7F" w:themeColor="background1" w:themeShade="7F"/>
            <w:sz w:val="18"/>
            <w:szCs w:val="18"/>
          </w:rPr>
          <w:t>um</w:t>
        </w:r>
        <w:r w:rsidR="00F61302" w:rsidRPr="003E2631">
          <w:rPr>
            <w:rFonts w:asciiTheme="minorHAnsi" w:hAnsiTheme="minorHAnsi"/>
            <w:color w:val="7F7F7F" w:themeColor="background1" w:themeShade="7F"/>
            <w:sz w:val="18"/>
            <w:szCs w:val="18"/>
          </w:rPr>
          <w:t> : Analyse sectorielle de la nutrition et contributions au Cadre d’analyse intersectorielle conjointe (JIAF) | Page</w:t>
        </w:r>
        <w:r w:rsidR="00F61302" w:rsidRPr="003E2631">
          <w:rPr>
            <w:rFonts w:asciiTheme="minorHAnsi" w:hAnsiTheme="minorHAnsi"/>
            <w:sz w:val="18"/>
            <w:szCs w:val="18"/>
          </w:rPr>
          <w:t xml:space="preserve"> </w:t>
        </w:r>
        <w:r w:rsidR="00F61302" w:rsidRPr="003E2631">
          <w:rPr>
            <w:rFonts w:asciiTheme="minorHAnsi" w:hAnsiTheme="minorHAnsi" w:cstheme="minorHAnsi"/>
            <w:sz w:val="18"/>
            <w:szCs w:val="18"/>
          </w:rPr>
          <w:fldChar w:fldCharType="begin"/>
        </w:r>
        <w:r w:rsidR="00F61302" w:rsidRPr="003E2631">
          <w:rPr>
            <w:rFonts w:asciiTheme="minorHAnsi" w:hAnsiTheme="minorHAnsi" w:cstheme="minorHAnsi"/>
            <w:sz w:val="18"/>
            <w:szCs w:val="18"/>
          </w:rPr>
          <w:instrText xml:space="preserve"> PAGE   \* MERGEFORMAT </w:instrText>
        </w:r>
        <w:r w:rsidR="00F61302" w:rsidRPr="003E2631">
          <w:rPr>
            <w:rFonts w:asciiTheme="minorHAnsi" w:hAnsiTheme="minorHAnsi" w:cstheme="minorHAnsi"/>
            <w:sz w:val="18"/>
            <w:szCs w:val="18"/>
          </w:rPr>
          <w:fldChar w:fldCharType="separate"/>
        </w:r>
        <w:r w:rsidR="00F61302" w:rsidRPr="003E2631">
          <w:rPr>
            <w:rFonts w:asciiTheme="minorHAnsi" w:hAnsiTheme="minorHAnsi" w:cstheme="minorHAnsi"/>
            <w:sz w:val="18"/>
            <w:szCs w:val="18"/>
          </w:rPr>
          <w:t>5</w:t>
        </w:r>
        <w:r w:rsidR="00F61302" w:rsidRPr="003E2631">
          <w:rPr>
            <w:rFonts w:asciiTheme="minorHAnsi" w:hAnsiTheme="minorHAnsi" w:cstheme="minorHAnsi"/>
            <w:sz w:val="18"/>
            <w:szCs w:val="18"/>
          </w:rPr>
          <w:fldChar w:fldCharType="end"/>
        </w:r>
      </w:sdtContent>
    </w:sdt>
  </w:p>
  <w:p w14:paraId="061A93AC" w14:textId="77777777" w:rsidR="00F61302" w:rsidRPr="003E2631" w:rsidRDefault="00F61302">
    <w:pPr>
      <w:spacing w:line="14"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DD26" w14:textId="77777777" w:rsidR="00F61302" w:rsidRDefault="00F613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7D729" w14:textId="77777777" w:rsidR="00122934" w:rsidRDefault="00122934" w:rsidP="00082FFB">
      <w:r>
        <w:separator/>
      </w:r>
    </w:p>
  </w:footnote>
  <w:footnote w:type="continuationSeparator" w:id="0">
    <w:p w14:paraId="3F767464" w14:textId="77777777" w:rsidR="00122934" w:rsidRDefault="00122934" w:rsidP="00082FFB">
      <w:r>
        <w:continuationSeparator/>
      </w:r>
    </w:p>
  </w:footnote>
  <w:footnote w:id="1">
    <w:p w14:paraId="7B16066D" w14:textId="7BA4DEE7" w:rsidR="00F61302" w:rsidRPr="00687A63" w:rsidRDefault="00F61302" w:rsidP="00F4757E">
      <w:pPr>
        <w:jc w:val="both"/>
        <w:rPr>
          <w:rFonts w:ascii="Arial" w:hAnsi="Arial" w:cs="Arial"/>
          <w:sz w:val="16"/>
          <w:szCs w:val="16"/>
        </w:rPr>
      </w:pPr>
      <w:r w:rsidRPr="00687A63">
        <w:rPr>
          <w:rFonts w:ascii="Arial" w:hAnsi="Arial" w:cs="Arial"/>
          <w:sz w:val="16"/>
          <w:szCs w:val="16"/>
          <w:vertAlign w:val="superscript"/>
        </w:rPr>
        <w:footnoteRef/>
      </w:r>
      <w:r w:rsidRPr="00687A63">
        <w:rPr>
          <w:rFonts w:ascii="Arial" w:hAnsi="Arial" w:cs="Arial"/>
          <w:sz w:val="16"/>
          <w:szCs w:val="16"/>
        </w:rPr>
        <w:t xml:space="preserve"> Clusters/secteurs des pays, Groupe de coordination intersectorielle (ICCG), Groupes de travail intersectoriels (ISWG), Groupe</w:t>
      </w:r>
      <w:r>
        <w:rPr>
          <w:rFonts w:ascii="Arial" w:hAnsi="Arial" w:cs="Arial"/>
          <w:sz w:val="16"/>
          <w:szCs w:val="16"/>
        </w:rPr>
        <w:t>s</w:t>
      </w:r>
      <w:r w:rsidRPr="00687A63">
        <w:rPr>
          <w:rFonts w:ascii="Arial" w:hAnsi="Arial" w:cs="Arial"/>
          <w:sz w:val="16"/>
          <w:szCs w:val="16"/>
        </w:rPr>
        <w:t xml:space="preserve"> de Travail sur l’assistance monétaire (CWG), agences chefs de file du Cluster (CLA), partenaires du Cluster, ONG, instituts universitaires, organisations de la société civile (OSC), organisations de personnes handicapées (OPH), agences de l’ONU, Coordinateur humanitaire/EHP, gouvernement national, donateurs, secteur privé, agences techniques, etc.</w:t>
      </w:r>
    </w:p>
  </w:footnote>
  <w:footnote w:id="2">
    <w:p w14:paraId="1701744B" w14:textId="77777777" w:rsidR="00F61302" w:rsidRPr="00687A63" w:rsidRDefault="00F61302" w:rsidP="00196871">
      <w:pPr>
        <w:pStyle w:val="Notedebasdepage"/>
        <w:contextualSpacing/>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Des détails complémentaires sur les rôles et les responsabilités du GTT SIN figurent </w:t>
      </w:r>
      <w:hyperlink r:id="rId1" w:history="1">
        <w:r w:rsidRPr="00687A63">
          <w:rPr>
            <w:rStyle w:val="Lienhypertexte"/>
            <w:rFonts w:ascii="Arial" w:hAnsi="Arial" w:cs="Arial"/>
            <w:sz w:val="16"/>
            <w:szCs w:val="16"/>
          </w:rPr>
          <w:t>ici</w:t>
        </w:r>
      </w:hyperlink>
      <w:r w:rsidRPr="00687A63">
        <w:rPr>
          <w:rFonts w:ascii="Arial" w:hAnsi="Arial" w:cs="Arial"/>
          <w:sz w:val="16"/>
          <w:szCs w:val="16"/>
        </w:rPr>
        <w:t>.</w:t>
      </w:r>
    </w:p>
  </w:footnote>
  <w:footnote w:id="3">
    <w:p w14:paraId="2DD71BEB" w14:textId="64B57905" w:rsidR="00F61302" w:rsidRPr="00687A63" w:rsidRDefault="00F61302" w:rsidP="00A4037E">
      <w:pPr>
        <w:spacing w:before="60" w:after="80"/>
        <w:jc w:val="both"/>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Conformément </w:t>
      </w:r>
      <w:r>
        <w:rPr>
          <w:rFonts w:ascii="Arial" w:hAnsi="Arial" w:cs="Arial"/>
          <w:sz w:val="16"/>
          <w:szCs w:val="16"/>
        </w:rPr>
        <w:t>aux indicateurs</w:t>
      </w:r>
      <w:r w:rsidRPr="00687A63">
        <w:rPr>
          <w:rFonts w:ascii="Arial" w:hAnsi="Arial" w:cs="Arial"/>
          <w:sz w:val="16"/>
          <w:szCs w:val="16"/>
        </w:rPr>
        <w:t xml:space="preserve"> préparés par le groupe de travail </w:t>
      </w:r>
      <w:r>
        <w:rPr>
          <w:rFonts w:ascii="Arial" w:hAnsi="Arial" w:cs="Arial"/>
          <w:sz w:val="16"/>
          <w:szCs w:val="16"/>
        </w:rPr>
        <w:t>en charge</w:t>
      </w:r>
      <w:r w:rsidRPr="00687A63">
        <w:rPr>
          <w:rFonts w:ascii="Arial" w:hAnsi="Arial" w:cs="Arial"/>
          <w:sz w:val="16"/>
          <w:szCs w:val="16"/>
        </w:rPr>
        <w:t xml:space="preserve"> de l’ABH du GNC et les membres du GTT SIN </w:t>
      </w:r>
      <w:r>
        <w:rPr>
          <w:rFonts w:ascii="Arial" w:hAnsi="Arial" w:cs="Arial"/>
          <w:sz w:val="16"/>
          <w:szCs w:val="16"/>
        </w:rPr>
        <w:t>en charge d’identification des</w:t>
      </w:r>
      <w:r w:rsidRPr="00687A63">
        <w:rPr>
          <w:rFonts w:ascii="Arial" w:hAnsi="Arial" w:cs="Arial"/>
          <w:sz w:val="16"/>
          <w:szCs w:val="16"/>
        </w:rPr>
        <w:t xml:space="preserve"> phases et </w:t>
      </w:r>
      <w:r>
        <w:rPr>
          <w:rFonts w:ascii="Arial" w:hAnsi="Arial" w:cs="Arial"/>
          <w:sz w:val="16"/>
          <w:szCs w:val="16"/>
        </w:rPr>
        <w:t>d</w:t>
      </w:r>
      <w:r w:rsidRPr="00687A63">
        <w:rPr>
          <w:rFonts w:ascii="Arial" w:hAnsi="Arial" w:cs="Arial"/>
          <w:sz w:val="16"/>
          <w:szCs w:val="16"/>
        </w:rPr>
        <w:t>es seuils relative</w:t>
      </w:r>
      <w:r>
        <w:rPr>
          <w:rFonts w:ascii="Arial" w:hAnsi="Arial" w:cs="Arial"/>
          <w:sz w:val="16"/>
          <w:szCs w:val="16"/>
        </w:rPr>
        <w:t>s</w:t>
      </w:r>
      <w:r w:rsidRPr="00687A63">
        <w:rPr>
          <w:rFonts w:ascii="Arial" w:hAnsi="Arial" w:cs="Arial"/>
          <w:sz w:val="16"/>
          <w:szCs w:val="16"/>
        </w:rPr>
        <w:t xml:space="preserve"> à la malnutrition aiguë globale (MAG) et à ses facteurs contributifs, le </w:t>
      </w:r>
      <w:r w:rsidRPr="00687A63">
        <w:rPr>
          <w:rFonts w:ascii="Arial" w:hAnsi="Arial" w:cs="Arial"/>
          <w:i/>
          <w:sz w:val="16"/>
          <w:szCs w:val="16"/>
        </w:rPr>
        <w:t>Tableau 1</w:t>
      </w:r>
      <w:r w:rsidRPr="00687A63">
        <w:rPr>
          <w:rFonts w:ascii="Arial" w:hAnsi="Arial" w:cs="Arial"/>
          <w:sz w:val="16"/>
          <w:szCs w:val="16"/>
        </w:rPr>
        <w:t xml:space="preserve"> est destiné à rationaliser ce processus d’analyse et non pas à remplacer la liste étendue d’indicateurs nutritionnels que l’on peut utiliser </w:t>
      </w:r>
      <w:r>
        <w:rPr>
          <w:rFonts w:ascii="Arial" w:hAnsi="Arial" w:cs="Arial"/>
          <w:sz w:val="16"/>
          <w:szCs w:val="16"/>
        </w:rPr>
        <w:t xml:space="preserve">pour la </w:t>
      </w:r>
      <w:r w:rsidRPr="00687A63">
        <w:rPr>
          <w:rFonts w:ascii="Arial" w:hAnsi="Arial" w:cs="Arial"/>
          <w:sz w:val="16"/>
          <w:szCs w:val="16"/>
        </w:rPr>
        <w:t>programm</w:t>
      </w:r>
      <w:r>
        <w:rPr>
          <w:rFonts w:ascii="Arial" w:hAnsi="Arial" w:cs="Arial"/>
          <w:sz w:val="16"/>
          <w:szCs w:val="16"/>
        </w:rPr>
        <w:t>ation nutritionnelle et son suivi</w:t>
      </w:r>
      <w:r w:rsidRPr="00687A63">
        <w:rPr>
          <w:rFonts w:ascii="Arial" w:hAnsi="Arial" w:cs="Arial"/>
          <w:sz w:val="16"/>
          <w:szCs w:val="16"/>
        </w:rPr>
        <w:t xml:space="preserve">. </w:t>
      </w:r>
    </w:p>
    <w:p w14:paraId="3056C277" w14:textId="77777777" w:rsidR="00F61302" w:rsidRPr="00687A63" w:rsidRDefault="00F61302">
      <w:pPr>
        <w:pStyle w:val="Notedebasdepage"/>
        <w:rPr>
          <w:rFonts w:ascii="Arial" w:hAnsi="Arial" w:cs="Arial"/>
          <w:sz w:val="16"/>
          <w:szCs w:val="16"/>
        </w:rPr>
      </w:pPr>
    </w:p>
  </w:footnote>
  <w:footnote w:id="4">
    <w:p w14:paraId="0B6F1CA3" w14:textId="77777777" w:rsidR="00F61302" w:rsidRPr="00687A63" w:rsidRDefault="00F61302" w:rsidP="001D244F">
      <w:pPr>
        <w:pStyle w:val="Notedebasdepage"/>
        <w:rPr>
          <w:rFonts w:ascii="Arial" w:hAnsi="Arial" w:cs="Arial"/>
          <w:sz w:val="16"/>
          <w:szCs w:val="16"/>
        </w:rPr>
      </w:pPr>
      <w:r w:rsidRPr="00687A63">
        <w:rPr>
          <w:rFonts w:ascii="Arial" w:hAnsi="Arial" w:cs="Arial"/>
          <w:sz w:val="16"/>
          <w:szCs w:val="16"/>
        </w:rPr>
        <w:t xml:space="preserve">*Exige une </w:t>
      </w:r>
      <w:r w:rsidRPr="00687A63">
        <w:rPr>
          <w:rFonts w:ascii="Arial" w:hAnsi="Arial" w:cs="Arial"/>
          <w:i/>
          <w:sz w:val="16"/>
          <w:szCs w:val="16"/>
        </w:rPr>
        <w:t xml:space="preserve">fréquence minimale des repas chez les enfants de 6 à 23 mois </w:t>
      </w:r>
      <w:r w:rsidRPr="00687A63">
        <w:rPr>
          <w:rFonts w:ascii="Arial" w:hAnsi="Arial" w:cs="Arial"/>
          <w:sz w:val="16"/>
          <w:szCs w:val="16"/>
        </w:rPr>
        <w:t xml:space="preserve">ainsi qu’une </w:t>
      </w:r>
      <w:r w:rsidRPr="00687A63">
        <w:rPr>
          <w:rFonts w:ascii="Arial" w:hAnsi="Arial" w:cs="Arial"/>
          <w:i/>
          <w:sz w:val="16"/>
          <w:szCs w:val="16"/>
        </w:rPr>
        <w:t>diversité alimentaire minimale chez les enfants de 6 à 23 mois</w:t>
      </w:r>
      <w:r w:rsidRPr="00687A63">
        <w:rPr>
          <w:rFonts w:ascii="Arial" w:hAnsi="Arial" w:cs="Arial"/>
          <w:sz w:val="16"/>
          <w:szCs w:val="16"/>
        </w:rPr>
        <w:t>.</w:t>
      </w:r>
    </w:p>
    <w:p w14:paraId="40AA3EAE" w14:textId="77777777" w:rsidR="00F61302" w:rsidRPr="00687A63" w:rsidRDefault="00F61302" w:rsidP="00C4523F">
      <w:pPr>
        <w:pStyle w:val="Notedebasdepage"/>
        <w:rPr>
          <w:rFonts w:ascii="Arial" w:hAnsi="Arial" w:cs="Arial"/>
          <w:sz w:val="16"/>
          <w:szCs w:val="16"/>
        </w:rPr>
      </w:pPr>
      <w:r w:rsidRPr="00687A63">
        <w:rPr>
          <w:rFonts w:ascii="Arial" w:hAnsi="Arial" w:cs="Arial"/>
          <w:sz w:val="16"/>
          <w:szCs w:val="16"/>
          <w:vertAlign w:val="superscript"/>
        </w:rPr>
        <w:footnoteRef/>
      </w:r>
      <w:r w:rsidRPr="00687A63">
        <w:rPr>
          <w:rFonts w:ascii="Arial" w:hAnsi="Arial" w:cs="Arial"/>
          <w:sz w:val="16"/>
          <w:szCs w:val="16"/>
        </w:rPr>
        <w:t xml:space="preserve"> Voir l’</w:t>
      </w:r>
      <w:r w:rsidRPr="00687A63">
        <w:rPr>
          <w:rFonts w:ascii="Arial" w:hAnsi="Arial" w:cs="Arial"/>
          <w:i/>
          <w:sz w:val="16"/>
          <w:szCs w:val="16"/>
        </w:rPr>
        <w:t>Encadré E</w:t>
      </w:r>
      <w:r w:rsidRPr="00687A63">
        <w:rPr>
          <w:rFonts w:ascii="Arial" w:hAnsi="Arial" w:cs="Arial"/>
          <w:sz w:val="16"/>
          <w:szCs w:val="16"/>
        </w:rPr>
        <w:t xml:space="preserve"> ci-dessus. </w:t>
      </w:r>
    </w:p>
  </w:footnote>
  <w:footnote w:id="5">
    <w:p w14:paraId="5E336C28" w14:textId="48ABC88C" w:rsidR="00F61302" w:rsidRPr="00687A63" w:rsidRDefault="00F61302" w:rsidP="009A5C80">
      <w:pPr>
        <w:pStyle w:val="Notedebasdepage"/>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Comprend généralement les personnes de 10 à 19 ans. Des détails complémentaires sur </w:t>
      </w:r>
      <w:r>
        <w:rPr>
          <w:rFonts w:ascii="Arial" w:hAnsi="Arial" w:cs="Arial"/>
          <w:sz w:val="16"/>
          <w:szCs w:val="16"/>
        </w:rPr>
        <w:t>le</w:t>
      </w:r>
      <w:r w:rsidRPr="00687A63">
        <w:rPr>
          <w:rFonts w:ascii="Arial" w:hAnsi="Arial" w:cs="Arial"/>
          <w:sz w:val="16"/>
          <w:szCs w:val="16"/>
        </w:rPr>
        <w:t xml:space="preserve"> rapport IMC/âge chez les garçons et les filles selon la référence de croissance de l’OMS de 2007 figurent à la page 91 du document intitulé </w:t>
      </w:r>
      <w:hyperlink r:id="rId2" w:history="1">
        <w:r w:rsidRPr="00687A63">
          <w:rPr>
            <w:rStyle w:val="Lienhypertexte"/>
            <w:rFonts w:ascii="Arial" w:hAnsi="Arial" w:cs="Arial"/>
            <w:sz w:val="16"/>
            <w:szCs w:val="16"/>
          </w:rPr>
          <w:t>GUIDE TO ANTHROPOMETRY: A practical tool for Program Planners, Managers and Implementers</w:t>
        </w:r>
      </w:hyperlink>
      <w:r w:rsidRPr="00687A63">
        <w:rPr>
          <w:rFonts w:ascii="Arial" w:hAnsi="Arial" w:cs="Arial"/>
          <w:sz w:val="16"/>
          <w:szCs w:val="16"/>
        </w:rPr>
        <w:t xml:space="preserve"> (GUIDE D’ANTHROPOMÉTRIE : Outil pratique pour les planificateurs, les gestionnaires et les responsables de la mise en œuvre des programmes).</w:t>
      </w:r>
    </w:p>
  </w:footnote>
  <w:footnote w:id="6">
    <w:p w14:paraId="75C9174A" w14:textId="262D728B" w:rsidR="00F61302" w:rsidRPr="00687A63" w:rsidRDefault="00F61302" w:rsidP="009A5C80">
      <w:pPr>
        <w:pStyle w:val="Notedebasdepage"/>
        <w:rPr>
          <w:rFonts w:ascii="Arial" w:hAnsi="Arial" w:cs="Arial"/>
          <w:sz w:val="16"/>
          <w:szCs w:val="16"/>
        </w:rPr>
      </w:pPr>
      <w:r w:rsidRPr="00687A63">
        <w:rPr>
          <w:rFonts w:ascii="Arial" w:hAnsi="Arial" w:cs="Arial"/>
          <w:sz w:val="16"/>
          <w:szCs w:val="16"/>
          <w:vertAlign w:val="superscript"/>
        </w:rPr>
        <w:footnoteRef/>
      </w:r>
      <w:r w:rsidRPr="00687A63">
        <w:rPr>
          <w:rFonts w:ascii="Arial" w:hAnsi="Arial" w:cs="Arial"/>
          <w:sz w:val="16"/>
          <w:szCs w:val="16"/>
        </w:rPr>
        <w:t xml:space="preserve"> En présence de facteurs aggravants comprenant : une ration alimentaire générale inférieure à 2</w:t>
      </w:r>
      <w:r>
        <w:rPr>
          <w:rFonts w:ascii="Arial" w:hAnsi="Arial" w:cs="Arial"/>
          <w:sz w:val="16"/>
          <w:szCs w:val="16"/>
        </w:rPr>
        <w:t> </w:t>
      </w:r>
      <w:r w:rsidRPr="00687A63">
        <w:rPr>
          <w:rFonts w:ascii="Arial" w:hAnsi="Arial" w:cs="Arial"/>
          <w:sz w:val="16"/>
          <w:szCs w:val="16"/>
        </w:rPr>
        <w:t xml:space="preserve">100 kcal par personne par jour ; une </w:t>
      </w:r>
      <w:proofErr w:type="gramStart"/>
      <w:r w:rsidRPr="00687A63">
        <w:rPr>
          <w:rFonts w:ascii="Arial" w:hAnsi="Arial" w:cs="Arial"/>
          <w:sz w:val="16"/>
          <w:szCs w:val="16"/>
        </w:rPr>
        <w:t>épidémie;</w:t>
      </w:r>
      <w:proofErr w:type="gramEnd"/>
      <w:r w:rsidRPr="00687A63">
        <w:rPr>
          <w:rFonts w:ascii="Arial" w:hAnsi="Arial" w:cs="Arial"/>
          <w:sz w:val="16"/>
          <w:szCs w:val="16"/>
        </w:rPr>
        <w:t xml:space="preserve"> un approvisionnement en eau potable et un assainissement inadéquat ; des abris inadéquats ; une guerre et un conflit, des troubles civils, les migrations et les déplacements. </w:t>
      </w:r>
    </w:p>
  </w:footnote>
  <w:footnote w:id="7">
    <w:p w14:paraId="3E8F6D24" w14:textId="77777777" w:rsidR="00F61302" w:rsidRPr="00687A63" w:rsidRDefault="00F61302" w:rsidP="00FE35E2">
      <w:pPr>
        <w:pStyle w:val="Notedebasdepage"/>
        <w:contextualSpacing/>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En se référant aux orientations d’appui 2016 de l’IASC pour l’établissement de profils humanitaires. </w:t>
      </w:r>
    </w:p>
  </w:footnote>
  <w:footnote w:id="8">
    <w:p w14:paraId="1F5AD047" w14:textId="07D94153" w:rsidR="00F61302" w:rsidRPr="00687A63" w:rsidRDefault="00F61302" w:rsidP="00FE35E2">
      <w:pPr>
        <w:pStyle w:val="Notedebasdepage"/>
        <w:contextualSpacing/>
        <w:rPr>
          <w:rFonts w:ascii="Arial" w:hAnsi="Arial" w:cs="Arial"/>
          <w:sz w:val="16"/>
          <w:szCs w:val="16"/>
        </w:rPr>
      </w:pPr>
      <w:r w:rsidRPr="00687A63">
        <w:rPr>
          <w:rStyle w:val="Appelnotedebasdep"/>
          <w:rFonts w:ascii="Arial" w:hAnsi="Arial" w:cs="Arial"/>
          <w:sz w:val="16"/>
          <w:szCs w:val="16"/>
        </w:rPr>
        <w:footnoteRef/>
      </w:r>
      <w:r w:rsidRPr="00687A63">
        <w:rPr>
          <w:rStyle w:val="Appelnotedebasdep"/>
          <w:rFonts w:ascii="Arial" w:hAnsi="Arial" w:cs="Arial"/>
          <w:sz w:val="16"/>
          <w:szCs w:val="16"/>
        </w:rPr>
        <w:t xml:space="preserve"> </w:t>
      </w:r>
      <w:r w:rsidRPr="00687A63">
        <w:rPr>
          <w:rFonts w:ascii="Arial" w:hAnsi="Arial" w:cs="Arial"/>
          <w:sz w:val="16"/>
          <w:szCs w:val="16"/>
        </w:rPr>
        <w:t xml:space="preserve">La fiabilité des données </w:t>
      </w:r>
      <w:r>
        <w:rPr>
          <w:rFonts w:ascii="Arial" w:hAnsi="Arial" w:cs="Arial"/>
          <w:sz w:val="16"/>
          <w:szCs w:val="16"/>
        </w:rPr>
        <w:t>et</w:t>
      </w:r>
      <w:r w:rsidRPr="00687A63">
        <w:rPr>
          <w:rFonts w:ascii="Arial" w:hAnsi="Arial" w:cs="Arial"/>
          <w:sz w:val="16"/>
          <w:szCs w:val="16"/>
        </w:rPr>
        <w:t xml:space="preserve"> les résultats nutritionnels en termes de </w:t>
      </w:r>
      <w:r>
        <w:rPr>
          <w:rFonts w:ascii="Arial" w:hAnsi="Arial" w:cs="Arial"/>
          <w:sz w:val="16"/>
          <w:szCs w:val="16"/>
        </w:rPr>
        <w:t>temporalité</w:t>
      </w:r>
      <w:r w:rsidRPr="00687A63">
        <w:rPr>
          <w:rFonts w:ascii="Arial" w:hAnsi="Arial" w:cs="Arial"/>
          <w:sz w:val="16"/>
          <w:szCs w:val="16"/>
        </w:rPr>
        <w:t xml:space="preserve">, de pertinence et de solidité de la méthodologie employée est présentée à la </w:t>
      </w:r>
      <w:r w:rsidRPr="00687A63">
        <w:rPr>
          <w:rFonts w:ascii="Arial" w:hAnsi="Arial" w:cs="Arial"/>
          <w:i/>
          <w:sz w:val="16"/>
          <w:szCs w:val="16"/>
        </w:rPr>
        <w:t xml:space="preserve">Figure 1 </w:t>
      </w:r>
      <w:r w:rsidRPr="00687A63">
        <w:rPr>
          <w:rFonts w:ascii="Arial" w:hAnsi="Arial" w:cs="Arial"/>
          <w:sz w:val="16"/>
          <w:szCs w:val="16"/>
        </w:rPr>
        <w:t>ci-dessous.</w:t>
      </w:r>
    </w:p>
  </w:footnote>
  <w:footnote w:id="9">
    <w:p w14:paraId="79F4F13B" w14:textId="77777777" w:rsidR="00F61302" w:rsidRPr="00687A63" w:rsidRDefault="00F61302" w:rsidP="007F6643">
      <w:pPr>
        <w:pStyle w:val="Notedebasdepage"/>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Des détails complémentaires sur les rôles et les responsabilités du GTT SIN figurent </w:t>
      </w:r>
      <w:hyperlink r:id="rId3" w:history="1">
        <w:r w:rsidRPr="00687A63">
          <w:rPr>
            <w:rStyle w:val="Lienhypertexte"/>
            <w:rFonts w:ascii="Arial" w:hAnsi="Arial" w:cs="Arial"/>
            <w:sz w:val="16"/>
            <w:szCs w:val="16"/>
          </w:rPr>
          <w:t>ici</w:t>
        </w:r>
      </w:hyperlink>
      <w:r w:rsidRPr="00687A63">
        <w:rPr>
          <w:rFonts w:ascii="Arial" w:hAnsi="Arial" w:cs="Arial"/>
          <w:sz w:val="16"/>
          <w:szCs w:val="16"/>
        </w:rPr>
        <w:t>.</w:t>
      </w:r>
    </w:p>
  </w:footnote>
  <w:footnote w:id="10">
    <w:p w14:paraId="44D7628A" w14:textId="4FE0C59C" w:rsidR="00F61302" w:rsidRPr="00687A63" w:rsidRDefault="00F61302" w:rsidP="007F6643">
      <w:pPr>
        <w:pStyle w:val="Notedebasdepage"/>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Ce point focal devra posséder de solides connaissances techniques </w:t>
      </w:r>
      <w:r>
        <w:rPr>
          <w:rFonts w:ascii="Arial" w:hAnsi="Arial" w:cs="Arial"/>
          <w:sz w:val="16"/>
          <w:szCs w:val="16"/>
        </w:rPr>
        <w:t>sur</w:t>
      </w:r>
      <w:r w:rsidRPr="00687A63">
        <w:rPr>
          <w:rFonts w:ascii="Arial" w:hAnsi="Arial" w:cs="Arial"/>
          <w:sz w:val="16"/>
          <w:szCs w:val="16"/>
        </w:rPr>
        <w:t xml:space="preserve"> la nutrition et être disposé à communiquer avec les collègues responsables de l’analyse du JIAF et à leur </w:t>
      </w:r>
      <w:r>
        <w:rPr>
          <w:rFonts w:ascii="Arial" w:hAnsi="Arial" w:cs="Arial"/>
          <w:sz w:val="16"/>
          <w:szCs w:val="16"/>
        </w:rPr>
        <w:t>soumettre</w:t>
      </w:r>
      <w:r w:rsidRPr="00687A63">
        <w:rPr>
          <w:rFonts w:ascii="Arial" w:hAnsi="Arial" w:cs="Arial"/>
          <w:sz w:val="16"/>
          <w:szCs w:val="16"/>
        </w:rPr>
        <w:t xml:space="preserve"> tous les principaux points de nutrition. Dans certains cas, il ne </w:t>
      </w:r>
      <w:r>
        <w:rPr>
          <w:rFonts w:ascii="Arial" w:hAnsi="Arial" w:cs="Arial"/>
          <w:sz w:val="16"/>
          <w:szCs w:val="16"/>
        </w:rPr>
        <w:t xml:space="preserve">faut </w:t>
      </w:r>
      <w:r w:rsidRPr="00687A63">
        <w:rPr>
          <w:rFonts w:ascii="Arial" w:hAnsi="Arial" w:cs="Arial"/>
          <w:sz w:val="16"/>
          <w:szCs w:val="16"/>
        </w:rPr>
        <w:t xml:space="preserve">pas </w:t>
      </w:r>
      <w:r>
        <w:rPr>
          <w:rFonts w:ascii="Arial" w:hAnsi="Arial" w:cs="Arial"/>
          <w:sz w:val="16"/>
          <w:szCs w:val="16"/>
        </w:rPr>
        <w:t xml:space="preserve">nécessairement </w:t>
      </w:r>
      <w:r w:rsidRPr="00687A63">
        <w:rPr>
          <w:rFonts w:ascii="Arial" w:hAnsi="Arial" w:cs="Arial"/>
          <w:sz w:val="16"/>
          <w:szCs w:val="16"/>
        </w:rPr>
        <w:t xml:space="preserve">se limiter aux membres du GTT SIN ; des Termes de référence pour identifier cette personne à l’échelle du pays peuvent donc être requis.  </w:t>
      </w:r>
    </w:p>
  </w:footnote>
  <w:footnote w:id="11">
    <w:p w14:paraId="15EC1696" w14:textId="77777777" w:rsidR="00F61302" w:rsidRPr="00687A63" w:rsidRDefault="00F61302" w:rsidP="003D24FA">
      <w:pPr>
        <w:pStyle w:val="Notedebasdepage"/>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En se référant aux orientations d’appui 2016 de l’IASC pour l’établissement de profils humanitaires. </w:t>
      </w:r>
    </w:p>
  </w:footnote>
  <w:footnote w:id="12">
    <w:p w14:paraId="1D2B32CA" w14:textId="77777777" w:rsidR="00F61302" w:rsidRPr="00687A63" w:rsidRDefault="00F61302" w:rsidP="007F6643">
      <w:pPr>
        <w:pStyle w:val="Notedebasdepage"/>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D’excellents exemples en sont le Cadre intégré de classification de la sécurité alimentaire (IPC) et le Cadre harmonisé (CH), dont les classements de la sévérité devraient toujours être traités comme des indicateurs critiques.</w:t>
      </w:r>
    </w:p>
  </w:footnote>
  <w:footnote w:id="13">
    <w:p w14:paraId="1D482F00" w14:textId="12493A90" w:rsidR="00F61302" w:rsidRPr="00687A63" w:rsidRDefault="00F61302" w:rsidP="000731A4">
      <w:pPr>
        <w:jc w:val="both"/>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w:t>
      </w:r>
      <w:proofErr w:type="gramStart"/>
      <w:r w:rsidRPr="00687A63">
        <w:rPr>
          <w:rFonts w:ascii="Arial" w:hAnsi="Arial" w:cs="Arial"/>
          <w:sz w:val="16"/>
          <w:szCs w:val="16"/>
        </w:rPr>
        <w:t>cMAG</w:t>
      </w:r>
      <w:proofErr w:type="gramEnd"/>
      <w:r w:rsidRPr="00687A63">
        <w:rPr>
          <w:rFonts w:ascii="Arial" w:hAnsi="Arial" w:cs="Arial"/>
          <w:sz w:val="16"/>
          <w:szCs w:val="16"/>
        </w:rPr>
        <w:t xml:space="preserve"> : indicateur </w:t>
      </w:r>
      <w:r>
        <w:rPr>
          <w:rFonts w:ascii="Arial" w:hAnsi="Arial" w:cs="Arial"/>
          <w:sz w:val="16"/>
          <w:szCs w:val="16"/>
        </w:rPr>
        <w:t>qui cumule</w:t>
      </w:r>
      <w:r w:rsidRPr="00687A63">
        <w:rPr>
          <w:rFonts w:ascii="Arial" w:hAnsi="Arial" w:cs="Arial"/>
          <w:sz w:val="16"/>
          <w:szCs w:val="16"/>
        </w:rPr>
        <w:t xml:space="preserve"> la MAG selon le rapport P/T et la MAG selon le PB. Le GNC reconnaît et promeut le traitement de toutes les formes de malnutrition aiguë, y compris </w:t>
      </w:r>
      <w:r>
        <w:rPr>
          <w:rFonts w:ascii="Arial" w:hAnsi="Arial" w:cs="Arial"/>
          <w:sz w:val="16"/>
          <w:szCs w:val="16"/>
        </w:rPr>
        <w:t xml:space="preserve">pour </w:t>
      </w:r>
      <w:r w:rsidRPr="00687A63">
        <w:rPr>
          <w:rFonts w:ascii="Arial" w:hAnsi="Arial" w:cs="Arial"/>
          <w:sz w:val="16"/>
          <w:szCs w:val="16"/>
        </w:rPr>
        <w:t>tous les enfants présentant un PB faible</w:t>
      </w:r>
      <w:r>
        <w:rPr>
          <w:rFonts w:ascii="Arial" w:hAnsi="Arial" w:cs="Arial"/>
          <w:sz w:val="16"/>
          <w:szCs w:val="16"/>
        </w:rPr>
        <w:t xml:space="preserve"> uniquement</w:t>
      </w:r>
      <w:r w:rsidRPr="00687A63">
        <w:rPr>
          <w:rFonts w:ascii="Arial" w:hAnsi="Arial" w:cs="Arial"/>
          <w:sz w:val="16"/>
          <w:szCs w:val="16"/>
        </w:rPr>
        <w:t xml:space="preserve">, un rapport P/T faible </w:t>
      </w:r>
      <w:r>
        <w:rPr>
          <w:rFonts w:ascii="Arial" w:hAnsi="Arial" w:cs="Arial"/>
          <w:sz w:val="16"/>
          <w:szCs w:val="16"/>
        </w:rPr>
        <w:t>uniquement et/</w:t>
      </w:r>
      <w:r w:rsidRPr="00687A63">
        <w:rPr>
          <w:rFonts w:ascii="Arial" w:hAnsi="Arial" w:cs="Arial"/>
          <w:sz w:val="16"/>
          <w:szCs w:val="16"/>
        </w:rPr>
        <w:t>ou un œdème bilatéral.</w:t>
      </w:r>
    </w:p>
  </w:footnote>
  <w:footnote w:id="14">
    <w:p w14:paraId="753FCEA4" w14:textId="07C21582" w:rsidR="00F61302" w:rsidRPr="0009769E" w:rsidRDefault="00F61302" w:rsidP="0009769E">
      <w:pPr>
        <w:pStyle w:val="Lgende"/>
        <w:keepNext/>
        <w:rPr>
          <w:rFonts w:ascii="Arial" w:hAnsi="Arial" w:cs="Arial"/>
          <w:i w:val="0"/>
          <w:iCs w:val="0"/>
          <w:color w:val="auto"/>
          <w:sz w:val="16"/>
          <w:szCs w:val="16"/>
        </w:rPr>
      </w:pPr>
      <w:r w:rsidRPr="0009769E">
        <w:rPr>
          <w:rStyle w:val="Appelnotedebasdep"/>
          <w:rFonts w:ascii="Arial" w:eastAsiaTheme="minorHAnsi" w:hAnsi="Arial" w:cs="Arial"/>
          <w:i w:val="0"/>
          <w:iCs w:val="0"/>
          <w:color w:val="auto"/>
          <w:sz w:val="16"/>
          <w:szCs w:val="16"/>
          <w:lang w:eastAsia="en-US"/>
        </w:rPr>
        <w:footnoteRef/>
      </w:r>
      <w:r w:rsidRPr="00687A63">
        <w:rPr>
          <w:rFonts w:ascii="Arial" w:hAnsi="Arial" w:cs="Arial"/>
          <w:sz w:val="16"/>
          <w:szCs w:val="16"/>
        </w:rPr>
        <w:t xml:space="preserve"> </w:t>
      </w:r>
      <w:r w:rsidRPr="0009769E">
        <w:rPr>
          <w:rFonts w:ascii="Arial" w:hAnsi="Arial" w:cs="Arial"/>
          <w:i w:val="0"/>
          <w:iCs w:val="0"/>
          <w:color w:val="auto"/>
          <w:sz w:val="16"/>
          <w:szCs w:val="16"/>
        </w:rPr>
        <w:t xml:space="preserve">Lors du calcul de la population affectée et de la population dans le besoin seules les catégories mutuellement exclusives (par exemple, les enfants et les adultes) </w:t>
      </w:r>
      <w:r>
        <w:rPr>
          <w:rFonts w:ascii="Arial" w:hAnsi="Arial" w:cs="Arial"/>
          <w:i w:val="0"/>
          <w:iCs w:val="0"/>
          <w:color w:val="auto"/>
          <w:sz w:val="16"/>
          <w:szCs w:val="16"/>
        </w:rPr>
        <w:t>et les</w:t>
      </w:r>
      <w:r w:rsidRPr="0009769E">
        <w:rPr>
          <w:rFonts w:ascii="Arial" w:hAnsi="Arial" w:cs="Arial"/>
          <w:i w:val="0"/>
          <w:iCs w:val="0"/>
          <w:color w:val="auto"/>
          <w:sz w:val="16"/>
          <w:szCs w:val="16"/>
        </w:rPr>
        <w:t xml:space="preserve"> emplacements géographiques </w:t>
      </w:r>
      <w:r w:rsidRPr="0004594D">
        <w:rPr>
          <w:rFonts w:ascii="Arial" w:hAnsi="Arial" w:cs="Arial"/>
          <w:i w:val="0"/>
          <w:iCs w:val="0"/>
          <w:color w:val="auto"/>
          <w:sz w:val="16"/>
          <w:szCs w:val="16"/>
        </w:rPr>
        <w:t xml:space="preserve">sont </w:t>
      </w:r>
      <w:r>
        <w:rPr>
          <w:rFonts w:ascii="Arial" w:hAnsi="Arial" w:cs="Arial"/>
          <w:i w:val="0"/>
          <w:iCs w:val="0"/>
          <w:color w:val="auto"/>
          <w:sz w:val="16"/>
          <w:szCs w:val="16"/>
        </w:rPr>
        <w:t>cumulé</w:t>
      </w:r>
      <w:r w:rsidRPr="0004594D">
        <w:rPr>
          <w:rFonts w:ascii="Arial" w:hAnsi="Arial" w:cs="Arial"/>
          <w:i w:val="0"/>
          <w:iCs w:val="0"/>
          <w:color w:val="auto"/>
          <w:sz w:val="16"/>
          <w:szCs w:val="16"/>
        </w:rPr>
        <w:t>s</w:t>
      </w:r>
      <w:r w:rsidRPr="0009769E">
        <w:rPr>
          <w:rFonts w:ascii="Arial" w:hAnsi="Arial" w:cs="Arial"/>
          <w:i w:val="0"/>
          <w:iCs w:val="0"/>
          <w:color w:val="auto"/>
          <w:sz w:val="16"/>
          <w:szCs w:val="16"/>
        </w:rPr>
        <w:t>; lorsque les catégories et les emplacements géographiques se chevauchent, la plus grande catégorie unique est utilisée comme approximation (si disponible, utiliser les données d'enquête sur les corrélations pour ajouter différentes catégories tout en ajustant le pourcentage de chevauchement)</w:t>
      </w:r>
      <w:r>
        <w:rPr>
          <w:rFonts w:ascii="Arial" w:hAnsi="Arial" w:cs="Arial"/>
          <w:i w:val="0"/>
          <w:iCs w:val="0"/>
          <w:color w:val="auto"/>
          <w:sz w:val="16"/>
          <w:szCs w:val="16"/>
        </w:rPr>
        <w:t>. L</w:t>
      </w:r>
      <w:r w:rsidRPr="0009769E">
        <w:rPr>
          <w:rFonts w:ascii="Arial" w:hAnsi="Arial" w:cs="Arial"/>
          <w:i w:val="0"/>
          <w:iCs w:val="0"/>
          <w:color w:val="auto"/>
          <w:sz w:val="16"/>
          <w:szCs w:val="16"/>
        </w:rPr>
        <w:t>ors</w:t>
      </w:r>
      <w:r>
        <w:rPr>
          <w:rFonts w:ascii="Arial" w:hAnsi="Arial" w:cs="Arial"/>
          <w:i w:val="0"/>
          <w:iCs w:val="0"/>
          <w:color w:val="auto"/>
          <w:sz w:val="16"/>
          <w:szCs w:val="16"/>
        </w:rPr>
        <w:t>que</w:t>
      </w:r>
      <w:r w:rsidRPr="0009769E">
        <w:rPr>
          <w:rFonts w:ascii="Arial" w:hAnsi="Arial" w:cs="Arial"/>
          <w:i w:val="0"/>
          <w:iCs w:val="0"/>
          <w:color w:val="auto"/>
          <w:sz w:val="16"/>
          <w:szCs w:val="16"/>
        </w:rPr>
        <w:t xml:space="preserve"> de l'agrégation des besoins pour plusieurs catégories</w:t>
      </w:r>
      <w:r>
        <w:rPr>
          <w:rFonts w:ascii="Arial" w:hAnsi="Arial" w:cs="Arial"/>
          <w:i w:val="0"/>
          <w:iCs w:val="0"/>
          <w:color w:val="auto"/>
          <w:sz w:val="16"/>
          <w:szCs w:val="16"/>
        </w:rPr>
        <w:t xml:space="preserve"> est réalisée,</w:t>
      </w:r>
      <w:r w:rsidRPr="0009769E">
        <w:rPr>
          <w:rFonts w:ascii="Arial" w:hAnsi="Arial" w:cs="Arial"/>
          <w:i w:val="0"/>
          <w:iCs w:val="0"/>
          <w:color w:val="auto"/>
          <w:sz w:val="16"/>
          <w:szCs w:val="16"/>
        </w:rPr>
        <w:t xml:space="preserve"> il est d'abord agrégé à l'unité de mesure la plus basse (par exemple, le niveau administratif) pour le total maxim</w:t>
      </w:r>
      <w:r>
        <w:rPr>
          <w:rFonts w:ascii="Arial" w:hAnsi="Arial" w:cs="Arial"/>
          <w:i w:val="0"/>
          <w:iCs w:val="0"/>
          <w:color w:val="auto"/>
          <w:sz w:val="16"/>
          <w:szCs w:val="16"/>
        </w:rPr>
        <w:t>al</w:t>
      </w:r>
      <w:r w:rsidRPr="0009769E">
        <w:rPr>
          <w:rFonts w:ascii="Arial" w:hAnsi="Arial" w:cs="Arial"/>
          <w:i w:val="0"/>
          <w:iCs w:val="0"/>
          <w:color w:val="auto"/>
          <w:sz w:val="16"/>
          <w:szCs w:val="16"/>
        </w:rPr>
        <w:t xml:space="preserve"> le plus précis (par exemple, en tenant compte des besoins plus élevés parmi les populations déplacées)</w:t>
      </w:r>
      <w:r w:rsidRPr="00B50863">
        <w:rPr>
          <w:rFonts w:ascii="Arial" w:hAnsi="Arial" w:cs="Arial"/>
          <w:i w:val="0"/>
          <w:iCs w:val="0"/>
          <w:color w:val="auto"/>
          <w:sz w:val="16"/>
          <w:szCs w:val="16"/>
        </w:rPr>
        <w:t>.</w:t>
      </w:r>
    </w:p>
  </w:footnote>
  <w:footnote w:id="15">
    <w:p w14:paraId="2BE759E6" w14:textId="77777777" w:rsidR="00F61302" w:rsidRPr="00687A63" w:rsidRDefault="00F61302" w:rsidP="00F044B6">
      <w:pPr>
        <w:pStyle w:val="paragraph"/>
        <w:spacing w:before="0" w:beforeAutospacing="0" w:after="0" w:afterAutospacing="0"/>
        <w:jc w:val="both"/>
        <w:textAlignment w:val="baseline"/>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w:t>
      </w:r>
      <w:r w:rsidRPr="00687A63">
        <w:rPr>
          <w:rStyle w:val="normaltextrun"/>
          <w:rFonts w:ascii="Arial" w:hAnsi="Arial" w:cs="Arial"/>
          <w:color w:val="000000"/>
          <w:sz w:val="16"/>
          <w:szCs w:val="16"/>
          <w:shd w:val="clear" w:color="auto" w:fill="FFFFFF"/>
        </w:rPr>
        <w:t>Voir l’</w:t>
      </w:r>
      <w:hyperlink r:id="rId4" w:history="1">
        <w:r w:rsidRPr="00687A63">
          <w:rPr>
            <w:rStyle w:val="Lienhypertexte"/>
            <w:rFonts w:ascii="Arial" w:hAnsi="Arial" w:cs="Arial"/>
            <w:i/>
            <w:sz w:val="16"/>
            <w:szCs w:val="16"/>
            <w:shd w:val="clear" w:color="auto" w:fill="FFFFFF"/>
          </w:rPr>
          <w:t>Annexe 1</w:t>
        </w:r>
      </w:hyperlink>
      <w:r w:rsidRPr="00687A63">
        <w:rPr>
          <w:rStyle w:val="Lienhypertexte"/>
          <w:rFonts w:ascii="Arial" w:hAnsi="Arial" w:cs="Arial"/>
          <w:sz w:val="16"/>
          <w:szCs w:val="16"/>
          <w:shd w:val="clear" w:color="auto" w:fill="FFFFFF"/>
        </w:rPr>
        <w:t xml:space="preserve"> des Directives pour l’analyse des besoins humanitaires en matière de nutrition</w:t>
      </w:r>
      <w:r w:rsidRPr="00687A63">
        <w:rPr>
          <w:rStyle w:val="normaltextrun"/>
          <w:rFonts w:ascii="Arial" w:hAnsi="Arial" w:cs="Arial"/>
          <w:color w:val="000000"/>
          <w:sz w:val="16"/>
          <w:szCs w:val="16"/>
          <w:shd w:val="clear" w:color="auto" w:fill="FFFFFF"/>
        </w:rPr>
        <w:t xml:space="preserve"> pour connaître les principales causes/principaux moteurs de la malnutrition.</w:t>
      </w:r>
    </w:p>
  </w:footnote>
  <w:footnote w:id="16">
    <w:p w14:paraId="65708AD1" w14:textId="77777777" w:rsidR="00F61302" w:rsidRPr="00687A63" w:rsidRDefault="00F61302" w:rsidP="00F044B6">
      <w:pPr>
        <w:pStyle w:val="Notedebasdepage"/>
        <w:rPr>
          <w:rFonts w:ascii="Arial" w:hAnsi="Arial" w:cs="Arial"/>
          <w:sz w:val="16"/>
          <w:szCs w:val="16"/>
        </w:rPr>
      </w:pPr>
      <w:r w:rsidRPr="00687A63">
        <w:rPr>
          <w:rStyle w:val="Appelnotedebasdep"/>
          <w:rFonts w:ascii="Arial" w:hAnsi="Arial" w:cs="Arial"/>
          <w:sz w:val="16"/>
          <w:szCs w:val="16"/>
        </w:rPr>
        <w:footnoteRef/>
      </w:r>
      <w:r w:rsidRPr="00687A63">
        <w:rPr>
          <w:rFonts w:ascii="Arial" w:hAnsi="Arial" w:cs="Arial"/>
          <w:sz w:val="16"/>
          <w:szCs w:val="16"/>
        </w:rPr>
        <w:t xml:space="preserve"> </w:t>
      </w:r>
      <w:hyperlink r:id="rId5" w:history="1">
        <w:r w:rsidRPr="00687A63">
          <w:rPr>
            <w:rStyle w:val="Lienhypertexte"/>
            <w:rFonts w:ascii="Arial" w:hAnsi="Arial" w:cs="Arial"/>
            <w:sz w:val="16"/>
            <w:szCs w:val="16"/>
          </w:rPr>
          <w:t>Guide pas-à-pas 2022 sur le cycle de programmes humanitaires</w:t>
        </w:r>
      </w:hyperlink>
      <w:r w:rsidRPr="00687A63">
        <w:rPr>
          <w:rFonts w:ascii="Arial" w:hAnsi="Arial" w:cs="Arial"/>
          <w:sz w:val="16"/>
          <w:szCs w:val="16"/>
        </w:rPr>
        <w:t xml:space="preserve">. </w:t>
      </w:r>
    </w:p>
  </w:footnote>
  <w:footnote w:id="17">
    <w:p w14:paraId="298A71F5" w14:textId="77777777" w:rsidR="00F61302" w:rsidRPr="00687A63" w:rsidRDefault="00F61302" w:rsidP="00550D39">
      <w:pPr>
        <w:jc w:val="both"/>
        <w:rPr>
          <w:rFonts w:ascii="Arial" w:hAnsi="Arial" w:cs="Arial"/>
          <w:sz w:val="16"/>
          <w:szCs w:val="16"/>
        </w:rPr>
      </w:pPr>
      <w:r w:rsidRPr="00687A63">
        <w:rPr>
          <w:rFonts w:ascii="Arial" w:hAnsi="Arial" w:cs="Arial"/>
          <w:sz w:val="16"/>
          <w:szCs w:val="16"/>
          <w:vertAlign w:val="superscript"/>
        </w:rPr>
        <w:footnoteRef/>
      </w:r>
      <w:r w:rsidRPr="00687A63">
        <w:rPr>
          <w:rFonts w:ascii="Arial" w:hAnsi="Arial" w:cs="Arial"/>
          <w:sz w:val="16"/>
          <w:szCs w:val="16"/>
        </w:rPr>
        <w:t xml:space="preserve"> Pour déterminer les capacités existantes, il est conseillé de recenser les principaux prestataires de services – par exemple, le gouvernement ou les autorités locales, les organisations de personnes handicapées, les communautés, les organisations confessionnelles, les entités privées, la Croix-Rouge et le Croissant-Rouge, les ONG nationales, les ONG internationales, etc.</w:t>
      </w:r>
    </w:p>
  </w:footnote>
  <w:footnote w:id="18">
    <w:p w14:paraId="3F428B69" w14:textId="3BBFD326" w:rsidR="00F61302" w:rsidRPr="00687A63" w:rsidRDefault="00F61302" w:rsidP="00550D39">
      <w:pPr>
        <w:jc w:val="both"/>
        <w:rPr>
          <w:rFonts w:ascii="Arial" w:hAnsi="Arial" w:cs="Arial"/>
          <w:sz w:val="16"/>
          <w:szCs w:val="16"/>
        </w:rPr>
      </w:pPr>
      <w:r w:rsidRPr="00687A63">
        <w:rPr>
          <w:rFonts w:ascii="Arial" w:hAnsi="Arial" w:cs="Arial"/>
          <w:sz w:val="16"/>
          <w:szCs w:val="16"/>
          <w:vertAlign w:val="superscript"/>
        </w:rPr>
        <w:footnoteRef/>
      </w:r>
      <w:r w:rsidRPr="00687A63">
        <w:rPr>
          <w:rFonts w:ascii="Arial" w:hAnsi="Arial" w:cs="Arial"/>
          <w:sz w:val="16"/>
          <w:szCs w:val="16"/>
        </w:rPr>
        <w:t xml:space="preserve"> Il convient de noter que tous les indicateurs ou toutes les informations directement lié(e)s à l’existence, au fonctionnement, à la qualité ou à la couverture d’un service devraient être assigné(e)s à ce sous-pilier – par exemple, le nombre ou le pourcentage d’installations </w:t>
      </w:r>
      <w:r>
        <w:rPr>
          <w:rFonts w:ascii="Arial" w:hAnsi="Arial" w:cs="Arial"/>
          <w:sz w:val="16"/>
          <w:szCs w:val="16"/>
        </w:rPr>
        <w:t>d’éducation</w:t>
      </w:r>
      <w:r w:rsidRPr="00687A63">
        <w:rPr>
          <w:rFonts w:ascii="Arial" w:hAnsi="Arial" w:cs="Arial"/>
          <w:sz w:val="16"/>
          <w:szCs w:val="16"/>
        </w:rPr>
        <w:t xml:space="preserve"> détruites, le nombre ou le pourcentage d’écoles ouvertes/fermées, les niveaux des soins de santé et les types de services de santé disponibles, les postes de police et les tribunaux opérationnels, le nombre ou le pourcentage de marchés alimentaires opérationnels, la disponibilité des articles essentiels sur les marchés existants, etc. La mesure de l’accès des personnes à ces services devrait être prise en compte dans le cadre du sous-pilier sur les conditions humanitaires/conditions de vie.</w:t>
      </w:r>
    </w:p>
  </w:footnote>
  <w:footnote w:id="19">
    <w:p w14:paraId="76EB18F4" w14:textId="115BC848" w:rsidR="00F61302" w:rsidRPr="00687A63" w:rsidRDefault="00F61302" w:rsidP="00550D39">
      <w:pPr>
        <w:jc w:val="both"/>
        <w:rPr>
          <w:rFonts w:ascii="Arial" w:hAnsi="Arial" w:cs="Arial"/>
          <w:sz w:val="16"/>
          <w:szCs w:val="16"/>
        </w:rPr>
      </w:pPr>
      <w:r w:rsidRPr="00687A63">
        <w:rPr>
          <w:rFonts w:ascii="Arial" w:hAnsi="Arial" w:cs="Arial"/>
          <w:sz w:val="16"/>
          <w:szCs w:val="16"/>
          <w:vertAlign w:val="superscript"/>
        </w:rPr>
        <w:footnoteRef/>
      </w:r>
      <w:r w:rsidRPr="00687A63">
        <w:rPr>
          <w:rFonts w:ascii="Arial" w:hAnsi="Arial" w:cs="Arial"/>
          <w:sz w:val="16"/>
          <w:szCs w:val="16"/>
        </w:rPr>
        <w:t xml:space="preserve"> Suite aux demandes des clusters mondiaux, certains indicateurs appartenant normalement au pilier «</w:t>
      </w:r>
      <w:r>
        <w:rPr>
          <w:rFonts w:ascii="Arial" w:hAnsi="Arial" w:cs="Arial"/>
          <w:sz w:val="16"/>
          <w:szCs w:val="16"/>
        </w:rPr>
        <w:t> </w:t>
      </w:r>
      <w:r w:rsidRPr="00687A63">
        <w:rPr>
          <w:rFonts w:ascii="Arial" w:hAnsi="Arial" w:cs="Arial"/>
          <w:sz w:val="16"/>
          <w:szCs w:val="16"/>
        </w:rPr>
        <w:t>Impact sur les services</w:t>
      </w:r>
      <w:r>
        <w:rPr>
          <w:rFonts w:ascii="Arial" w:hAnsi="Arial" w:cs="Arial"/>
          <w:sz w:val="16"/>
          <w:szCs w:val="16"/>
        </w:rPr>
        <w:t> </w:t>
      </w:r>
      <w:r w:rsidRPr="00687A63">
        <w:rPr>
          <w:rFonts w:ascii="Arial" w:hAnsi="Arial" w:cs="Arial"/>
          <w:sz w:val="16"/>
          <w:szCs w:val="16"/>
        </w:rPr>
        <w:t>» sont passés dans le pilier «</w:t>
      </w:r>
      <w:r>
        <w:rPr>
          <w:rFonts w:ascii="Arial" w:hAnsi="Arial" w:cs="Arial"/>
          <w:sz w:val="16"/>
          <w:szCs w:val="16"/>
        </w:rPr>
        <w:t> </w:t>
      </w:r>
      <w:r w:rsidRPr="00687A63">
        <w:rPr>
          <w:rFonts w:ascii="Arial" w:hAnsi="Arial" w:cs="Arial"/>
          <w:sz w:val="16"/>
          <w:szCs w:val="16"/>
        </w:rPr>
        <w:t>Conditions humanitaires</w:t>
      </w:r>
      <w:r>
        <w:rPr>
          <w:rFonts w:ascii="Arial" w:hAnsi="Arial" w:cs="Arial"/>
          <w:sz w:val="16"/>
          <w:szCs w:val="16"/>
        </w:rPr>
        <w:t> </w:t>
      </w:r>
      <w:r w:rsidRPr="00687A63">
        <w:rPr>
          <w:rFonts w:ascii="Arial" w:hAnsi="Arial" w:cs="Arial"/>
          <w:sz w:val="16"/>
          <w:szCs w:val="16"/>
        </w:rPr>
        <w:t xml:space="preserve">», car ils </w:t>
      </w:r>
      <w:r>
        <w:rPr>
          <w:rFonts w:ascii="Arial" w:hAnsi="Arial" w:cs="Arial"/>
          <w:sz w:val="16"/>
          <w:szCs w:val="16"/>
        </w:rPr>
        <w:t>s</w:t>
      </w:r>
      <w:r w:rsidRPr="00687A63">
        <w:rPr>
          <w:rFonts w:ascii="Arial" w:hAnsi="Arial" w:cs="Arial"/>
          <w:sz w:val="16"/>
          <w:szCs w:val="16"/>
        </w:rPr>
        <w:t>ont considérés comme essentiels pour calculer le nombre de personnes dans le besoin. Dans le tableau de référence des indicateurs, ces indicateurs sont identifiés par la lettre «</w:t>
      </w:r>
      <w:r>
        <w:rPr>
          <w:rFonts w:ascii="Arial" w:hAnsi="Arial" w:cs="Arial"/>
          <w:sz w:val="16"/>
          <w:szCs w:val="16"/>
        </w:rPr>
        <w:t> </w:t>
      </w:r>
      <w:r w:rsidRPr="00687A63">
        <w:rPr>
          <w:rFonts w:ascii="Arial" w:hAnsi="Arial" w:cs="Arial"/>
          <w:sz w:val="16"/>
          <w:szCs w:val="16"/>
        </w:rPr>
        <w:t>E</w:t>
      </w:r>
      <w:r>
        <w:rPr>
          <w:rFonts w:ascii="Arial" w:hAnsi="Arial" w:cs="Arial"/>
          <w:sz w:val="16"/>
          <w:szCs w:val="16"/>
        </w:rPr>
        <w:t> </w:t>
      </w:r>
      <w:r w:rsidRPr="00687A63">
        <w:rPr>
          <w:rFonts w:ascii="Arial" w:hAnsi="Arial" w:cs="Arial"/>
          <w:sz w:val="16"/>
          <w:szCs w:val="16"/>
        </w:rPr>
        <w:t>» sous la colonne «</w:t>
      </w:r>
      <w:r>
        <w:rPr>
          <w:rFonts w:ascii="Arial" w:hAnsi="Arial" w:cs="Arial"/>
          <w:sz w:val="16"/>
          <w:szCs w:val="16"/>
        </w:rPr>
        <w:t> </w:t>
      </w:r>
      <w:r w:rsidRPr="00687A63">
        <w:rPr>
          <w:rFonts w:ascii="Arial" w:hAnsi="Arial" w:cs="Arial"/>
          <w:sz w:val="16"/>
          <w:szCs w:val="16"/>
        </w:rPr>
        <w:t>S</w:t>
      </w:r>
      <w:r>
        <w:rPr>
          <w:rFonts w:ascii="Arial" w:hAnsi="Arial" w:cs="Arial"/>
          <w:sz w:val="16"/>
          <w:szCs w:val="16"/>
        </w:rPr>
        <w:t> </w:t>
      </w:r>
      <w:r w:rsidRPr="00687A63">
        <w:rPr>
          <w:rFonts w:ascii="Arial" w:hAnsi="Arial" w:cs="Arial"/>
          <w:sz w:val="16"/>
          <w:szCs w:val="16"/>
        </w:rPr>
        <w:t xml:space="preserve">». </w:t>
      </w:r>
      <w:r>
        <w:rPr>
          <w:rFonts w:ascii="Arial" w:hAnsi="Arial" w:cs="Arial"/>
          <w:sz w:val="16"/>
          <w:szCs w:val="16"/>
        </w:rPr>
        <w:t>Au final</w:t>
      </w:r>
      <w:r w:rsidRPr="00687A63">
        <w:rPr>
          <w:rFonts w:ascii="Arial" w:hAnsi="Arial" w:cs="Arial"/>
          <w:sz w:val="16"/>
          <w:szCs w:val="16"/>
        </w:rPr>
        <w:t>, il est important de comprendre l’impact des dommages ou du dysfonctionnement des services essentiels et de leur accessibilité sur la survie des personnes et sur leur capacité à répondre à leurs besoins essentiels en termes de subsistance et de protection.</w:t>
      </w:r>
    </w:p>
  </w:footnote>
  <w:footnote w:id="20">
    <w:p w14:paraId="3429325E" w14:textId="3B346F33" w:rsidR="00F61302" w:rsidRPr="00687A63" w:rsidRDefault="00F61302" w:rsidP="00550D39">
      <w:pPr>
        <w:rPr>
          <w:rFonts w:ascii="Arial" w:hAnsi="Arial" w:cs="Arial"/>
          <w:sz w:val="16"/>
          <w:szCs w:val="16"/>
        </w:rPr>
      </w:pPr>
      <w:r w:rsidRPr="00687A63">
        <w:rPr>
          <w:rFonts w:ascii="Arial" w:hAnsi="Arial" w:cs="Arial"/>
          <w:sz w:val="16"/>
          <w:szCs w:val="16"/>
          <w:vertAlign w:val="superscript"/>
        </w:rPr>
        <w:footnoteRef/>
      </w:r>
      <w:r w:rsidRPr="00687A63">
        <w:rPr>
          <w:rFonts w:ascii="Arial" w:hAnsi="Arial" w:cs="Arial"/>
          <w:sz w:val="16"/>
          <w:szCs w:val="16"/>
        </w:rPr>
        <w:t xml:space="preserve"> Il est important de convenir de la liste exacte des besoins essentiels</w:t>
      </w:r>
      <w:r w:rsidRPr="000D3E75">
        <w:rPr>
          <w:rFonts w:ascii="Arial" w:hAnsi="Arial" w:cs="Arial"/>
          <w:sz w:val="16"/>
          <w:szCs w:val="16"/>
        </w:rPr>
        <w:t xml:space="preserve"> </w:t>
      </w:r>
      <w:r w:rsidRPr="00687A63">
        <w:rPr>
          <w:rFonts w:ascii="Arial" w:hAnsi="Arial" w:cs="Arial"/>
          <w:sz w:val="16"/>
          <w:szCs w:val="16"/>
        </w:rPr>
        <w:t xml:space="preserve">au niveau </w:t>
      </w:r>
      <w:r>
        <w:rPr>
          <w:rFonts w:ascii="Arial" w:hAnsi="Arial" w:cs="Arial"/>
          <w:sz w:val="16"/>
          <w:szCs w:val="16"/>
        </w:rPr>
        <w:t>du pays</w:t>
      </w:r>
      <w:r w:rsidRPr="00687A63">
        <w:rPr>
          <w:rFonts w:ascii="Arial" w:hAnsi="Arial" w:cs="Arial"/>
          <w:sz w:val="16"/>
          <w:szCs w:val="16"/>
        </w:rPr>
        <w:t>. Un bon point de départ est la liste des articles inclus dans le panier de dépenses minim</w:t>
      </w:r>
      <w:r>
        <w:rPr>
          <w:rFonts w:ascii="Arial" w:hAnsi="Arial" w:cs="Arial"/>
          <w:sz w:val="16"/>
          <w:szCs w:val="16"/>
        </w:rPr>
        <w:t>um</w:t>
      </w:r>
      <w:r w:rsidRPr="00687A63">
        <w:rPr>
          <w:rFonts w:ascii="Arial" w:hAnsi="Arial" w:cs="Arial"/>
          <w:sz w:val="16"/>
          <w:szCs w:val="16"/>
        </w:rPr>
        <w:t xml:space="preserve"> du pays. Selon le contexte, il est possible d’ajouter des éléments importants tels que des informations</w:t>
      </w:r>
      <w:r>
        <w:rPr>
          <w:rFonts w:ascii="Arial" w:hAnsi="Arial" w:cs="Arial"/>
          <w:sz w:val="16"/>
          <w:szCs w:val="16"/>
        </w:rPr>
        <w:t>, de l’</w:t>
      </w:r>
      <w:r w:rsidRPr="00687A63">
        <w:rPr>
          <w:rFonts w:ascii="Arial" w:hAnsi="Arial" w:cs="Arial"/>
          <w:sz w:val="16"/>
          <w:szCs w:val="16"/>
        </w:rPr>
        <w:t xml:space="preserve">éducation sur les risques, les services de transport, l’accès </w:t>
      </w:r>
      <w:r>
        <w:rPr>
          <w:rFonts w:ascii="Arial" w:hAnsi="Arial" w:cs="Arial"/>
          <w:sz w:val="16"/>
          <w:szCs w:val="16"/>
        </w:rPr>
        <w:t>à la</w:t>
      </w:r>
      <w:r w:rsidRPr="00687A63">
        <w:rPr>
          <w:rFonts w:ascii="Arial" w:hAnsi="Arial" w:cs="Arial"/>
          <w:sz w:val="16"/>
          <w:szCs w:val="16"/>
        </w:rPr>
        <w:t xml:space="preserve"> terre et </w:t>
      </w:r>
      <w:r>
        <w:rPr>
          <w:rFonts w:ascii="Arial" w:hAnsi="Arial" w:cs="Arial"/>
          <w:sz w:val="16"/>
          <w:szCs w:val="16"/>
        </w:rPr>
        <w:t>aux</w:t>
      </w:r>
      <w:r w:rsidRPr="00687A63">
        <w:rPr>
          <w:rFonts w:ascii="Arial" w:hAnsi="Arial" w:cs="Arial"/>
          <w:sz w:val="16"/>
          <w:szCs w:val="16"/>
        </w:rPr>
        <w:t xml:space="preserve"> ressources génératrices de revenus,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3888" w14:textId="77777777" w:rsidR="00F61302" w:rsidRDefault="00F613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0891" w14:textId="77777777" w:rsidR="00F61302" w:rsidRDefault="00F61302">
    <w:pPr>
      <w:pStyle w:val="En-tte"/>
    </w:pPr>
    <w:r>
      <w:rPr>
        <w:noProof/>
      </w:rPr>
      <mc:AlternateContent>
        <mc:Choice Requires="wps">
          <w:drawing>
            <wp:anchor distT="0" distB="0" distL="114300" distR="114300" simplePos="0" relativeHeight="251659264" behindDoc="0" locked="0" layoutInCell="1" allowOverlap="1" wp14:anchorId="0CE57288" wp14:editId="5967828D">
              <wp:simplePos x="0" y="0"/>
              <wp:positionH relativeFrom="page">
                <wp:align>right</wp:align>
              </wp:positionH>
              <wp:positionV relativeFrom="paragraph">
                <wp:posOffset>137160</wp:posOffset>
              </wp:positionV>
              <wp:extent cx="10683240" cy="45720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0683240" cy="457200"/>
                      </a:xfrm>
                      <a:prstGeom prst="rect">
                        <a:avLst/>
                      </a:prstGeom>
                      <a:solidFill>
                        <a:srgbClr val="808285"/>
                      </a:solidFill>
                      <a:ln>
                        <a:noFill/>
                      </a:ln>
                      <a:effectLst/>
                    </wps:spPr>
                    <wps:style>
                      <a:lnRef idx="0">
                        <a:schemeClr val="accent1"/>
                      </a:lnRef>
                      <a:fillRef idx="0">
                        <a:schemeClr val="accent1"/>
                      </a:fillRef>
                      <a:effectRef idx="0">
                        <a:schemeClr val="accent1"/>
                      </a:effectRef>
                      <a:fontRef idx="minor">
                        <a:schemeClr val="dk1"/>
                      </a:fontRef>
                    </wps:style>
                    <wps:txbx>
                      <w:txbxContent>
                        <w:p w14:paraId="6D2C1761" w14:textId="77777777" w:rsidR="00F61302" w:rsidRPr="00CA5937" w:rsidRDefault="00F61302" w:rsidP="00216EB8">
                          <w:pPr>
                            <w:rPr>
                              <w:rFonts w:ascii="Arial" w:hAnsi="Arial" w:cs="Arial"/>
                              <w:b/>
                              <w:color w:val="FFFFFF" w:themeColor="background1"/>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E57288" id="_x0000_t202" coordsize="21600,21600" o:spt="202" path="m,l,21600r21600,l21600,xe">
              <v:stroke joinstyle="miter"/>
              <v:path gradientshapeok="t" o:connecttype="rect"/>
            </v:shapetype>
            <v:shape id="Text Box 3" o:spid="_x0000_s1029" type="#_x0000_t202" style="position:absolute;margin-left:790pt;margin-top:10.8pt;width:841.2pt;height:36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" fillcolor="#808285" stroked="f">
              <v:textbox>
                <w:txbxContent>
                  <w:p w14:paraId="6D2C1761" w14:textId="77777777" w:rsidR="00F61302" w:rsidRPr="00CA5937" w:rsidRDefault="00F61302" w:rsidP="00216EB8">
                    <w:pPr>
                      <w:rPr>
                        <w:rFonts w:ascii="Arial" w:hAnsi="Arial" w:cs="Arial"/>
                        <w:b/>
                        <w:color w:val="FFFFFF" w:themeColor="background1"/>
                        <w:lang w:val="fr-CH"/>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FA36" w14:textId="77777777" w:rsidR="00F61302" w:rsidRDefault="00F6130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E42D3" w14:textId="77777777" w:rsidR="00F61302" w:rsidRDefault="00F61302">
    <w:pPr>
      <w:pStyle w:val="En-tte"/>
    </w:pPr>
    <w:r>
      <w:rPr>
        <w:noProof/>
      </w:rPr>
      <mc:AlternateContent>
        <mc:Choice Requires="wps">
          <w:drawing>
            <wp:anchor distT="0" distB="0" distL="114300" distR="114300" simplePos="0" relativeHeight="251667456" behindDoc="0" locked="0" layoutInCell="1" allowOverlap="1" wp14:anchorId="73084F6F" wp14:editId="20DC4AF7">
              <wp:simplePos x="0" y="0"/>
              <wp:positionH relativeFrom="page">
                <wp:align>right</wp:align>
              </wp:positionH>
              <wp:positionV relativeFrom="paragraph">
                <wp:posOffset>137160</wp:posOffset>
              </wp:positionV>
              <wp:extent cx="10687050" cy="311727"/>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0687050" cy="311727"/>
                      </a:xfrm>
                      <a:prstGeom prst="rect">
                        <a:avLst/>
                      </a:prstGeom>
                      <a:solidFill>
                        <a:srgbClr val="808285"/>
                      </a:solidFill>
                      <a:ln>
                        <a:noFill/>
                      </a:ln>
                      <a:effectLst/>
                    </wps:spPr>
                    <wps:style>
                      <a:lnRef idx="0">
                        <a:schemeClr val="accent1"/>
                      </a:lnRef>
                      <a:fillRef idx="0">
                        <a:schemeClr val="accent1"/>
                      </a:fillRef>
                      <a:effectRef idx="0">
                        <a:schemeClr val="accent1"/>
                      </a:effectRef>
                      <a:fontRef idx="minor">
                        <a:schemeClr val="dk1"/>
                      </a:fontRef>
                    </wps:style>
                    <wps:txbx>
                      <w:txbxContent>
                        <w:p w14:paraId="75DFEDE2" w14:textId="77777777" w:rsidR="00F61302" w:rsidRPr="00CA5937" w:rsidRDefault="00F61302" w:rsidP="00216EB8">
                          <w:pPr>
                            <w:rPr>
                              <w:rFonts w:ascii="Arial" w:hAnsi="Arial" w:cs="Arial"/>
                              <w:b/>
                              <w:color w:val="FFFFFF" w:themeColor="background1"/>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84F6F" id="_x0000_t202" coordsize="21600,21600" o:spt="202" path="m,l,21600r21600,l21600,xe">
              <v:stroke joinstyle="miter"/>
              <v:path gradientshapeok="t" o:connecttype="rect"/>
            </v:shapetype>
            <v:shape id="Text Box 25" o:spid="_x0000_s1030" type="#_x0000_t202" style="position:absolute;margin-left:790.3pt;margin-top:10.8pt;width:841.5pt;height:24.5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" fillcolor="#808285" stroked="f">
              <v:textbox>
                <w:txbxContent>
                  <w:p w14:paraId="75DFEDE2" w14:textId="77777777" w:rsidR="00F61302" w:rsidRPr="00CA5937" w:rsidRDefault="00F61302" w:rsidP="00216EB8">
                    <w:pPr>
                      <w:rPr>
                        <w:rFonts w:ascii="Arial" w:hAnsi="Arial" w:cs="Arial"/>
                        <w:b/>
                        <w:color w:val="FFFFFF" w:themeColor="background1"/>
                        <w:lang w:val="fr-CH"/>
                      </w:rPr>
                    </w:pP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2E163" w14:textId="77777777" w:rsidR="00F61302" w:rsidRDefault="00F61302">
    <w:pPr>
      <w:pStyle w:val="En-tte"/>
    </w:pPr>
    <w:r>
      <w:rPr>
        <w:noProof/>
      </w:rPr>
      <mc:AlternateContent>
        <mc:Choice Requires="wps">
          <w:drawing>
            <wp:anchor distT="0" distB="0" distL="114300" distR="114300" simplePos="0" relativeHeight="251663360" behindDoc="0" locked="0" layoutInCell="1" allowOverlap="1" wp14:anchorId="3E34A01A" wp14:editId="03EECC08">
              <wp:simplePos x="0" y="0"/>
              <wp:positionH relativeFrom="page">
                <wp:align>left</wp:align>
              </wp:positionH>
              <wp:positionV relativeFrom="paragraph">
                <wp:posOffset>-364490</wp:posOffset>
              </wp:positionV>
              <wp:extent cx="9861550" cy="4572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9861550" cy="457200"/>
                      </a:xfrm>
                      <a:prstGeom prst="rect">
                        <a:avLst/>
                      </a:prstGeom>
                      <a:solidFill>
                        <a:srgbClr val="808285"/>
                      </a:solidFill>
                      <a:ln>
                        <a:noFill/>
                      </a:ln>
                      <a:effectLst/>
                    </wps:spPr>
                    <wps:style>
                      <a:lnRef idx="0">
                        <a:schemeClr val="accent1"/>
                      </a:lnRef>
                      <a:fillRef idx="0">
                        <a:schemeClr val="accent1"/>
                      </a:fillRef>
                      <a:effectRef idx="0">
                        <a:schemeClr val="accent1"/>
                      </a:effectRef>
                      <a:fontRef idx="minor">
                        <a:schemeClr val="dk1"/>
                      </a:fontRef>
                    </wps:style>
                    <wps:txbx>
                      <w:txbxContent>
                        <w:p w14:paraId="21EB9C5D" w14:textId="77777777" w:rsidR="00F61302" w:rsidRPr="00CA5937" w:rsidRDefault="00F61302" w:rsidP="00B71320">
                          <w:pPr>
                            <w:rPr>
                              <w:rFonts w:ascii="Arial" w:hAnsi="Arial" w:cs="Arial"/>
                              <w:b/>
                              <w:color w:val="FFFFFF" w:themeColor="background1"/>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34A01A" id="_x0000_t202" coordsize="21600,21600" o:spt="202" path="m,l,21600r21600,l21600,xe">
              <v:stroke joinstyle="miter"/>
              <v:path gradientshapeok="t" o:connecttype="rect"/>
            </v:shapetype>
            <v:shape id="Text Box 10" o:spid="_x0000_s1031" type="#_x0000_t202" style="position:absolute;margin-left:0;margin-top:-28.7pt;width:776.5pt;height:36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" fillcolor="#808285" stroked="f">
              <v:textbox>
                <w:txbxContent>
                  <w:p w14:paraId="21EB9C5D" w14:textId="77777777" w:rsidR="00F61302" w:rsidRPr="00CA5937" w:rsidRDefault="00F61302" w:rsidP="00B71320">
                    <w:pPr>
                      <w:rPr>
                        <w:rFonts w:ascii="Arial" w:hAnsi="Arial" w:cs="Arial"/>
                        <w:b/>
                        <w:color w:val="FFFFFF" w:themeColor="background1"/>
                        <w:lang w:val="fr-CH"/>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5E69"/>
    <w:multiLevelType w:val="hybridMultilevel"/>
    <w:tmpl w:val="E11EC864"/>
    <w:lvl w:ilvl="0" w:tplc="BF78FA60">
      <w:start w:val="1"/>
      <w:numFmt w:val="decimal"/>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 w15:restartNumberingAfterBreak="0">
    <w:nsid w:val="0CE00C84"/>
    <w:multiLevelType w:val="hybridMultilevel"/>
    <w:tmpl w:val="8C7CFAC0"/>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CC6160"/>
    <w:multiLevelType w:val="hybridMultilevel"/>
    <w:tmpl w:val="CBD42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37B20"/>
    <w:multiLevelType w:val="hybridMultilevel"/>
    <w:tmpl w:val="8460ED9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D26CB9"/>
    <w:multiLevelType w:val="multilevel"/>
    <w:tmpl w:val="7B8C2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F247A9"/>
    <w:multiLevelType w:val="hybridMultilevel"/>
    <w:tmpl w:val="C9544A26"/>
    <w:lvl w:ilvl="0" w:tplc="CA6C5084">
      <w:start w:val="1"/>
      <w:numFmt w:val="decimal"/>
      <w:lvlText w:val="%1."/>
      <w:lvlJc w:val="left"/>
      <w:pPr>
        <w:ind w:left="36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2AFC43C4"/>
    <w:multiLevelType w:val="hybridMultilevel"/>
    <w:tmpl w:val="6EB81A1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07D62AE"/>
    <w:multiLevelType w:val="hybridMultilevel"/>
    <w:tmpl w:val="ECB8CD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D357C"/>
    <w:multiLevelType w:val="hybridMultilevel"/>
    <w:tmpl w:val="041ACD6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D1765FF"/>
    <w:multiLevelType w:val="hybridMultilevel"/>
    <w:tmpl w:val="56462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83E75"/>
    <w:multiLevelType w:val="multilevel"/>
    <w:tmpl w:val="A50C672E"/>
    <w:lvl w:ilvl="0">
      <w:start w:val="3"/>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1" w15:restartNumberingAfterBreak="0">
    <w:nsid w:val="46E7599E"/>
    <w:multiLevelType w:val="hybridMultilevel"/>
    <w:tmpl w:val="4CAE26C8"/>
    <w:lvl w:ilvl="0" w:tplc="0409000F">
      <w:start w:val="1"/>
      <w:numFmt w:val="decimal"/>
      <w:lvlText w:val="%1."/>
      <w:lvlJc w:val="left"/>
      <w:pPr>
        <w:ind w:left="-720" w:hanging="360"/>
      </w:pPr>
    </w:lvl>
    <w:lvl w:ilvl="1" w:tplc="040C0019">
      <w:start w:val="1"/>
      <w:numFmt w:val="lowerLetter"/>
      <w:lvlText w:val="%2."/>
      <w:lvlJc w:val="left"/>
      <w:pPr>
        <w:ind w:left="0" w:hanging="360"/>
      </w:pPr>
    </w:lvl>
    <w:lvl w:ilvl="2" w:tplc="040C0001">
      <w:start w:val="1"/>
      <w:numFmt w:val="bullet"/>
      <w:lvlText w:val=""/>
      <w:lvlJc w:val="left"/>
      <w:pPr>
        <w:ind w:left="720" w:hanging="180"/>
      </w:pPr>
      <w:rPr>
        <w:rFonts w:ascii="Symbol" w:hAnsi="Symbol" w:hint="default"/>
      </w:rPr>
    </w:lvl>
    <w:lvl w:ilvl="3" w:tplc="040C0001">
      <w:start w:val="1"/>
      <w:numFmt w:val="bullet"/>
      <w:lvlText w:val=""/>
      <w:lvlJc w:val="left"/>
      <w:pPr>
        <w:ind w:left="1440" w:hanging="360"/>
      </w:pPr>
      <w:rPr>
        <w:rFonts w:ascii="Symbol" w:hAnsi="Symbol" w:hint="default"/>
      </w:rPr>
    </w:lvl>
    <w:lvl w:ilvl="4" w:tplc="040C0019">
      <w:start w:val="1"/>
      <w:numFmt w:val="lowerLetter"/>
      <w:lvlText w:val="%5."/>
      <w:lvlJc w:val="left"/>
      <w:pPr>
        <w:ind w:left="2160" w:hanging="360"/>
      </w:pPr>
    </w:lvl>
    <w:lvl w:ilvl="5" w:tplc="040C001B" w:tentative="1">
      <w:start w:val="1"/>
      <w:numFmt w:val="lowerRoman"/>
      <w:lvlText w:val="%6."/>
      <w:lvlJc w:val="right"/>
      <w:pPr>
        <w:ind w:left="2880" w:hanging="180"/>
      </w:pPr>
    </w:lvl>
    <w:lvl w:ilvl="6" w:tplc="040C000F" w:tentative="1">
      <w:start w:val="1"/>
      <w:numFmt w:val="decimal"/>
      <w:lvlText w:val="%7."/>
      <w:lvlJc w:val="left"/>
      <w:pPr>
        <w:ind w:left="3600" w:hanging="360"/>
      </w:pPr>
    </w:lvl>
    <w:lvl w:ilvl="7" w:tplc="040C0019" w:tentative="1">
      <w:start w:val="1"/>
      <w:numFmt w:val="lowerLetter"/>
      <w:lvlText w:val="%8."/>
      <w:lvlJc w:val="left"/>
      <w:pPr>
        <w:ind w:left="4320" w:hanging="360"/>
      </w:pPr>
    </w:lvl>
    <w:lvl w:ilvl="8" w:tplc="040C001B" w:tentative="1">
      <w:start w:val="1"/>
      <w:numFmt w:val="lowerRoman"/>
      <w:lvlText w:val="%9."/>
      <w:lvlJc w:val="right"/>
      <w:pPr>
        <w:ind w:left="5040" w:hanging="180"/>
      </w:pPr>
    </w:lvl>
  </w:abstractNum>
  <w:abstractNum w:abstractNumId="12" w15:restartNumberingAfterBreak="0">
    <w:nsid w:val="4FBA5F41"/>
    <w:multiLevelType w:val="hybridMultilevel"/>
    <w:tmpl w:val="28021AAC"/>
    <w:lvl w:ilvl="0" w:tplc="DBFAA490">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1">
      <w:start w:val="1"/>
      <w:numFmt w:val="bullet"/>
      <w:lvlText w:val=""/>
      <w:lvlJc w:val="left"/>
      <w:pPr>
        <w:ind w:left="2520" w:hanging="360"/>
      </w:pPr>
      <w:rPr>
        <w:rFonts w:ascii="Symbol" w:hAnsi="Symbol" w:hint="default"/>
      </w:r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1A14216"/>
    <w:multiLevelType w:val="multilevel"/>
    <w:tmpl w:val="30940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4077B4"/>
    <w:multiLevelType w:val="multilevel"/>
    <w:tmpl w:val="A50C672E"/>
    <w:lvl w:ilvl="0">
      <w:start w:val="3"/>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 w15:restartNumberingAfterBreak="0">
    <w:nsid w:val="5CE505DC"/>
    <w:multiLevelType w:val="hybridMultilevel"/>
    <w:tmpl w:val="F24C140A"/>
    <w:lvl w:ilvl="0" w:tplc="0409000F">
      <w:start w:val="1"/>
      <w:numFmt w:val="decimal"/>
      <w:lvlText w:val="%1."/>
      <w:lvlJc w:val="left"/>
      <w:pPr>
        <w:ind w:left="-720" w:hanging="360"/>
      </w:pPr>
    </w:lvl>
    <w:lvl w:ilvl="1" w:tplc="0409000F">
      <w:start w:val="1"/>
      <w:numFmt w:val="decimal"/>
      <w:lvlText w:val="%2."/>
      <w:lvlJc w:val="left"/>
      <w:pPr>
        <w:ind w:left="0" w:hanging="360"/>
      </w:pPr>
    </w:lvl>
    <w:lvl w:ilvl="2" w:tplc="04090017">
      <w:start w:val="1"/>
      <w:numFmt w:val="lowerLetter"/>
      <w:lvlText w:val="%3)"/>
      <w:lvlJc w:val="left"/>
      <w:pPr>
        <w:ind w:left="720" w:hanging="180"/>
      </w:pPr>
    </w:lvl>
    <w:lvl w:ilvl="3" w:tplc="04090015">
      <w:start w:val="1"/>
      <w:numFmt w:val="upperLetter"/>
      <w:lvlText w:val="%4."/>
      <w:lvlJc w:val="left"/>
      <w:pPr>
        <w:ind w:left="1440" w:hanging="360"/>
      </w:pPr>
    </w:lvl>
    <w:lvl w:ilvl="4" w:tplc="040C0019">
      <w:start w:val="1"/>
      <w:numFmt w:val="lowerLetter"/>
      <w:lvlText w:val="%5."/>
      <w:lvlJc w:val="left"/>
      <w:pPr>
        <w:ind w:left="2160" w:hanging="360"/>
      </w:pPr>
    </w:lvl>
    <w:lvl w:ilvl="5" w:tplc="232A89EC">
      <w:start w:val="1"/>
      <w:numFmt w:val="decimal"/>
      <w:lvlText w:val="%6)"/>
      <w:lvlJc w:val="left"/>
      <w:pPr>
        <w:ind w:left="3060" w:hanging="360"/>
      </w:pPr>
      <w:rPr>
        <w:rFonts w:hint="default"/>
      </w:rPr>
    </w:lvl>
    <w:lvl w:ilvl="6" w:tplc="040C000F" w:tentative="1">
      <w:start w:val="1"/>
      <w:numFmt w:val="decimal"/>
      <w:lvlText w:val="%7."/>
      <w:lvlJc w:val="left"/>
      <w:pPr>
        <w:ind w:left="3600" w:hanging="360"/>
      </w:pPr>
    </w:lvl>
    <w:lvl w:ilvl="7" w:tplc="040C0019" w:tentative="1">
      <w:start w:val="1"/>
      <w:numFmt w:val="lowerLetter"/>
      <w:lvlText w:val="%8."/>
      <w:lvlJc w:val="left"/>
      <w:pPr>
        <w:ind w:left="4320" w:hanging="360"/>
      </w:pPr>
    </w:lvl>
    <w:lvl w:ilvl="8" w:tplc="040C001B" w:tentative="1">
      <w:start w:val="1"/>
      <w:numFmt w:val="lowerRoman"/>
      <w:lvlText w:val="%9."/>
      <w:lvlJc w:val="right"/>
      <w:pPr>
        <w:ind w:left="5040" w:hanging="180"/>
      </w:pPr>
    </w:lvl>
  </w:abstractNum>
  <w:abstractNum w:abstractNumId="16" w15:restartNumberingAfterBreak="0">
    <w:nsid w:val="73EE38A4"/>
    <w:multiLevelType w:val="hybridMultilevel"/>
    <w:tmpl w:val="6812F5B8"/>
    <w:lvl w:ilvl="0" w:tplc="2F94897E">
      <w:start w:val="1"/>
      <w:numFmt w:val="decimal"/>
      <w:lvlText w:val="%1)"/>
      <w:lvlJc w:val="left"/>
      <w:pPr>
        <w:ind w:left="360" w:hanging="360"/>
      </w:pPr>
      <w:rPr>
        <w:rFonts w:hint="default"/>
        <w:b/>
        <w:color w:val="000000"/>
        <w:sz w:val="28"/>
      </w:rPr>
    </w:lvl>
    <w:lvl w:ilvl="1" w:tplc="0409000F">
      <w:start w:val="1"/>
      <w:numFmt w:val="decimal"/>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8DF4EB2"/>
    <w:multiLevelType w:val="hybridMultilevel"/>
    <w:tmpl w:val="24961400"/>
    <w:lvl w:ilvl="0" w:tplc="0409000F">
      <w:start w:val="1"/>
      <w:numFmt w:val="decimal"/>
      <w:lvlText w:val="%1."/>
      <w:lvlJc w:val="left"/>
      <w:pPr>
        <w:ind w:left="-720" w:hanging="360"/>
      </w:pPr>
    </w:lvl>
    <w:lvl w:ilvl="1" w:tplc="040C0019">
      <w:start w:val="1"/>
      <w:numFmt w:val="lowerLetter"/>
      <w:lvlText w:val="%2."/>
      <w:lvlJc w:val="left"/>
      <w:pPr>
        <w:ind w:left="0" w:hanging="360"/>
      </w:pPr>
    </w:lvl>
    <w:lvl w:ilvl="2" w:tplc="040C001B">
      <w:start w:val="1"/>
      <w:numFmt w:val="lowerRoman"/>
      <w:lvlText w:val="%3."/>
      <w:lvlJc w:val="right"/>
      <w:pPr>
        <w:ind w:left="720" w:hanging="180"/>
      </w:pPr>
    </w:lvl>
    <w:lvl w:ilvl="3" w:tplc="040C0001">
      <w:start w:val="1"/>
      <w:numFmt w:val="bullet"/>
      <w:lvlText w:val=""/>
      <w:lvlJc w:val="left"/>
      <w:pPr>
        <w:ind w:left="1440" w:hanging="360"/>
      </w:pPr>
      <w:rPr>
        <w:rFonts w:ascii="Symbol" w:hAnsi="Symbol" w:hint="default"/>
      </w:rPr>
    </w:lvl>
    <w:lvl w:ilvl="4" w:tplc="040C0019">
      <w:start w:val="1"/>
      <w:numFmt w:val="lowerLetter"/>
      <w:lvlText w:val="%5."/>
      <w:lvlJc w:val="left"/>
      <w:pPr>
        <w:ind w:left="2160" w:hanging="360"/>
      </w:pPr>
    </w:lvl>
    <w:lvl w:ilvl="5" w:tplc="040C001B" w:tentative="1">
      <w:start w:val="1"/>
      <w:numFmt w:val="lowerRoman"/>
      <w:lvlText w:val="%6."/>
      <w:lvlJc w:val="right"/>
      <w:pPr>
        <w:ind w:left="2880" w:hanging="180"/>
      </w:pPr>
    </w:lvl>
    <w:lvl w:ilvl="6" w:tplc="040C000F" w:tentative="1">
      <w:start w:val="1"/>
      <w:numFmt w:val="decimal"/>
      <w:lvlText w:val="%7."/>
      <w:lvlJc w:val="left"/>
      <w:pPr>
        <w:ind w:left="3600" w:hanging="360"/>
      </w:pPr>
    </w:lvl>
    <w:lvl w:ilvl="7" w:tplc="040C0019" w:tentative="1">
      <w:start w:val="1"/>
      <w:numFmt w:val="lowerLetter"/>
      <w:lvlText w:val="%8."/>
      <w:lvlJc w:val="left"/>
      <w:pPr>
        <w:ind w:left="4320" w:hanging="360"/>
      </w:pPr>
    </w:lvl>
    <w:lvl w:ilvl="8" w:tplc="040C001B" w:tentative="1">
      <w:start w:val="1"/>
      <w:numFmt w:val="lowerRoman"/>
      <w:lvlText w:val="%9."/>
      <w:lvlJc w:val="right"/>
      <w:pPr>
        <w:ind w:left="5040" w:hanging="180"/>
      </w:pPr>
    </w:lvl>
  </w:abstractNum>
  <w:num w:numId="1">
    <w:abstractNumId w:val="16"/>
  </w:num>
  <w:num w:numId="2">
    <w:abstractNumId w:val="17"/>
  </w:num>
  <w:num w:numId="3">
    <w:abstractNumId w:val="3"/>
  </w:num>
  <w:num w:numId="4">
    <w:abstractNumId w:val="9"/>
  </w:num>
  <w:num w:numId="5">
    <w:abstractNumId w:val="13"/>
  </w:num>
  <w:num w:numId="6">
    <w:abstractNumId w:val="4"/>
  </w:num>
  <w:num w:numId="7">
    <w:abstractNumId w:val="15"/>
  </w:num>
  <w:num w:numId="8">
    <w:abstractNumId w:val="11"/>
  </w:num>
  <w:num w:numId="9">
    <w:abstractNumId w:val="12"/>
  </w:num>
  <w:num w:numId="10">
    <w:abstractNumId w:val="8"/>
  </w:num>
  <w:num w:numId="11">
    <w:abstractNumId w:val="10"/>
  </w:num>
  <w:num w:numId="12">
    <w:abstractNumId w:val="7"/>
  </w:num>
  <w:num w:numId="13">
    <w:abstractNumId w:val="14"/>
  </w:num>
  <w:num w:numId="14">
    <w:abstractNumId w:val="1"/>
  </w:num>
  <w:num w:numId="15">
    <w:abstractNumId w:val="5"/>
  </w:num>
  <w:num w:numId="16">
    <w:abstractNumId w:val="0"/>
  </w:num>
  <w:num w:numId="17">
    <w:abstractNumId w:val="6"/>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75"/>
    <w:rsid w:val="00000574"/>
    <w:rsid w:val="00003790"/>
    <w:rsid w:val="0000721E"/>
    <w:rsid w:val="00007C25"/>
    <w:rsid w:val="0001329E"/>
    <w:rsid w:val="0001361D"/>
    <w:rsid w:val="00013788"/>
    <w:rsid w:val="00014C8C"/>
    <w:rsid w:val="00015D0B"/>
    <w:rsid w:val="000162F9"/>
    <w:rsid w:val="00016C75"/>
    <w:rsid w:val="000178DC"/>
    <w:rsid w:val="00020195"/>
    <w:rsid w:val="00020822"/>
    <w:rsid w:val="00022218"/>
    <w:rsid w:val="00022E44"/>
    <w:rsid w:val="000279F9"/>
    <w:rsid w:val="00030CD9"/>
    <w:rsid w:val="00030E38"/>
    <w:rsid w:val="000317F3"/>
    <w:rsid w:val="00033C3E"/>
    <w:rsid w:val="000355AF"/>
    <w:rsid w:val="000378EA"/>
    <w:rsid w:val="00041ECC"/>
    <w:rsid w:val="00041FB7"/>
    <w:rsid w:val="000426FE"/>
    <w:rsid w:val="00043050"/>
    <w:rsid w:val="0004355F"/>
    <w:rsid w:val="00044C35"/>
    <w:rsid w:val="00046C1A"/>
    <w:rsid w:val="00047E6B"/>
    <w:rsid w:val="00050C6F"/>
    <w:rsid w:val="0005194A"/>
    <w:rsid w:val="00053BE9"/>
    <w:rsid w:val="000541A4"/>
    <w:rsid w:val="000551AA"/>
    <w:rsid w:val="0005590B"/>
    <w:rsid w:val="00056427"/>
    <w:rsid w:val="00061A12"/>
    <w:rsid w:val="0006280F"/>
    <w:rsid w:val="00063641"/>
    <w:rsid w:val="00063D7B"/>
    <w:rsid w:val="00063E13"/>
    <w:rsid w:val="000654CB"/>
    <w:rsid w:val="00065F38"/>
    <w:rsid w:val="00066C3F"/>
    <w:rsid w:val="00066C4A"/>
    <w:rsid w:val="00066E1F"/>
    <w:rsid w:val="000673AD"/>
    <w:rsid w:val="0007010F"/>
    <w:rsid w:val="000714A7"/>
    <w:rsid w:val="000731A4"/>
    <w:rsid w:val="000736FC"/>
    <w:rsid w:val="00075CEC"/>
    <w:rsid w:val="0007632C"/>
    <w:rsid w:val="00076A89"/>
    <w:rsid w:val="000774E2"/>
    <w:rsid w:val="00077726"/>
    <w:rsid w:val="00082050"/>
    <w:rsid w:val="000824D8"/>
    <w:rsid w:val="00082FFB"/>
    <w:rsid w:val="00083AC0"/>
    <w:rsid w:val="00083C03"/>
    <w:rsid w:val="00084ED3"/>
    <w:rsid w:val="00090231"/>
    <w:rsid w:val="00090F2A"/>
    <w:rsid w:val="000921E6"/>
    <w:rsid w:val="00092A87"/>
    <w:rsid w:val="00095091"/>
    <w:rsid w:val="00095142"/>
    <w:rsid w:val="0009769E"/>
    <w:rsid w:val="000A1CF1"/>
    <w:rsid w:val="000A2AE2"/>
    <w:rsid w:val="000A36FB"/>
    <w:rsid w:val="000A4CA3"/>
    <w:rsid w:val="000A4D48"/>
    <w:rsid w:val="000A4EB6"/>
    <w:rsid w:val="000A554D"/>
    <w:rsid w:val="000A5DAB"/>
    <w:rsid w:val="000A6823"/>
    <w:rsid w:val="000A7541"/>
    <w:rsid w:val="000A7789"/>
    <w:rsid w:val="000B1940"/>
    <w:rsid w:val="000B20A9"/>
    <w:rsid w:val="000B3159"/>
    <w:rsid w:val="000B418E"/>
    <w:rsid w:val="000B5AED"/>
    <w:rsid w:val="000B5E9A"/>
    <w:rsid w:val="000C1A34"/>
    <w:rsid w:val="000C1E15"/>
    <w:rsid w:val="000C4652"/>
    <w:rsid w:val="000C4AD0"/>
    <w:rsid w:val="000C508E"/>
    <w:rsid w:val="000C5344"/>
    <w:rsid w:val="000C54E2"/>
    <w:rsid w:val="000C5610"/>
    <w:rsid w:val="000C56C1"/>
    <w:rsid w:val="000D03CB"/>
    <w:rsid w:val="000D1494"/>
    <w:rsid w:val="000D1B5B"/>
    <w:rsid w:val="000D1F61"/>
    <w:rsid w:val="000D3E75"/>
    <w:rsid w:val="000D51D1"/>
    <w:rsid w:val="000D5DA0"/>
    <w:rsid w:val="000D6A24"/>
    <w:rsid w:val="000D72EB"/>
    <w:rsid w:val="000D7B2B"/>
    <w:rsid w:val="000E0A30"/>
    <w:rsid w:val="000E1125"/>
    <w:rsid w:val="000E1F52"/>
    <w:rsid w:val="000E2076"/>
    <w:rsid w:val="000E2AF2"/>
    <w:rsid w:val="000E7B82"/>
    <w:rsid w:val="000F12C8"/>
    <w:rsid w:val="000F25DE"/>
    <w:rsid w:val="000F2F5B"/>
    <w:rsid w:val="000F4C01"/>
    <w:rsid w:val="000F4F9C"/>
    <w:rsid w:val="000F5278"/>
    <w:rsid w:val="000F6E0F"/>
    <w:rsid w:val="00100BED"/>
    <w:rsid w:val="00101F9F"/>
    <w:rsid w:val="001023E5"/>
    <w:rsid w:val="001024BE"/>
    <w:rsid w:val="00102DCA"/>
    <w:rsid w:val="00107724"/>
    <w:rsid w:val="00112876"/>
    <w:rsid w:val="00113561"/>
    <w:rsid w:val="001136C7"/>
    <w:rsid w:val="00114432"/>
    <w:rsid w:val="001144B2"/>
    <w:rsid w:val="00114DFB"/>
    <w:rsid w:val="00115194"/>
    <w:rsid w:val="00116595"/>
    <w:rsid w:val="00116F15"/>
    <w:rsid w:val="00116F4A"/>
    <w:rsid w:val="00117219"/>
    <w:rsid w:val="00120E14"/>
    <w:rsid w:val="001221D9"/>
    <w:rsid w:val="00122934"/>
    <w:rsid w:val="00123299"/>
    <w:rsid w:val="001261C2"/>
    <w:rsid w:val="001266F8"/>
    <w:rsid w:val="00127CD7"/>
    <w:rsid w:val="00127FF3"/>
    <w:rsid w:val="00132F8A"/>
    <w:rsid w:val="00133BF4"/>
    <w:rsid w:val="00136771"/>
    <w:rsid w:val="001402E8"/>
    <w:rsid w:val="0014073F"/>
    <w:rsid w:val="00140BD9"/>
    <w:rsid w:val="00141086"/>
    <w:rsid w:val="0014206E"/>
    <w:rsid w:val="001430F4"/>
    <w:rsid w:val="0014315A"/>
    <w:rsid w:val="00143A3E"/>
    <w:rsid w:val="00143FB0"/>
    <w:rsid w:val="00145CB4"/>
    <w:rsid w:val="001468F6"/>
    <w:rsid w:val="00146E17"/>
    <w:rsid w:val="0015190D"/>
    <w:rsid w:val="00151B8A"/>
    <w:rsid w:val="001523BA"/>
    <w:rsid w:val="00153D0E"/>
    <w:rsid w:val="00154FF4"/>
    <w:rsid w:val="001552B7"/>
    <w:rsid w:val="0015559E"/>
    <w:rsid w:val="00157B2D"/>
    <w:rsid w:val="00160055"/>
    <w:rsid w:val="00162E6B"/>
    <w:rsid w:val="0016377E"/>
    <w:rsid w:val="001638A8"/>
    <w:rsid w:val="00164064"/>
    <w:rsid w:val="00165377"/>
    <w:rsid w:val="00166115"/>
    <w:rsid w:val="0016633E"/>
    <w:rsid w:val="00167EF4"/>
    <w:rsid w:val="00171833"/>
    <w:rsid w:val="00173146"/>
    <w:rsid w:val="00174065"/>
    <w:rsid w:val="00174C85"/>
    <w:rsid w:val="0017535F"/>
    <w:rsid w:val="0017587E"/>
    <w:rsid w:val="001760FC"/>
    <w:rsid w:val="0017624C"/>
    <w:rsid w:val="00180411"/>
    <w:rsid w:val="00180433"/>
    <w:rsid w:val="001817B6"/>
    <w:rsid w:val="00182DAD"/>
    <w:rsid w:val="00182F27"/>
    <w:rsid w:val="0018309D"/>
    <w:rsid w:val="00187082"/>
    <w:rsid w:val="001873AD"/>
    <w:rsid w:val="00187EF0"/>
    <w:rsid w:val="001909F9"/>
    <w:rsid w:val="00193414"/>
    <w:rsid w:val="0019623C"/>
    <w:rsid w:val="00196871"/>
    <w:rsid w:val="001A02D9"/>
    <w:rsid w:val="001A0D4D"/>
    <w:rsid w:val="001A10F6"/>
    <w:rsid w:val="001A204C"/>
    <w:rsid w:val="001A3545"/>
    <w:rsid w:val="001A3866"/>
    <w:rsid w:val="001A3E7E"/>
    <w:rsid w:val="001A4D64"/>
    <w:rsid w:val="001A4F84"/>
    <w:rsid w:val="001A5500"/>
    <w:rsid w:val="001A634A"/>
    <w:rsid w:val="001A6739"/>
    <w:rsid w:val="001A764E"/>
    <w:rsid w:val="001B0013"/>
    <w:rsid w:val="001B01F9"/>
    <w:rsid w:val="001B19F4"/>
    <w:rsid w:val="001B3348"/>
    <w:rsid w:val="001B3476"/>
    <w:rsid w:val="001B3ABD"/>
    <w:rsid w:val="001B432E"/>
    <w:rsid w:val="001B52C3"/>
    <w:rsid w:val="001B5BB1"/>
    <w:rsid w:val="001B6626"/>
    <w:rsid w:val="001C149F"/>
    <w:rsid w:val="001C1FA3"/>
    <w:rsid w:val="001C20FA"/>
    <w:rsid w:val="001C34EF"/>
    <w:rsid w:val="001C4E23"/>
    <w:rsid w:val="001C79BB"/>
    <w:rsid w:val="001D10C8"/>
    <w:rsid w:val="001D244F"/>
    <w:rsid w:val="001D3124"/>
    <w:rsid w:val="001D61BB"/>
    <w:rsid w:val="001D6B4E"/>
    <w:rsid w:val="001E0768"/>
    <w:rsid w:val="001E1DF2"/>
    <w:rsid w:val="001E2A5A"/>
    <w:rsid w:val="001E3EC3"/>
    <w:rsid w:val="001E5279"/>
    <w:rsid w:val="001F2BA6"/>
    <w:rsid w:val="001F2C1E"/>
    <w:rsid w:val="001F2EDD"/>
    <w:rsid w:val="001F35CD"/>
    <w:rsid w:val="001F45AD"/>
    <w:rsid w:val="001F5F78"/>
    <w:rsid w:val="001F627D"/>
    <w:rsid w:val="001F65B9"/>
    <w:rsid w:val="001F6950"/>
    <w:rsid w:val="00202559"/>
    <w:rsid w:val="00202A2E"/>
    <w:rsid w:val="00203192"/>
    <w:rsid w:val="002045F7"/>
    <w:rsid w:val="00204823"/>
    <w:rsid w:val="00205922"/>
    <w:rsid w:val="002066DE"/>
    <w:rsid w:val="0020767C"/>
    <w:rsid w:val="0021093E"/>
    <w:rsid w:val="0021172B"/>
    <w:rsid w:val="00213816"/>
    <w:rsid w:val="002141AB"/>
    <w:rsid w:val="002153C0"/>
    <w:rsid w:val="00215988"/>
    <w:rsid w:val="00216EB8"/>
    <w:rsid w:val="00220399"/>
    <w:rsid w:val="002212BD"/>
    <w:rsid w:val="002219C6"/>
    <w:rsid w:val="00222E1E"/>
    <w:rsid w:val="002244B7"/>
    <w:rsid w:val="002251EC"/>
    <w:rsid w:val="0022538D"/>
    <w:rsid w:val="00225974"/>
    <w:rsid w:val="00226313"/>
    <w:rsid w:val="002265D0"/>
    <w:rsid w:val="00227129"/>
    <w:rsid w:val="00227D43"/>
    <w:rsid w:val="00231336"/>
    <w:rsid w:val="002324F9"/>
    <w:rsid w:val="00234040"/>
    <w:rsid w:val="00234456"/>
    <w:rsid w:val="00235A62"/>
    <w:rsid w:val="002367FA"/>
    <w:rsid w:val="00237617"/>
    <w:rsid w:val="00241B8A"/>
    <w:rsid w:val="00244C32"/>
    <w:rsid w:val="00245459"/>
    <w:rsid w:val="00245A47"/>
    <w:rsid w:val="00245BD2"/>
    <w:rsid w:val="00246183"/>
    <w:rsid w:val="00247B3F"/>
    <w:rsid w:val="00253286"/>
    <w:rsid w:val="002539C3"/>
    <w:rsid w:val="002547A2"/>
    <w:rsid w:val="00257D0A"/>
    <w:rsid w:val="00260805"/>
    <w:rsid w:val="002609FA"/>
    <w:rsid w:val="00261183"/>
    <w:rsid w:val="002633D4"/>
    <w:rsid w:val="00263F62"/>
    <w:rsid w:val="0026438D"/>
    <w:rsid w:val="00264AAA"/>
    <w:rsid w:val="00264EAE"/>
    <w:rsid w:val="0026552D"/>
    <w:rsid w:val="00265947"/>
    <w:rsid w:val="00265A53"/>
    <w:rsid w:val="00265E2B"/>
    <w:rsid w:val="00267D4F"/>
    <w:rsid w:val="002733E3"/>
    <w:rsid w:val="00274249"/>
    <w:rsid w:val="00274731"/>
    <w:rsid w:val="00274C35"/>
    <w:rsid w:val="002763F3"/>
    <w:rsid w:val="00276F94"/>
    <w:rsid w:val="00284858"/>
    <w:rsid w:val="00284B7E"/>
    <w:rsid w:val="00286B9B"/>
    <w:rsid w:val="00286CE2"/>
    <w:rsid w:val="00287B62"/>
    <w:rsid w:val="0029100F"/>
    <w:rsid w:val="00291059"/>
    <w:rsid w:val="002916E1"/>
    <w:rsid w:val="0029235B"/>
    <w:rsid w:val="00292792"/>
    <w:rsid w:val="00293475"/>
    <w:rsid w:val="00295EA8"/>
    <w:rsid w:val="002964BE"/>
    <w:rsid w:val="00296952"/>
    <w:rsid w:val="002A20F2"/>
    <w:rsid w:val="002A28F8"/>
    <w:rsid w:val="002A30BC"/>
    <w:rsid w:val="002A3DAD"/>
    <w:rsid w:val="002A3F7C"/>
    <w:rsid w:val="002A414E"/>
    <w:rsid w:val="002A5649"/>
    <w:rsid w:val="002A5F72"/>
    <w:rsid w:val="002B0199"/>
    <w:rsid w:val="002B2A00"/>
    <w:rsid w:val="002B3354"/>
    <w:rsid w:val="002B614A"/>
    <w:rsid w:val="002B7116"/>
    <w:rsid w:val="002B7703"/>
    <w:rsid w:val="002B7725"/>
    <w:rsid w:val="002C068C"/>
    <w:rsid w:val="002C06FA"/>
    <w:rsid w:val="002C1F4B"/>
    <w:rsid w:val="002C30F0"/>
    <w:rsid w:val="002C7257"/>
    <w:rsid w:val="002C7D0E"/>
    <w:rsid w:val="002C7EA5"/>
    <w:rsid w:val="002C7F8C"/>
    <w:rsid w:val="002D1743"/>
    <w:rsid w:val="002D2BA5"/>
    <w:rsid w:val="002D6CEB"/>
    <w:rsid w:val="002D72EF"/>
    <w:rsid w:val="002D76E4"/>
    <w:rsid w:val="002D779A"/>
    <w:rsid w:val="002E0C3A"/>
    <w:rsid w:val="002F0702"/>
    <w:rsid w:val="002F1F66"/>
    <w:rsid w:val="002F2DBD"/>
    <w:rsid w:val="002F2F8A"/>
    <w:rsid w:val="002F3231"/>
    <w:rsid w:val="002F3A4C"/>
    <w:rsid w:val="002F3C4B"/>
    <w:rsid w:val="002F3DE0"/>
    <w:rsid w:val="002F449E"/>
    <w:rsid w:val="002F5838"/>
    <w:rsid w:val="002F5DFC"/>
    <w:rsid w:val="002F5DFE"/>
    <w:rsid w:val="002F66C6"/>
    <w:rsid w:val="00301417"/>
    <w:rsid w:val="00302AF0"/>
    <w:rsid w:val="00304760"/>
    <w:rsid w:val="003066C9"/>
    <w:rsid w:val="0030675E"/>
    <w:rsid w:val="00310802"/>
    <w:rsid w:val="00310EC0"/>
    <w:rsid w:val="0031175B"/>
    <w:rsid w:val="00312C04"/>
    <w:rsid w:val="00315145"/>
    <w:rsid w:val="00320A44"/>
    <w:rsid w:val="00322553"/>
    <w:rsid w:val="0032367F"/>
    <w:rsid w:val="00326EED"/>
    <w:rsid w:val="00327B69"/>
    <w:rsid w:val="00330027"/>
    <w:rsid w:val="00330844"/>
    <w:rsid w:val="00332498"/>
    <w:rsid w:val="00332542"/>
    <w:rsid w:val="003327E4"/>
    <w:rsid w:val="00333364"/>
    <w:rsid w:val="00334766"/>
    <w:rsid w:val="003348B4"/>
    <w:rsid w:val="00335E21"/>
    <w:rsid w:val="003365D5"/>
    <w:rsid w:val="0033761C"/>
    <w:rsid w:val="00340661"/>
    <w:rsid w:val="00340F76"/>
    <w:rsid w:val="00341907"/>
    <w:rsid w:val="00341DC1"/>
    <w:rsid w:val="00341E1F"/>
    <w:rsid w:val="003426AF"/>
    <w:rsid w:val="00346314"/>
    <w:rsid w:val="00347656"/>
    <w:rsid w:val="003519C9"/>
    <w:rsid w:val="00351BFC"/>
    <w:rsid w:val="0035269C"/>
    <w:rsid w:val="003543AF"/>
    <w:rsid w:val="003551FC"/>
    <w:rsid w:val="003566D9"/>
    <w:rsid w:val="00365FC8"/>
    <w:rsid w:val="003661EE"/>
    <w:rsid w:val="00366214"/>
    <w:rsid w:val="00367787"/>
    <w:rsid w:val="00367E32"/>
    <w:rsid w:val="0037120C"/>
    <w:rsid w:val="00371673"/>
    <w:rsid w:val="003735A4"/>
    <w:rsid w:val="0037402C"/>
    <w:rsid w:val="00374B9D"/>
    <w:rsid w:val="003756BA"/>
    <w:rsid w:val="00375835"/>
    <w:rsid w:val="00376305"/>
    <w:rsid w:val="003774BA"/>
    <w:rsid w:val="003804EB"/>
    <w:rsid w:val="00380F9C"/>
    <w:rsid w:val="00380FE7"/>
    <w:rsid w:val="00381BCD"/>
    <w:rsid w:val="00382328"/>
    <w:rsid w:val="0038415F"/>
    <w:rsid w:val="00384A9E"/>
    <w:rsid w:val="00384D4F"/>
    <w:rsid w:val="00384F5F"/>
    <w:rsid w:val="00385E78"/>
    <w:rsid w:val="003865DB"/>
    <w:rsid w:val="003868D4"/>
    <w:rsid w:val="00387617"/>
    <w:rsid w:val="00387E1D"/>
    <w:rsid w:val="00387FA0"/>
    <w:rsid w:val="00390468"/>
    <w:rsid w:val="0039080B"/>
    <w:rsid w:val="00390EDA"/>
    <w:rsid w:val="00391AFE"/>
    <w:rsid w:val="003931BF"/>
    <w:rsid w:val="00394AC0"/>
    <w:rsid w:val="00394DC9"/>
    <w:rsid w:val="003969AF"/>
    <w:rsid w:val="003A266B"/>
    <w:rsid w:val="003A437D"/>
    <w:rsid w:val="003A45D0"/>
    <w:rsid w:val="003A547B"/>
    <w:rsid w:val="003A5935"/>
    <w:rsid w:val="003A59C8"/>
    <w:rsid w:val="003A6279"/>
    <w:rsid w:val="003B07B4"/>
    <w:rsid w:val="003B0C33"/>
    <w:rsid w:val="003B21DD"/>
    <w:rsid w:val="003B3137"/>
    <w:rsid w:val="003B49FA"/>
    <w:rsid w:val="003B57E1"/>
    <w:rsid w:val="003B611E"/>
    <w:rsid w:val="003C0D96"/>
    <w:rsid w:val="003C106D"/>
    <w:rsid w:val="003C1141"/>
    <w:rsid w:val="003C141C"/>
    <w:rsid w:val="003C142C"/>
    <w:rsid w:val="003C2D60"/>
    <w:rsid w:val="003C3406"/>
    <w:rsid w:val="003C5387"/>
    <w:rsid w:val="003C56AC"/>
    <w:rsid w:val="003C5A2A"/>
    <w:rsid w:val="003D10F7"/>
    <w:rsid w:val="003D1F48"/>
    <w:rsid w:val="003D24FA"/>
    <w:rsid w:val="003D2518"/>
    <w:rsid w:val="003D37E4"/>
    <w:rsid w:val="003D3BE6"/>
    <w:rsid w:val="003D43C5"/>
    <w:rsid w:val="003D4CCE"/>
    <w:rsid w:val="003D7507"/>
    <w:rsid w:val="003D7C8C"/>
    <w:rsid w:val="003E0EF3"/>
    <w:rsid w:val="003E2329"/>
    <w:rsid w:val="003E2631"/>
    <w:rsid w:val="003E33A0"/>
    <w:rsid w:val="003E3434"/>
    <w:rsid w:val="003E3772"/>
    <w:rsid w:val="003E4007"/>
    <w:rsid w:val="003E41FD"/>
    <w:rsid w:val="003E5B02"/>
    <w:rsid w:val="003F14DC"/>
    <w:rsid w:val="003F1795"/>
    <w:rsid w:val="003F238E"/>
    <w:rsid w:val="003F330A"/>
    <w:rsid w:val="003F3389"/>
    <w:rsid w:val="003F7A45"/>
    <w:rsid w:val="004002F5"/>
    <w:rsid w:val="004010C6"/>
    <w:rsid w:val="004024B6"/>
    <w:rsid w:val="004037C5"/>
    <w:rsid w:val="00405024"/>
    <w:rsid w:val="00405360"/>
    <w:rsid w:val="00406391"/>
    <w:rsid w:val="00406F15"/>
    <w:rsid w:val="004072A8"/>
    <w:rsid w:val="004114CA"/>
    <w:rsid w:val="00413196"/>
    <w:rsid w:val="004136C2"/>
    <w:rsid w:val="00414598"/>
    <w:rsid w:val="00414C8E"/>
    <w:rsid w:val="00417E80"/>
    <w:rsid w:val="0042237F"/>
    <w:rsid w:val="00422811"/>
    <w:rsid w:val="0042525D"/>
    <w:rsid w:val="004258CF"/>
    <w:rsid w:val="00433635"/>
    <w:rsid w:val="00434876"/>
    <w:rsid w:val="00436547"/>
    <w:rsid w:val="00440E00"/>
    <w:rsid w:val="004416F1"/>
    <w:rsid w:val="0044562B"/>
    <w:rsid w:val="00445668"/>
    <w:rsid w:val="004458AA"/>
    <w:rsid w:val="004524E9"/>
    <w:rsid w:val="00452727"/>
    <w:rsid w:val="004531D1"/>
    <w:rsid w:val="00453C76"/>
    <w:rsid w:val="00453EB1"/>
    <w:rsid w:val="00454CF7"/>
    <w:rsid w:val="0045555B"/>
    <w:rsid w:val="004559F5"/>
    <w:rsid w:val="00456A08"/>
    <w:rsid w:val="0045705B"/>
    <w:rsid w:val="004600FB"/>
    <w:rsid w:val="00460B09"/>
    <w:rsid w:val="00460CF0"/>
    <w:rsid w:val="00462961"/>
    <w:rsid w:val="00466BDC"/>
    <w:rsid w:val="00467CA8"/>
    <w:rsid w:val="00470A48"/>
    <w:rsid w:val="0047134E"/>
    <w:rsid w:val="004717E9"/>
    <w:rsid w:val="00471B02"/>
    <w:rsid w:val="00473E69"/>
    <w:rsid w:val="00474842"/>
    <w:rsid w:val="00474D0E"/>
    <w:rsid w:val="004758EE"/>
    <w:rsid w:val="00480067"/>
    <w:rsid w:val="00481715"/>
    <w:rsid w:val="004817D3"/>
    <w:rsid w:val="00483B6E"/>
    <w:rsid w:val="00483BF2"/>
    <w:rsid w:val="00487A79"/>
    <w:rsid w:val="00491985"/>
    <w:rsid w:val="00493061"/>
    <w:rsid w:val="00493FAE"/>
    <w:rsid w:val="0049441E"/>
    <w:rsid w:val="0049443A"/>
    <w:rsid w:val="00494A48"/>
    <w:rsid w:val="0049509E"/>
    <w:rsid w:val="00495137"/>
    <w:rsid w:val="004965DC"/>
    <w:rsid w:val="00496788"/>
    <w:rsid w:val="004A251F"/>
    <w:rsid w:val="004A27A0"/>
    <w:rsid w:val="004A53FB"/>
    <w:rsid w:val="004A5A42"/>
    <w:rsid w:val="004A7D20"/>
    <w:rsid w:val="004B0102"/>
    <w:rsid w:val="004B1483"/>
    <w:rsid w:val="004B16A1"/>
    <w:rsid w:val="004B3810"/>
    <w:rsid w:val="004B3B4D"/>
    <w:rsid w:val="004B4A7A"/>
    <w:rsid w:val="004B4B78"/>
    <w:rsid w:val="004B5570"/>
    <w:rsid w:val="004B5B80"/>
    <w:rsid w:val="004B5D1A"/>
    <w:rsid w:val="004B683A"/>
    <w:rsid w:val="004B74BA"/>
    <w:rsid w:val="004B74F8"/>
    <w:rsid w:val="004C0A0A"/>
    <w:rsid w:val="004C2B20"/>
    <w:rsid w:val="004C340E"/>
    <w:rsid w:val="004C3BB2"/>
    <w:rsid w:val="004C3E40"/>
    <w:rsid w:val="004C52CD"/>
    <w:rsid w:val="004C59C4"/>
    <w:rsid w:val="004C5CCD"/>
    <w:rsid w:val="004C6A54"/>
    <w:rsid w:val="004C7151"/>
    <w:rsid w:val="004D07DA"/>
    <w:rsid w:val="004D126E"/>
    <w:rsid w:val="004D28C7"/>
    <w:rsid w:val="004D6978"/>
    <w:rsid w:val="004E5312"/>
    <w:rsid w:val="004E67E3"/>
    <w:rsid w:val="004E7B35"/>
    <w:rsid w:val="004F060A"/>
    <w:rsid w:val="004F1D9D"/>
    <w:rsid w:val="004F3371"/>
    <w:rsid w:val="004F39F6"/>
    <w:rsid w:val="004F60FD"/>
    <w:rsid w:val="004F6A09"/>
    <w:rsid w:val="004F70EA"/>
    <w:rsid w:val="0050002F"/>
    <w:rsid w:val="00500FB2"/>
    <w:rsid w:val="00501A60"/>
    <w:rsid w:val="005021D9"/>
    <w:rsid w:val="005026E6"/>
    <w:rsid w:val="00502B31"/>
    <w:rsid w:val="00502BF7"/>
    <w:rsid w:val="0050340A"/>
    <w:rsid w:val="00504530"/>
    <w:rsid w:val="00504B20"/>
    <w:rsid w:val="00505397"/>
    <w:rsid w:val="005063B5"/>
    <w:rsid w:val="00507520"/>
    <w:rsid w:val="00511DEF"/>
    <w:rsid w:val="00511F4D"/>
    <w:rsid w:val="00513A3E"/>
    <w:rsid w:val="00514346"/>
    <w:rsid w:val="00516FC7"/>
    <w:rsid w:val="00520D96"/>
    <w:rsid w:val="00524A16"/>
    <w:rsid w:val="00525663"/>
    <w:rsid w:val="00525867"/>
    <w:rsid w:val="00526903"/>
    <w:rsid w:val="005318A2"/>
    <w:rsid w:val="00534EBE"/>
    <w:rsid w:val="00536BA1"/>
    <w:rsid w:val="00541417"/>
    <w:rsid w:val="00541FD4"/>
    <w:rsid w:val="00543808"/>
    <w:rsid w:val="005472FE"/>
    <w:rsid w:val="00550225"/>
    <w:rsid w:val="005502CC"/>
    <w:rsid w:val="00550D39"/>
    <w:rsid w:val="0055595B"/>
    <w:rsid w:val="005559E4"/>
    <w:rsid w:val="00557902"/>
    <w:rsid w:val="005606FE"/>
    <w:rsid w:val="0056140F"/>
    <w:rsid w:val="0056141B"/>
    <w:rsid w:val="00562535"/>
    <w:rsid w:val="00562599"/>
    <w:rsid w:val="00563EAC"/>
    <w:rsid w:val="005651B8"/>
    <w:rsid w:val="0056542D"/>
    <w:rsid w:val="00566417"/>
    <w:rsid w:val="00567802"/>
    <w:rsid w:val="00567C3C"/>
    <w:rsid w:val="0057296E"/>
    <w:rsid w:val="00572E37"/>
    <w:rsid w:val="00575317"/>
    <w:rsid w:val="00576B0A"/>
    <w:rsid w:val="00577B09"/>
    <w:rsid w:val="00577C1C"/>
    <w:rsid w:val="00577DB0"/>
    <w:rsid w:val="00580F30"/>
    <w:rsid w:val="00581936"/>
    <w:rsid w:val="00581E77"/>
    <w:rsid w:val="00583489"/>
    <w:rsid w:val="00584AB7"/>
    <w:rsid w:val="005856A7"/>
    <w:rsid w:val="0058594E"/>
    <w:rsid w:val="00585973"/>
    <w:rsid w:val="00586A02"/>
    <w:rsid w:val="00587892"/>
    <w:rsid w:val="00593905"/>
    <w:rsid w:val="00594624"/>
    <w:rsid w:val="005947B3"/>
    <w:rsid w:val="00594AB2"/>
    <w:rsid w:val="00596295"/>
    <w:rsid w:val="005969E4"/>
    <w:rsid w:val="00596BBC"/>
    <w:rsid w:val="005A2797"/>
    <w:rsid w:val="005A290D"/>
    <w:rsid w:val="005A2B06"/>
    <w:rsid w:val="005A3C34"/>
    <w:rsid w:val="005A43CE"/>
    <w:rsid w:val="005A4C92"/>
    <w:rsid w:val="005A6163"/>
    <w:rsid w:val="005A6CEC"/>
    <w:rsid w:val="005B1F0C"/>
    <w:rsid w:val="005B261C"/>
    <w:rsid w:val="005B2CA2"/>
    <w:rsid w:val="005B305D"/>
    <w:rsid w:val="005B45A5"/>
    <w:rsid w:val="005C15ED"/>
    <w:rsid w:val="005C1660"/>
    <w:rsid w:val="005C1769"/>
    <w:rsid w:val="005C257E"/>
    <w:rsid w:val="005C2B18"/>
    <w:rsid w:val="005C6240"/>
    <w:rsid w:val="005C6BFF"/>
    <w:rsid w:val="005D2137"/>
    <w:rsid w:val="005D46E0"/>
    <w:rsid w:val="005D5619"/>
    <w:rsid w:val="005D61BF"/>
    <w:rsid w:val="005D69E8"/>
    <w:rsid w:val="005D7A2A"/>
    <w:rsid w:val="005E1E9C"/>
    <w:rsid w:val="005E21CA"/>
    <w:rsid w:val="005E2BB2"/>
    <w:rsid w:val="005E7259"/>
    <w:rsid w:val="005E7ED6"/>
    <w:rsid w:val="005E7FBE"/>
    <w:rsid w:val="005F15E4"/>
    <w:rsid w:val="005F1726"/>
    <w:rsid w:val="005F270C"/>
    <w:rsid w:val="005F505D"/>
    <w:rsid w:val="005F5C94"/>
    <w:rsid w:val="005F74A6"/>
    <w:rsid w:val="005F7CDA"/>
    <w:rsid w:val="00601E96"/>
    <w:rsid w:val="00602395"/>
    <w:rsid w:val="006039EC"/>
    <w:rsid w:val="00603A7B"/>
    <w:rsid w:val="0060466E"/>
    <w:rsid w:val="00605BD3"/>
    <w:rsid w:val="006062F5"/>
    <w:rsid w:val="00607F94"/>
    <w:rsid w:val="00610DE3"/>
    <w:rsid w:val="00611429"/>
    <w:rsid w:val="00612735"/>
    <w:rsid w:val="00612948"/>
    <w:rsid w:val="00614466"/>
    <w:rsid w:val="006166D7"/>
    <w:rsid w:val="00616C4F"/>
    <w:rsid w:val="006222BA"/>
    <w:rsid w:val="006239B0"/>
    <w:rsid w:val="006267B3"/>
    <w:rsid w:val="00626BDC"/>
    <w:rsid w:val="006308C8"/>
    <w:rsid w:val="006314CC"/>
    <w:rsid w:val="0063389E"/>
    <w:rsid w:val="00636CAE"/>
    <w:rsid w:val="0064109F"/>
    <w:rsid w:val="00644796"/>
    <w:rsid w:val="00644FDC"/>
    <w:rsid w:val="00650AD3"/>
    <w:rsid w:val="0065212F"/>
    <w:rsid w:val="006549B3"/>
    <w:rsid w:val="00656984"/>
    <w:rsid w:val="00656FE9"/>
    <w:rsid w:val="00657974"/>
    <w:rsid w:val="0066077C"/>
    <w:rsid w:val="00661135"/>
    <w:rsid w:val="0066136C"/>
    <w:rsid w:val="00663573"/>
    <w:rsid w:val="00663C29"/>
    <w:rsid w:val="00664291"/>
    <w:rsid w:val="0066430F"/>
    <w:rsid w:val="006644BA"/>
    <w:rsid w:val="00664551"/>
    <w:rsid w:val="00664BC6"/>
    <w:rsid w:val="006661C0"/>
    <w:rsid w:val="0067026D"/>
    <w:rsid w:val="00670BE8"/>
    <w:rsid w:val="00670D40"/>
    <w:rsid w:val="006718A2"/>
    <w:rsid w:val="00672648"/>
    <w:rsid w:val="00672E58"/>
    <w:rsid w:val="00673BC1"/>
    <w:rsid w:val="006746EE"/>
    <w:rsid w:val="006749AC"/>
    <w:rsid w:val="00675ECE"/>
    <w:rsid w:val="00676A89"/>
    <w:rsid w:val="00677E19"/>
    <w:rsid w:val="0068078A"/>
    <w:rsid w:val="006824AD"/>
    <w:rsid w:val="00683B14"/>
    <w:rsid w:val="00684B0D"/>
    <w:rsid w:val="006863F5"/>
    <w:rsid w:val="00687A63"/>
    <w:rsid w:val="0069046E"/>
    <w:rsid w:val="00691F52"/>
    <w:rsid w:val="006926F7"/>
    <w:rsid w:val="00693ED1"/>
    <w:rsid w:val="00693F65"/>
    <w:rsid w:val="00694E3D"/>
    <w:rsid w:val="00694E95"/>
    <w:rsid w:val="006969ED"/>
    <w:rsid w:val="006977E0"/>
    <w:rsid w:val="006A0275"/>
    <w:rsid w:val="006A02BB"/>
    <w:rsid w:val="006A0924"/>
    <w:rsid w:val="006A4910"/>
    <w:rsid w:val="006A50FF"/>
    <w:rsid w:val="006A5E05"/>
    <w:rsid w:val="006A6FCD"/>
    <w:rsid w:val="006A756C"/>
    <w:rsid w:val="006A78EF"/>
    <w:rsid w:val="006A7FEB"/>
    <w:rsid w:val="006B185B"/>
    <w:rsid w:val="006B24C0"/>
    <w:rsid w:val="006B340F"/>
    <w:rsid w:val="006B708C"/>
    <w:rsid w:val="006B71C2"/>
    <w:rsid w:val="006C3D7A"/>
    <w:rsid w:val="006C4339"/>
    <w:rsid w:val="006C4E4B"/>
    <w:rsid w:val="006C6B9A"/>
    <w:rsid w:val="006D02B1"/>
    <w:rsid w:val="006D0358"/>
    <w:rsid w:val="006D0EAA"/>
    <w:rsid w:val="006D5E13"/>
    <w:rsid w:val="006D6132"/>
    <w:rsid w:val="006D620F"/>
    <w:rsid w:val="006E049D"/>
    <w:rsid w:val="006E103F"/>
    <w:rsid w:val="006E1888"/>
    <w:rsid w:val="006E2620"/>
    <w:rsid w:val="006E33F2"/>
    <w:rsid w:val="006E3CE6"/>
    <w:rsid w:val="006E3E1F"/>
    <w:rsid w:val="006E410F"/>
    <w:rsid w:val="006E4392"/>
    <w:rsid w:val="006E485D"/>
    <w:rsid w:val="006E4B41"/>
    <w:rsid w:val="006E4C0D"/>
    <w:rsid w:val="006E6776"/>
    <w:rsid w:val="006F054A"/>
    <w:rsid w:val="006F41FC"/>
    <w:rsid w:val="006F53AE"/>
    <w:rsid w:val="006F5A2E"/>
    <w:rsid w:val="006F6219"/>
    <w:rsid w:val="00700524"/>
    <w:rsid w:val="0070070B"/>
    <w:rsid w:val="00701F77"/>
    <w:rsid w:val="007023FD"/>
    <w:rsid w:val="00702567"/>
    <w:rsid w:val="00702574"/>
    <w:rsid w:val="00702734"/>
    <w:rsid w:val="00705300"/>
    <w:rsid w:val="00705706"/>
    <w:rsid w:val="00707243"/>
    <w:rsid w:val="00710698"/>
    <w:rsid w:val="00711A10"/>
    <w:rsid w:val="00711BDA"/>
    <w:rsid w:val="00712C32"/>
    <w:rsid w:val="00714201"/>
    <w:rsid w:val="00714F4F"/>
    <w:rsid w:val="00716927"/>
    <w:rsid w:val="007169FA"/>
    <w:rsid w:val="00723846"/>
    <w:rsid w:val="00725B44"/>
    <w:rsid w:val="00725EC3"/>
    <w:rsid w:val="00727869"/>
    <w:rsid w:val="00727FE6"/>
    <w:rsid w:val="00731714"/>
    <w:rsid w:val="00736FF0"/>
    <w:rsid w:val="00743337"/>
    <w:rsid w:val="0074385D"/>
    <w:rsid w:val="00743A23"/>
    <w:rsid w:val="00743D0F"/>
    <w:rsid w:val="00744DBE"/>
    <w:rsid w:val="0074664B"/>
    <w:rsid w:val="00746A07"/>
    <w:rsid w:val="00747233"/>
    <w:rsid w:val="00750FBF"/>
    <w:rsid w:val="007521A6"/>
    <w:rsid w:val="00752286"/>
    <w:rsid w:val="007534A5"/>
    <w:rsid w:val="00753AED"/>
    <w:rsid w:val="00754134"/>
    <w:rsid w:val="00754F99"/>
    <w:rsid w:val="00756737"/>
    <w:rsid w:val="0075754E"/>
    <w:rsid w:val="00761B28"/>
    <w:rsid w:val="007625EA"/>
    <w:rsid w:val="00763FA8"/>
    <w:rsid w:val="00764063"/>
    <w:rsid w:val="00764EE7"/>
    <w:rsid w:val="00770357"/>
    <w:rsid w:val="00770EC5"/>
    <w:rsid w:val="00771FEF"/>
    <w:rsid w:val="00774CD0"/>
    <w:rsid w:val="007751B8"/>
    <w:rsid w:val="00775209"/>
    <w:rsid w:val="00775497"/>
    <w:rsid w:val="007757F7"/>
    <w:rsid w:val="00777216"/>
    <w:rsid w:val="0077769F"/>
    <w:rsid w:val="00780528"/>
    <w:rsid w:val="0078146D"/>
    <w:rsid w:val="00785109"/>
    <w:rsid w:val="0078603D"/>
    <w:rsid w:val="00786964"/>
    <w:rsid w:val="00787244"/>
    <w:rsid w:val="007877B6"/>
    <w:rsid w:val="0078791A"/>
    <w:rsid w:val="00792337"/>
    <w:rsid w:val="00793889"/>
    <w:rsid w:val="00795321"/>
    <w:rsid w:val="00795DAA"/>
    <w:rsid w:val="007970AA"/>
    <w:rsid w:val="00797243"/>
    <w:rsid w:val="007979AE"/>
    <w:rsid w:val="007A0D47"/>
    <w:rsid w:val="007A0EF5"/>
    <w:rsid w:val="007A136F"/>
    <w:rsid w:val="007A548F"/>
    <w:rsid w:val="007B07D5"/>
    <w:rsid w:val="007B0C4E"/>
    <w:rsid w:val="007B0F9E"/>
    <w:rsid w:val="007B19A6"/>
    <w:rsid w:val="007B222B"/>
    <w:rsid w:val="007B257B"/>
    <w:rsid w:val="007B3473"/>
    <w:rsid w:val="007B40A8"/>
    <w:rsid w:val="007B4E0B"/>
    <w:rsid w:val="007B573B"/>
    <w:rsid w:val="007B6FF0"/>
    <w:rsid w:val="007B75E8"/>
    <w:rsid w:val="007B7BFB"/>
    <w:rsid w:val="007C0321"/>
    <w:rsid w:val="007C0A39"/>
    <w:rsid w:val="007C1B95"/>
    <w:rsid w:val="007C3627"/>
    <w:rsid w:val="007C3DF0"/>
    <w:rsid w:val="007C4859"/>
    <w:rsid w:val="007C5706"/>
    <w:rsid w:val="007C5F63"/>
    <w:rsid w:val="007D1677"/>
    <w:rsid w:val="007D39AA"/>
    <w:rsid w:val="007D3B68"/>
    <w:rsid w:val="007D433C"/>
    <w:rsid w:val="007D6AF7"/>
    <w:rsid w:val="007E1B5B"/>
    <w:rsid w:val="007E2DF4"/>
    <w:rsid w:val="007E3E82"/>
    <w:rsid w:val="007E5072"/>
    <w:rsid w:val="007E5791"/>
    <w:rsid w:val="007E5DCE"/>
    <w:rsid w:val="007E6CD9"/>
    <w:rsid w:val="007F03BA"/>
    <w:rsid w:val="007F06A4"/>
    <w:rsid w:val="007F0D61"/>
    <w:rsid w:val="007F11FF"/>
    <w:rsid w:val="007F372E"/>
    <w:rsid w:val="007F38D3"/>
    <w:rsid w:val="007F3F6F"/>
    <w:rsid w:val="007F566D"/>
    <w:rsid w:val="007F5CB8"/>
    <w:rsid w:val="007F6643"/>
    <w:rsid w:val="0080028F"/>
    <w:rsid w:val="00801246"/>
    <w:rsid w:val="008016DC"/>
    <w:rsid w:val="00803EF9"/>
    <w:rsid w:val="00804054"/>
    <w:rsid w:val="0080472B"/>
    <w:rsid w:val="00804E36"/>
    <w:rsid w:val="00805539"/>
    <w:rsid w:val="00805940"/>
    <w:rsid w:val="00806215"/>
    <w:rsid w:val="00806C80"/>
    <w:rsid w:val="00807CE5"/>
    <w:rsid w:val="00810CFC"/>
    <w:rsid w:val="00810F20"/>
    <w:rsid w:val="008139E1"/>
    <w:rsid w:val="00813E5A"/>
    <w:rsid w:val="00814F8B"/>
    <w:rsid w:val="00815624"/>
    <w:rsid w:val="00820006"/>
    <w:rsid w:val="008216C6"/>
    <w:rsid w:val="008219EF"/>
    <w:rsid w:val="00823967"/>
    <w:rsid w:val="00823C7A"/>
    <w:rsid w:val="00824A90"/>
    <w:rsid w:val="00824B74"/>
    <w:rsid w:val="00825660"/>
    <w:rsid w:val="00825A8E"/>
    <w:rsid w:val="00826198"/>
    <w:rsid w:val="0082667F"/>
    <w:rsid w:val="00827359"/>
    <w:rsid w:val="0082771E"/>
    <w:rsid w:val="00830201"/>
    <w:rsid w:val="00830260"/>
    <w:rsid w:val="00830E65"/>
    <w:rsid w:val="00835D6D"/>
    <w:rsid w:val="00840AD8"/>
    <w:rsid w:val="008410D2"/>
    <w:rsid w:val="00841BA6"/>
    <w:rsid w:val="00841FFE"/>
    <w:rsid w:val="0084223D"/>
    <w:rsid w:val="00843FD4"/>
    <w:rsid w:val="008452AD"/>
    <w:rsid w:val="0084590E"/>
    <w:rsid w:val="00845980"/>
    <w:rsid w:val="0084784A"/>
    <w:rsid w:val="008514DC"/>
    <w:rsid w:val="008547FD"/>
    <w:rsid w:val="00854828"/>
    <w:rsid w:val="0085573D"/>
    <w:rsid w:val="00856BD6"/>
    <w:rsid w:val="00862590"/>
    <w:rsid w:val="00863559"/>
    <w:rsid w:val="00863CEA"/>
    <w:rsid w:val="008642AB"/>
    <w:rsid w:val="0086500B"/>
    <w:rsid w:val="00871F3A"/>
    <w:rsid w:val="00872EE8"/>
    <w:rsid w:val="00873DE7"/>
    <w:rsid w:val="008766A0"/>
    <w:rsid w:val="00880F50"/>
    <w:rsid w:val="00881C06"/>
    <w:rsid w:val="00881CF7"/>
    <w:rsid w:val="00881E7C"/>
    <w:rsid w:val="00882F6E"/>
    <w:rsid w:val="00882F76"/>
    <w:rsid w:val="00883655"/>
    <w:rsid w:val="0088477D"/>
    <w:rsid w:val="00884A82"/>
    <w:rsid w:val="008869F6"/>
    <w:rsid w:val="00887641"/>
    <w:rsid w:val="00892AE4"/>
    <w:rsid w:val="00893F75"/>
    <w:rsid w:val="0089492E"/>
    <w:rsid w:val="0089526B"/>
    <w:rsid w:val="00896923"/>
    <w:rsid w:val="00896C63"/>
    <w:rsid w:val="00897480"/>
    <w:rsid w:val="00897C40"/>
    <w:rsid w:val="00897D7F"/>
    <w:rsid w:val="008A24F1"/>
    <w:rsid w:val="008A2DF7"/>
    <w:rsid w:val="008A6604"/>
    <w:rsid w:val="008B0431"/>
    <w:rsid w:val="008B0AA3"/>
    <w:rsid w:val="008B0D2A"/>
    <w:rsid w:val="008B254E"/>
    <w:rsid w:val="008B38B6"/>
    <w:rsid w:val="008B394D"/>
    <w:rsid w:val="008B4116"/>
    <w:rsid w:val="008B4335"/>
    <w:rsid w:val="008B534C"/>
    <w:rsid w:val="008B5482"/>
    <w:rsid w:val="008B58E0"/>
    <w:rsid w:val="008B7F60"/>
    <w:rsid w:val="008C0452"/>
    <w:rsid w:val="008C13FE"/>
    <w:rsid w:val="008C244A"/>
    <w:rsid w:val="008C408F"/>
    <w:rsid w:val="008C520F"/>
    <w:rsid w:val="008C568A"/>
    <w:rsid w:val="008C6EF6"/>
    <w:rsid w:val="008C7168"/>
    <w:rsid w:val="008C7CB5"/>
    <w:rsid w:val="008D0A22"/>
    <w:rsid w:val="008D0CE6"/>
    <w:rsid w:val="008D1587"/>
    <w:rsid w:val="008D1976"/>
    <w:rsid w:val="008D1B67"/>
    <w:rsid w:val="008D22EB"/>
    <w:rsid w:val="008D26C5"/>
    <w:rsid w:val="008D4BC0"/>
    <w:rsid w:val="008D5A4C"/>
    <w:rsid w:val="008D6CC3"/>
    <w:rsid w:val="008D72B4"/>
    <w:rsid w:val="008E0494"/>
    <w:rsid w:val="008E068A"/>
    <w:rsid w:val="008E0A95"/>
    <w:rsid w:val="008E0D5A"/>
    <w:rsid w:val="008E16B9"/>
    <w:rsid w:val="008E40B4"/>
    <w:rsid w:val="008E4798"/>
    <w:rsid w:val="008E5FAA"/>
    <w:rsid w:val="008E6897"/>
    <w:rsid w:val="008F0F03"/>
    <w:rsid w:val="008F3DD4"/>
    <w:rsid w:val="008F45A2"/>
    <w:rsid w:val="008F5BBA"/>
    <w:rsid w:val="008F6B76"/>
    <w:rsid w:val="008F793F"/>
    <w:rsid w:val="009017E5"/>
    <w:rsid w:val="00901BD9"/>
    <w:rsid w:val="0090453C"/>
    <w:rsid w:val="00905DEF"/>
    <w:rsid w:val="00906469"/>
    <w:rsid w:val="00906B61"/>
    <w:rsid w:val="00906BDB"/>
    <w:rsid w:val="009079A7"/>
    <w:rsid w:val="00907BB0"/>
    <w:rsid w:val="009107BE"/>
    <w:rsid w:val="00911116"/>
    <w:rsid w:val="0091353B"/>
    <w:rsid w:val="00913E32"/>
    <w:rsid w:val="009152B7"/>
    <w:rsid w:val="00916079"/>
    <w:rsid w:val="009164AA"/>
    <w:rsid w:val="0092223B"/>
    <w:rsid w:val="00922C8E"/>
    <w:rsid w:val="009235BB"/>
    <w:rsid w:val="00923E9A"/>
    <w:rsid w:val="00925BDF"/>
    <w:rsid w:val="0092762C"/>
    <w:rsid w:val="0092777E"/>
    <w:rsid w:val="009300C2"/>
    <w:rsid w:val="00931366"/>
    <w:rsid w:val="0093186F"/>
    <w:rsid w:val="009330AA"/>
    <w:rsid w:val="00934D2C"/>
    <w:rsid w:val="00935179"/>
    <w:rsid w:val="0093796E"/>
    <w:rsid w:val="00937B63"/>
    <w:rsid w:val="00937CDA"/>
    <w:rsid w:val="009411F3"/>
    <w:rsid w:val="00941755"/>
    <w:rsid w:val="00942F1F"/>
    <w:rsid w:val="009453A0"/>
    <w:rsid w:val="00946629"/>
    <w:rsid w:val="0094783B"/>
    <w:rsid w:val="00947CA7"/>
    <w:rsid w:val="009506BE"/>
    <w:rsid w:val="00950EB2"/>
    <w:rsid w:val="0095227C"/>
    <w:rsid w:val="009524E5"/>
    <w:rsid w:val="00952634"/>
    <w:rsid w:val="009529EF"/>
    <w:rsid w:val="009533DC"/>
    <w:rsid w:val="00954D41"/>
    <w:rsid w:val="009554AD"/>
    <w:rsid w:val="0095688F"/>
    <w:rsid w:val="00957025"/>
    <w:rsid w:val="00957D9C"/>
    <w:rsid w:val="00957F3B"/>
    <w:rsid w:val="00961134"/>
    <w:rsid w:val="00961262"/>
    <w:rsid w:val="00962795"/>
    <w:rsid w:val="0096353F"/>
    <w:rsid w:val="00964079"/>
    <w:rsid w:val="009646D2"/>
    <w:rsid w:val="009659D9"/>
    <w:rsid w:val="00965B23"/>
    <w:rsid w:val="009666E4"/>
    <w:rsid w:val="00967F8D"/>
    <w:rsid w:val="0097194A"/>
    <w:rsid w:val="00972411"/>
    <w:rsid w:val="0097566F"/>
    <w:rsid w:val="009771B5"/>
    <w:rsid w:val="00980395"/>
    <w:rsid w:val="00980C35"/>
    <w:rsid w:val="00981B1B"/>
    <w:rsid w:val="00984F13"/>
    <w:rsid w:val="009869C5"/>
    <w:rsid w:val="00991B27"/>
    <w:rsid w:val="009923A0"/>
    <w:rsid w:val="00995C3F"/>
    <w:rsid w:val="00997926"/>
    <w:rsid w:val="009A1773"/>
    <w:rsid w:val="009A2046"/>
    <w:rsid w:val="009A40CD"/>
    <w:rsid w:val="009A5BAA"/>
    <w:rsid w:val="009A5C80"/>
    <w:rsid w:val="009B05DE"/>
    <w:rsid w:val="009B1323"/>
    <w:rsid w:val="009B2337"/>
    <w:rsid w:val="009B36BC"/>
    <w:rsid w:val="009B3AB0"/>
    <w:rsid w:val="009B3BD4"/>
    <w:rsid w:val="009B4B5B"/>
    <w:rsid w:val="009B55B6"/>
    <w:rsid w:val="009B56BA"/>
    <w:rsid w:val="009B75C4"/>
    <w:rsid w:val="009C0D66"/>
    <w:rsid w:val="009C17BF"/>
    <w:rsid w:val="009C2344"/>
    <w:rsid w:val="009C39B2"/>
    <w:rsid w:val="009C4575"/>
    <w:rsid w:val="009D0BC6"/>
    <w:rsid w:val="009D190B"/>
    <w:rsid w:val="009D414D"/>
    <w:rsid w:val="009D44C3"/>
    <w:rsid w:val="009D6D73"/>
    <w:rsid w:val="009D6F39"/>
    <w:rsid w:val="009D7347"/>
    <w:rsid w:val="009E1C4B"/>
    <w:rsid w:val="009E1F3E"/>
    <w:rsid w:val="009E2121"/>
    <w:rsid w:val="009E223D"/>
    <w:rsid w:val="009E3E32"/>
    <w:rsid w:val="009E4848"/>
    <w:rsid w:val="009E4A81"/>
    <w:rsid w:val="009E6C5B"/>
    <w:rsid w:val="009F01E9"/>
    <w:rsid w:val="009F05EF"/>
    <w:rsid w:val="009F1C24"/>
    <w:rsid w:val="009F2E49"/>
    <w:rsid w:val="009F3425"/>
    <w:rsid w:val="009F4A8B"/>
    <w:rsid w:val="009F58CE"/>
    <w:rsid w:val="009F6435"/>
    <w:rsid w:val="00A0064E"/>
    <w:rsid w:val="00A01148"/>
    <w:rsid w:val="00A06694"/>
    <w:rsid w:val="00A0691A"/>
    <w:rsid w:val="00A1373E"/>
    <w:rsid w:val="00A13E4F"/>
    <w:rsid w:val="00A14387"/>
    <w:rsid w:val="00A1701F"/>
    <w:rsid w:val="00A176CC"/>
    <w:rsid w:val="00A205A5"/>
    <w:rsid w:val="00A23B45"/>
    <w:rsid w:val="00A23D9D"/>
    <w:rsid w:val="00A240BB"/>
    <w:rsid w:val="00A254D5"/>
    <w:rsid w:val="00A25A8A"/>
    <w:rsid w:val="00A269D1"/>
    <w:rsid w:val="00A27256"/>
    <w:rsid w:val="00A33DCF"/>
    <w:rsid w:val="00A34D76"/>
    <w:rsid w:val="00A35D6A"/>
    <w:rsid w:val="00A37061"/>
    <w:rsid w:val="00A37869"/>
    <w:rsid w:val="00A37A99"/>
    <w:rsid w:val="00A37AC6"/>
    <w:rsid w:val="00A4037E"/>
    <w:rsid w:val="00A40BE0"/>
    <w:rsid w:val="00A41777"/>
    <w:rsid w:val="00A41F3E"/>
    <w:rsid w:val="00A448F4"/>
    <w:rsid w:val="00A44E3C"/>
    <w:rsid w:val="00A476B4"/>
    <w:rsid w:val="00A501F9"/>
    <w:rsid w:val="00A5084D"/>
    <w:rsid w:val="00A5197A"/>
    <w:rsid w:val="00A529B4"/>
    <w:rsid w:val="00A54313"/>
    <w:rsid w:val="00A547EE"/>
    <w:rsid w:val="00A54D78"/>
    <w:rsid w:val="00A57063"/>
    <w:rsid w:val="00A575BA"/>
    <w:rsid w:val="00A57882"/>
    <w:rsid w:val="00A62C96"/>
    <w:rsid w:val="00A62DD4"/>
    <w:rsid w:val="00A64859"/>
    <w:rsid w:val="00A64A88"/>
    <w:rsid w:val="00A64AF3"/>
    <w:rsid w:val="00A66A5E"/>
    <w:rsid w:val="00A6727E"/>
    <w:rsid w:val="00A673E1"/>
    <w:rsid w:val="00A674CE"/>
    <w:rsid w:val="00A70A7A"/>
    <w:rsid w:val="00A728CB"/>
    <w:rsid w:val="00A72AD1"/>
    <w:rsid w:val="00A73816"/>
    <w:rsid w:val="00A73851"/>
    <w:rsid w:val="00A80960"/>
    <w:rsid w:val="00A82203"/>
    <w:rsid w:val="00A828DE"/>
    <w:rsid w:val="00A859A1"/>
    <w:rsid w:val="00A85AF4"/>
    <w:rsid w:val="00A85DA5"/>
    <w:rsid w:val="00A86D29"/>
    <w:rsid w:val="00A876EE"/>
    <w:rsid w:val="00A87E30"/>
    <w:rsid w:val="00A90546"/>
    <w:rsid w:val="00A926ED"/>
    <w:rsid w:val="00A9330B"/>
    <w:rsid w:val="00A93BAF"/>
    <w:rsid w:val="00A95428"/>
    <w:rsid w:val="00A95FED"/>
    <w:rsid w:val="00A96573"/>
    <w:rsid w:val="00A966A3"/>
    <w:rsid w:val="00A9670B"/>
    <w:rsid w:val="00A96C2C"/>
    <w:rsid w:val="00A97A3E"/>
    <w:rsid w:val="00AA142F"/>
    <w:rsid w:val="00AA219F"/>
    <w:rsid w:val="00AA2510"/>
    <w:rsid w:val="00AA38BB"/>
    <w:rsid w:val="00AA7C0C"/>
    <w:rsid w:val="00AB145B"/>
    <w:rsid w:val="00AB214E"/>
    <w:rsid w:val="00AB28AF"/>
    <w:rsid w:val="00AB2AD7"/>
    <w:rsid w:val="00AB5228"/>
    <w:rsid w:val="00AB549F"/>
    <w:rsid w:val="00AB588B"/>
    <w:rsid w:val="00AB5E85"/>
    <w:rsid w:val="00AB633D"/>
    <w:rsid w:val="00AB6979"/>
    <w:rsid w:val="00AB6D9E"/>
    <w:rsid w:val="00AB731D"/>
    <w:rsid w:val="00AB74FD"/>
    <w:rsid w:val="00AB7F78"/>
    <w:rsid w:val="00AC09FC"/>
    <w:rsid w:val="00AC0F83"/>
    <w:rsid w:val="00AC1210"/>
    <w:rsid w:val="00AC16EB"/>
    <w:rsid w:val="00AC1820"/>
    <w:rsid w:val="00AC315D"/>
    <w:rsid w:val="00AC6105"/>
    <w:rsid w:val="00AC77B2"/>
    <w:rsid w:val="00AC7AFB"/>
    <w:rsid w:val="00AD0CF9"/>
    <w:rsid w:val="00AD0EBE"/>
    <w:rsid w:val="00AD0F98"/>
    <w:rsid w:val="00AD0FB5"/>
    <w:rsid w:val="00AD1E14"/>
    <w:rsid w:val="00AD2CD2"/>
    <w:rsid w:val="00AD3A09"/>
    <w:rsid w:val="00AD412B"/>
    <w:rsid w:val="00AD585D"/>
    <w:rsid w:val="00AE020D"/>
    <w:rsid w:val="00AE0A66"/>
    <w:rsid w:val="00AE1D52"/>
    <w:rsid w:val="00AE2C7B"/>
    <w:rsid w:val="00AE4C68"/>
    <w:rsid w:val="00AE4D54"/>
    <w:rsid w:val="00AE5865"/>
    <w:rsid w:val="00AE5A86"/>
    <w:rsid w:val="00AE6241"/>
    <w:rsid w:val="00AE7402"/>
    <w:rsid w:val="00AF00F1"/>
    <w:rsid w:val="00AF010D"/>
    <w:rsid w:val="00AF0D28"/>
    <w:rsid w:val="00AF107D"/>
    <w:rsid w:val="00AF1BFC"/>
    <w:rsid w:val="00AF5AE5"/>
    <w:rsid w:val="00AF6962"/>
    <w:rsid w:val="00AF6A00"/>
    <w:rsid w:val="00AF7346"/>
    <w:rsid w:val="00AF7515"/>
    <w:rsid w:val="00AF7889"/>
    <w:rsid w:val="00B00E28"/>
    <w:rsid w:val="00B0110B"/>
    <w:rsid w:val="00B02395"/>
    <w:rsid w:val="00B02573"/>
    <w:rsid w:val="00B036F5"/>
    <w:rsid w:val="00B06FB5"/>
    <w:rsid w:val="00B076AF"/>
    <w:rsid w:val="00B07850"/>
    <w:rsid w:val="00B10B12"/>
    <w:rsid w:val="00B1127F"/>
    <w:rsid w:val="00B124B2"/>
    <w:rsid w:val="00B125D5"/>
    <w:rsid w:val="00B1338F"/>
    <w:rsid w:val="00B1395F"/>
    <w:rsid w:val="00B13A48"/>
    <w:rsid w:val="00B13A6E"/>
    <w:rsid w:val="00B14386"/>
    <w:rsid w:val="00B14CDB"/>
    <w:rsid w:val="00B15AFB"/>
    <w:rsid w:val="00B16247"/>
    <w:rsid w:val="00B1680C"/>
    <w:rsid w:val="00B20769"/>
    <w:rsid w:val="00B20A2F"/>
    <w:rsid w:val="00B215E5"/>
    <w:rsid w:val="00B22D9C"/>
    <w:rsid w:val="00B23FB9"/>
    <w:rsid w:val="00B243EC"/>
    <w:rsid w:val="00B24654"/>
    <w:rsid w:val="00B2487A"/>
    <w:rsid w:val="00B2498F"/>
    <w:rsid w:val="00B25F25"/>
    <w:rsid w:val="00B27E7C"/>
    <w:rsid w:val="00B30023"/>
    <w:rsid w:val="00B30172"/>
    <w:rsid w:val="00B309E3"/>
    <w:rsid w:val="00B30D8E"/>
    <w:rsid w:val="00B31356"/>
    <w:rsid w:val="00B3165F"/>
    <w:rsid w:val="00B33D0C"/>
    <w:rsid w:val="00B3556C"/>
    <w:rsid w:val="00B3623A"/>
    <w:rsid w:val="00B372A1"/>
    <w:rsid w:val="00B3737A"/>
    <w:rsid w:val="00B402AF"/>
    <w:rsid w:val="00B4290E"/>
    <w:rsid w:val="00B43654"/>
    <w:rsid w:val="00B4368C"/>
    <w:rsid w:val="00B438D5"/>
    <w:rsid w:val="00B43CDC"/>
    <w:rsid w:val="00B47734"/>
    <w:rsid w:val="00B50863"/>
    <w:rsid w:val="00B511C5"/>
    <w:rsid w:val="00B51357"/>
    <w:rsid w:val="00B5356F"/>
    <w:rsid w:val="00B55C8D"/>
    <w:rsid w:val="00B5616D"/>
    <w:rsid w:val="00B56D2D"/>
    <w:rsid w:val="00B60803"/>
    <w:rsid w:val="00B618F0"/>
    <w:rsid w:val="00B631D5"/>
    <w:rsid w:val="00B63CB2"/>
    <w:rsid w:val="00B64BAD"/>
    <w:rsid w:val="00B65F89"/>
    <w:rsid w:val="00B67F26"/>
    <w:rsid w:val="00B67F44"/>
    <w:rsid w:val="00B7106D"/>
    <w:rsid w:val="00B71320"/>
    <w:rsid w:val="00B724F3"/>
    <w:rsid w:val="00B7441C"/>
    <w:rsid w:val="00B74C65"/>
    <w:rsid w:val="00B750D3"/>
    <w:rsid w:val="00B753B9"/>
    <w:rsid w:val="00B75BD5"/>
    <w:rsid w:val="00B80702"/>
    <w:rsid w:val="00B82E1B"/>
    <w:rsid w:val="00B8312C"/>
    <w:rsid w:val="00B8731D"/>
    <w:rsid w:val="00B877D1"/>
    <w:rsid w:val="00B9007C"/>
    <w:rsid w:val="00B90119"/>
    <w:rsid w:val="00B90B38"/>
    <w:rsid w:val="00B911C6"/>
    <w:rsid w:val="00B91446"/>
    <w:rsid w:val="00B916A4"/>
    <w:rsid w:val="00B916FD"/>
    <w:rsid w:val="00B9276B"/>
    <w:rsid w:val="00B92D64"/>
    <w:rsid w:val="00B937B8"/>
    <w:rsid w:val="00B94ACD"/>
    <w:rsid w:val="00B96A07"/>
    <w:rsid w:val="00BA00D2"/>
    <w:rsid w:val="00BA3B2C"/>
    <w:rsid w:val="00BA55F0"/>
    <w:rsid w:val="00BA5CC2"/>
    <w:rsid w:val="00BA6DA0"/>
    <w:rsid w:val="00BA71DD"/>
    <w:rsid w:val="00BA7B38"/>
    <w:rsid w:val="00BB0C61"/>
    <w:rsid w:val="00BB4873"/>
    <w:rsid w:val="00BB5836"/>
    <w:rsid w:val="00BB5B19"/>
    <w:rsid w:val="00BB5CC1"/>
    <w:rsid w:val="00BB6032"/>
    <w:rsid w:val="00BB6101"/>
    <w:rsid w:val="00BC06FC"/>
    <w:rsid w:val="00BC0BFB"/>
    <w:rsid w:val="00BC1DB8"/>
    <w:rsid w:val="00BC39C5"/>
    <w:rsid w:val="00BC3C89"/>
    <w:rsid w:val="00BC3C9B"/>
    <w:rsid w:val="00BC3F94"/>
    <w:rsid w:val="00BC5B9B"/>
    <w:rsid w:val="00BC5BC6"/>
    <w:rsid w:val="00BC5D86"/>
    <w:rsid w:val="00BC5FEA"/>
    <w:rsid w:val="00BC63AD"/>
    <w:rsid w:val="00BC7D6A"/>
    <w:rsid w:val="00BD00A2"/>
    <w:rsid w:val="00BD0154"/>
    <w:rsid w:val="00BD032C"/>
    <w:rsid w:val="00BD29E5"/>
    <w:rsid w:val="00BD300D"/>
    <w:rsid w:val="00BD3E59"/>
    <w:rsid w:val="00BD44B4"/>
    <w:rsid w:val="00BD514D"/>
    <w:rsid w:val="00BD6956"/>
    <w:rsid w:val="00BD6CBE"/>
    <w:rsid w:val="00BD710C"/>
    <w:rsid w:val="00BD76FF"/>
    <w:rsid w:val="00BE0D03"/>
    <w:rsid w:val="00BE0E3B"/>
    <w:rsid w:val="00BE2901"/>
    <w:rsid w:val="00BE3681"/>
    <w:rsid w:val="00BE3DCA"/>
    <w:rsid w:val="00BE4CB0"/>
    <w:rsid w:val="00BE614E"/>
    <w:rsid w:val="00BE79AC"/>
    <w:rsid w:val="00BF06C7"/>
    <w:rsid w:val="00BF16C9"/>
    <w:rsid w:val="00BF20BE"/>
    <w:rsid w:val="00BF21D7"/>
    <w:rsid w:val="00C003A6"/>
    <w:rsid w:val="00C004CF"/>
    <w:rsid w:val="00C005AB"/>
    <w:rsid w:val="00C00C1F"/>
    <w:rsid w:val="00C04FB4"/>
    <w:rsid w:val="00C057C3"/>
    <w:rsid w:val="00C059A1"/>
    <w:rsid w:val="00C104FD"/>
    <w:rsid w:val="00C114FB"/>
    <w:rsid w:val="00C11F30"/>
    <w:rsid w:val="00C126F1"/>
    <w:rsid w:val="00C134C4"/>
    <w:rsid w:val="00C143B7"/>
    <w:rsid w:val="00C14CF1"/>
    <w:rsid w:val="00C15943"/>
    <w:rsid w:val="00C15F0A"/>
    <w:rsid w:val="00C16B30"/>
    <w:rsid w:val="00C20C4B"/>
    <w:rsid w:val="00C21309"/>
    <w:rsid w:val="00C21A9A"/>
    <w:rsid w:val="00C21DF1"/>
    <w:rsid w:val="00C22586"/>
    <w:rsid w:val="00C23C3F"/>
    <w:rsid w:val="00C25371"/>
    <w:rsid w:val="00C2665E"/>
    <w:rsid w:val="00C2667E"/>
    <w:rsid w:val="00C2772D"/>
    <w:rsid w:val="00C33214"/>
    <w:rsid w:val="00C41BF7"/>
    <w:rsid w:val="00C43AA1"/>
    <w:rsid w:val="00C44729"/>
    <w:rsid w:val="00C4523F"/>
    <w:rsid w:val="00C45A8A"/>
    <w:rsid w:val="00C45EE8"/>
    <w:rsid w:val="00C46346"/>
    <w:rsid w:val="00C472DE"/>
    <w:rsid w:val="00C5011E"/>
    <w:rsid w:val="00C5086C"/>
    <w:rsid w:val="00C50ED2"/>
    <w:rsid w:val="00C510C7"/>
    <w:rsid w:val="00C5177B"/>
    <w:rsid w:val="00C52A2A"/>
    <w:rsid w:val="00C54C23"/>
    <w:rsid w:val="00C54D14"/>
    <w:rsid w:val="00C55504"/>
    <w:rsid w:val="00C555BB"/>
    <w:rsid w:val="00C57434"/>
    <w:rsid w:val="00C60778"/>
    <w:rsid w:val="00C60826"/>
    <w:rsid w:val="00C62557"/>
    <w:rsid w:val="00C62BD2"/>
    <w:rsid w:val="00C632A8"/>
    <w:rsid w:val="00C65D8F"/>
    <w:rsid w:val="00C65E69"/>
    <w:rsid w:val="00C661BD"/>
    <w:rsid w:val="00C708E0"/>
    <w:rsid w:val="00C70EB0"/>
    <w:rsid w:val="00C7184F"/>
    <w:rsid w:val="00C72CC1"/>
    <w:rsid w:val="00C7483A"/>
    <w:rsid w:val="00C749EE"/>
    <w:rsid w:val="00C75AA2"/>
    <w:rsid w:val="00C76A36"/>
    <w:rsid w:val="00C77463"/>
    <w:rsid w:val="00C77DF5"/>
    <w:rsid w:val="00C8095D"/>
    <w:rsid w:val="00C82AFD"/>
    <w:rsid w:val="00C84D8A"/>
    <w:rsid w:val="00C85030"/>
    <w:rsid w:val="00C85C4F"/>
    <w:rsid w:val="00C8604A"/>
    <w:rsid w:val="00C863D2"/>
    <w:rsid w:val="00C91755"/>
    <w:rsid w:val="00C92FD1"/>
    <w:rsid w:val="00C93EAA"/>
    <w:rsid w:val="00C94748"/>
    <w:rsid w:val="00C95C9D"/>
    <w:rsid w:val="00C97FBA"/>
    <w:rsid w:val="00CA0170"/>
    <w:rsid w:val="00CA0D22"/>
    <w:rsid w:val="00CA1089"/>
    <w:rsid w:val="00CA1715"/>
    <w:rsid w:val="00CA1C75"/>
    <w:rsid w:val="00CA22A3"/>
    <w:rsid w:val="00CA2375"/>
    <w:rsid w:val="00CA28AF"/>
    <w:rsid w:val="00CA2973"/>
    <w:rsid w:val="00CA3045"/>
    <w:rsid w:val="00CA314E"/>
    <w:rsid w:val="00CA38D7"/>
    <w:rsid w:val="00CA40E6"/>
    <w:rsid w:val="00CA5506"/>
    <w:rsid w:val="00CA5937"/>
    <w:rsid w:val="00CA69B5"/>
    <w:rsid w:val="00CA73E6"/>
    <w:rsid w:val="00CA7768"/>
    <w:rsid w:val="00CB0135"/>
    <w:rsid w:val="00CB2731"/>
    <w:rsid w:val="00CB2B8A"/>
    <w:rsid w:val="00CB2E31"/>
    <w:rsid w:val="00CB4149"/>
    <w:rsid w:val="00CB4461"/>
    <w:rsid w:val="00CB4B0F"/>
    <w:rsid w:val="00CB571C"/>
    <w:rsid w:val="00CB65BB"/>
    <w:rsid w:val="00CB694F"/>
    <w:rsid w:val="00CB6DF0"/>
    <w:rsid w:val="00CC02B1"/>
    <w:rsid w:val="00CC20F6"/>
    <w:rsid w:val="00CC214F"/>
    <w:rsid w:val="00CC3305"/>
    <w:rsid w:val="00CC4C9E"/>
    <w:rsid w:val="00CC61A1"/>
    <w:rsid w:val="00CC6284"/>
    <w:rsid w:val="00CC6675"/>
    <w:rsid w:val="00CD02F6"/>
    <w:rsid w:val="00CD03DE"/>
    <w:rsid w:val="00CD04A3"/>
    <w:rsid w:val="00CD11E7"/>
    <w:rsid w:val="00CD1A17"/>
    <w:rsid w:val="00CD2CB4"/>
    <w:rsid w:val="00CD339D"/>
    <w:rsid w:val="00CD3DD7"/>
    <w:rsid w:val="00CD43DE"/>
    <w:rsid w:val="00CD4F8D"/>
    <w:rsid w:val="00CD62E3"/>
    <w:rsid w:val="00CD7D79"/>
    <w:rsid w:val="00CE087D"/>
    <w:rsid w:val="00CE0C47"/>
    <w:rsid w:val="00CE1801"/>
    <w:rsid w:val="00CE2478"/>
    <w:rsid w:val="00CE28A1"/>
    <w:rsid w:val="00CE294F"/>
    <w:rsid w:val="00CE2DC4"/>
    <w:rsid w:val="00CE4614"/>
    <w:rsid w:val="00CE471D"/>
    <w:rsid w:val="00CF07B7"/>
    <w:rsid w:val="00CF07F9"/>
    <w:rsid w:val="00CF165B"/>
    <w:rsid w:val="00CF1CE9"/>
    <w:rsid w:val="00CF2F3C"/>
    <w:rsid w:val="00CF3AF0"/>
    <w:rsid w:val="00CF4328"/>
    <w:rsid w:val="00CF4AD8"/>
    <w:rsid w:val="00CF520D"/>
    <w:rsid w:val="00CF656E"/>
    <w:rsid w:val="00CF664F"/>
    <w:rsid w:val="00CF7052"/>
    <w:rsid w:val="00CF7974"/>
    <w:rsid w:val="00D002F6"/>
    <w:rsid w:val="00D00A9E"/>
    <w:rsid w:val="00D00FC3"/>
    <w:rsid w:val="00D016B2"/>
    <w:rsid w:val="00D03E32"/>
    <w:rsid w:val="00D04F69"/>
    <w:rsid w:val="00D06BA5"/>
    <w:rsid w:val="00D07408"/>
    <w:rsid w:val="00D106C4"/>
    <w:rsid w:val="00D116C7"/>
    <w:rsid w:val="00D11B0C"/>
    <w:rsid w:val="00D12010"/>
    <w:rsid w:val="00D135EE"/>
    <w:rsid w:val="00D14440"/>
    <w:rsid w:val="00D15471"/>
    <w:rsid w:val="00D1598C"/>
    <w:rsid w:val="00D16EA1"/>
    <w:rsid w:val="00D2015F"/>
    <w:rsid w:val="00D202CC"/>
    <w:rsid w:val="00D21721"/>
    <w:rsid w:val="00D2203C"/>
    <w:rsid w:val="00D23119"/>
    <w:rsid w:val="00D2363E"/>
    <w:rsid w:val="00D23983"/>
    <w:rsid w:val="00D24357"/>
    <w:rsid w:val="00D2449A"/>
    <w:rsid w:val="00D253A6"/>
    <w:rsid w:val="00D27659"/>
    <w:rsid w:val="00D27B04"/>
    <w:rsid w:val="00D30551"/>
    <w:rsid w:val="00D309A4"/>
    <w:rsid w:val="00D313CF"/>
    <w:rsid w:val="00D346D8"/>
    <w:rsid w:val="00D401D5"/>
    <w:rsid w:val="00D40B39"/>
    <w:rsid w:val="00D40BE1"/>
    <w:rsid w:val="00D40C6B"/>
    <w:rsid w:val="00D4163C"/>
    <w:rsid w:val="00D41BA6"/>
    <w:rsid w:val="00D432BA"/>
    <w:rsid w:val="00D438E5"/>
    <w:rsid w:val="00D43C76"/>
    <w:rsid w:val="00D446A4"/>
    <w:rsid w:val="00D45795"/>
    <w:rsid w:val="00D47405"/>
    <w:rsid w:val="00D47CAC"/>
    <w:rsid w:val="00D5064A"/>
    <w:rsid w:val="00D50857"/>
    <w:rsid w:val="00D50991"/>
    <w:rsid w:val="00D55390"/>
    <w:rsid w:val="00D55982"/>
    <w:rsid w:val="00D559F1"/>
    <w:rsid w:val="00D56030"/>
    <w:rsid w:val="00D56053"/>
    <w:rsid w:val="00D5769E"/>
    <w:rsid w:val="00D60A39"/>
    <w:rsid w:val="00D60C4C"/>
    <w:rsid w:val="00D62CBC"/>
    <w:rsid w:val="00D64A15"/>
    <w:rsid w:val="00D66E35"/>
    <w:rsid w:val="00D6771B"/>
    <w:rsid w:val="00D67897"/>
    <w:rsid w:val="00D67ADA"/>
    <w:rsid w:val="00D7063D"/>
    <w:rsid w:val="00D71DEA"/>
    <w:rsid w:val="00D71F3D"/>
    <w:rsid w:val="00D72078"/>
    <w:rsid w:val="00D72699"/>
    <w:rsid w:val="00D727A3"/>
    <w:rsid w:val="00D72C3C"/>
    <w:rsid w:val="00D73190"/>
    <w:rsid w:val="00D7345F"/>
    <w:rsid w:val="00D73896"/>
    <w:rsid w:val="00D76504"/>
    <w:rsid w:val="00D772AC"/>
    <w:rsid w:val="00D7770E"/>
    <w:rsid w:val="00D812C8"/>
    <w:rsid w:val="00D83375"/>
    <w:rsid w:val="00D8372B"/>
    <w:rsid w:val="00D83C24"/>
    <w:rsid w:val="00D86C13"/>
    <w:rsid w:val="00D879EB"/>
    <w:rsid w:val="00D90293"/>
    <w:rsid w:val="00D92303"/>
    <w:rsid w:val="00D93726"/>
    <w:rsid w:val="00D93997"/>
    <w:rsid w:val="00D93CE4"/>
    <w:rsid w:val="00D94C65"/>
    <w:rsid w:val="00D9694F"/>
    <w:rsid w:val="00DA0AFB"/>
    <w:rsid w:val="00DA13F4"/>
    <w:rsid w:val="00DA263F"/>
    <w:rsid w:val="00DA2FCD"/>
    <w:rsid w:val="00DA3260"/>
    <w:rsid w:val="00DA3E1A"/>
    <w:rsid w:val="00DA4A97"/>
    <w:rsid w:val="00DA56A8"/>
    <w:rsid w:val="00DA62DB"/>
    <w:rsid w:val="00DA7610"/>
    <w:rsid w:val="00DB0241"/>
    <w:rsid w:val="00DB3A08"/>
    <w:rsid w:val="00DB4B60"/>
    <w:rsid w:val="00DB5445"/>
    <w:rsid w:val="00DB55CE"/>
    <w:rsid w:val="00DB6D2F"/>
    <w:rsid w:val="00DB6DA9"/>
    <w:rsid w:val="00DB7A8A"/>
    <w:rsid w:val="00DC1DE9"/>
    <w:rsid w:val="00DC2115"/>
    <w:rsid w:val="00DC34D3"/>
    <w:rsid w:val="00DC483E"/>
    <w:rsid w:val="00DC7C23"/>
    <w:rsid w:val="00DD01A1"/>
    <w:rsid w:val="00DD087A"/>
    <w:rsid w:val="00DD1287"/>
    <w:rsid w:val="00DD2D1F"/>
    <w:rsid w:val="00DD2D22"/>
    <w:rsid w:val="00DD4D39"/>
    <w:rsid w:val="00DD4E53"/>
    <w:rsid w:val="00DD546B"/>
    <w:rsid w:val="00DD78BF"/>
    <w:rsid w:val="00DD7BE9"/>
    <w:rsid w:val="00DE1771"/>
    <w:rsid w:val="00DE1857"/>
    <w:rsid w:val="00DE1F11"/>
    <w:rsid w:val="00DE1F7A"/>
    <w:rsid w:val="00DE44C2"/>
    <w:rsid w:val="00DE50E1"/>
    <w:rsid w:val="00DE65B1"/>
    <w:rsid w:val="00DE6A99"/>
    <w:rsid w:val="00DE72B5"/>
    <w:rsid w:val="00DF1863"/>
    <w:rsid w:val="00DF19EE"/>
    <w:rsid w:val="00DF1D3D"/>
    <w:rsid w:val="00DF2585"/>
    <w:rsid w:val="00DF4C85"/>
    <w:rsid w:val="00DF5D92"/>
    <w:rsid w:val="00DF76C0"/>
    <w:rsid w:val="00DF7CC2"/>
    <w:rsid w:val="00DF7FCE"/>
    <w:rsid w:val="00E00794"/>
    <w:rsid w:val="00E01BAE"/>
    <w:rsid w:val="00E02622"/>
    <w:rsid w:val="00E046E1"/>
    <w:rsid w:val="00E04A92"/>
    <w:rsid w:val="00E04B69"/>
    <w:rsid w:val="00E06FEE"/>
    <w:rsid w:val="00E1365E"/>
    <w:rsid w:val="00E14F0E"/>
    <w:rsid w:val="00E15773"/>
    <w:rsid w:val="00E16221"/>
    <w:rsid w:val="00E17A35"/>
    <w:rsid w:val="00E2091B"/>
    <w:rsid w:val="00E21EAA"/>
    <w:rsid w:val="00E2473D"/>
    <w:rsid w:val="00E25899"/>
    <w:rsid w:val="00E30683"/>
    <w:rsid w:val="00E3233A"/>
    <w:rsid w:val="00E32C3C"/>
    <w:rsid w:val="00E3387D"/>
    <w:rsid w:val="00E33A09"/>
    <w:rsid w:val="00E34FAD"/>
    <w:rsid w:val="00E35E2A"/>
    <w:rsid w:val="00E35F92"/>
    <w:rsid w:val="00E367BF"/>
    <w:rsid w:val="00E406AC"/>
    <w:rsid w:val="00E41AF5"/>
    <w:rsid w:val="00E41BD1"/>
    <w:rsid w:val="00E42AE1"/>
    <w:rsid w:val="00E44698"/>
    <w:rsid w:val="00E454AC"/>
    <w:rsid w:val="00E46307"/>
    <w:rsid w:val="00E468CC"/>
    <w:rsid w:val="00E46FB7"/>
    <w:rsid w:val="00E53E28"/>
    <w:rsid w:val="00E54680"/>
    <w:rsid w:val="00E55F2F"/>
    <w:rsid w:val="00E56084"/>
    <w:rsid w:val="00E567D0"/>
    <w:rsid w:val="00E6045C"/>
    <w:rsid w:val="00E61A8A"/>
    <w:rsid w:val="00E61B30"/>
    <w:rsid w:val="00E61C67"/>
    <w:rsid w:val="00E6226D"/>
    <w:rsid w:val="00E62539"/>
    <w:rsid w:val="00E6276F"/>
    <w:rsid w:val="00E66974"/>
    <w:rsid w:val="00E67707"/>
    <w:rsid w:val="00E70E10"/>
    <w:rsid w:val="00E70EC5"/>
    <w:rsid w:val="00E720D6"/>
    <w:rsid w:val="00E72B17"/>
    <w:rsid w:val="00E74EE0"/>
    <w:rsid w:val="00E75341"/>
    <w:rsid w:val="00E80616"/>
    <w:rsid w:val="00E80D1E"/>
    <w:rsid w:val="00E83218"/>
    <w:rsid w:val="00E84E57"/>
    <w:rsid w:val="00E861E3"/>
    <w:rsid w:val="00E877EF"/>
    <w:rsid w:val="00E90085"/>
    <w:rsid w:val="00E90470"/>
    <w:rsid w:val="00E92494"/>
    <w:rsid w:val="00E950DE"/>
    <w:rsid w:val="00E96D67"/>
    <w:rsid w:val="00EA0585"/>
    <w:rsid w:val="00EA1B55"/>
    <w:rsid w:val="00EA3175"/>
    <w:rsid w:val="00EA4E57"/>
    <w:rsid w:val="00EA646E"/>
    <w:rsid w:val="00EA738E"/>
    <w:rsid w:val="00EB0777"/>
    <w:rsid w:val="00EB0862"/>
    <w:rsid w:val="00EB0971"/>
    <w:rsid w:val="00EB470D"/>
    <w:rsid w:val="00EB75B5"/>
    <w:rsid w:val="00EB77B6"/>
    <w:rsid w:val="00EC07AC"/>
    <w:rsid w:val="00EC0F37"/>
    <w:rsid w:val="00EC1716"/>
    <w:rsid w:val="00EC174A"/>
    <w:rsid w:val="00EC1D15"/>
    <w:rsid w:val="00EC321C"/>
    <w:rsid w:val="00EC3331"/>
    <w:rsid w:val="00EC33C7"/>
    <w:rsid w:val="00EC43FA"/>
    <w:rsid w:val="00EC4EAD"/>
    <w:rsid w:val="00EC5B04"/>
    <w:rsid w:val="00EC7957"/>
    <w:rsid w:val="00ED20C4"/>
    <w:rsid w:val="00ED3143"/>
    <w:rsid w:val="00ED3198"/>
    <w:rsid w:val="00ED3DD5"/>
    <w:rsid w:val="00ED4099"/>
    <w:rsid w:val="00ED7B31"/>
    <w:rsid w:val="00ED7D95"/>
    <w:rsid w:val="00EE25E4"/>
    <w:rsid w:val="00EE425B"/>
    <w:rsid w:val="00EE65AD"/>
    <w:rsid w:val="00EF078F"/>
    <w:rsid w:val="00EF1027"/>
    <w:rsid w:val="00EF1B27"/>
    <w:rsid w:val="00EF2C7C"/>
    <w:rsid w:val="00EF3180"/>
    <w:rsid w:val="00EF50CA"/>
    <w:rsid w:val="00EF62D4"/>
    <w:rsid w:val="00EF739B"/>
    <w:rsid w:val="00EF73D6"/>
    <w:rsid w:val="00EF7CEA"/>
    <w:rsid w:val="00F0162E"/>
    <w:rsid w:val="00F01838"/>
    <w:rsid w:val="00F02C2E"/>
    <w:rsid w:val="00F03743"/>
    <w:rsid w:val="00F044B6"/>
    <w:rsid w:val="00F04BEE"/>
    <w:rsid w:val="00F04BF3"/>
    <w:rsid w:val="00F10114"/>
    <w:rsid w:val="00F1020A"/>
    <w:rsid w:val="00F10E52"/>
    <w:rsid w:val="00F113BF"/>
    <w:rsid w:val="00F120C7"/>
    <w:rsid w:val="00F12E26"/>
    <w:rsid w:val="00F12EB1"/>
    <w:rsid w:val="00F13730"/>
    <w:rsid w:val="00F1484C"/>
    <w:rsid w:val="00F158F0"/>
    <w:rsid w:val="00F15C8C"/>
    <w:rsid w:val="00F15F7B"/>
    <w:rsid w:val="00F16531"/>
    <w:rsid w:val="00F16A57"/>
    <w:rsid w:val="00F16B47"/>
    <w:rsid w:val="00F16D20"/>
    <w:rsid w:val="00F20BDC"/>
    <w:rsid w:val="00F21E38"/>
    <w:rsid w:val="00F21EA9"/>
    <w:rsid w:val="00F23F20"/>
    <w:rsid w:val="00F240F9"/>
    <w:rsid w:val="00F24814"/>
    <w:rsid w:val="00F252DD"/>
    <w:rsid w:val="00F25A26"/>
    <w:rsid w:val="00F25E04"/>
    <w:rsid w:val="00F262F6"/>
    <w:rsid w:val="00F26B4E"/>
    <w:rsid w:val="00F26C1C"/>
    <w:rsid w:val="00F27340"/>
    <w:rsid w:val="00F27366"/>
    <w:rsid w:val="00F27B56"/>
    <w:rsid w:val="00F31C80"/>
    <w:rsid w:val="00F31EF6"/>
    <w:rsid w:val="00F32E1F"/>
    <w:rsid w:val="00F35816"/>
    <w:rsid w:val="00F35DB5"/>
    <w:rsid w:val="00F414E8"/>
    <w:rsid w:val="00F42749"/>
    <w:rsid w:val="00F45DD4"/>
    <w:rsid w:val="00F45FAC"/>
    <w:rsid w:val="00F47088"/>
    <w:rsid w:val="00F4757E"/>
    <w:rsid w:val="00F478AB"/>
    <w:rsid w:val="00F5013B"/>
    <w:rsid w:val="00F51F91"/>
    <w:rsid w:val="00F52029"/>
    <w:rsid w:val="00F54584"/>
    <w:rsid w:val="00F60370"/>
    <w:rsid w:val="00F61302"/>
    <w:rsid w:val="00F61F49"/>
    <w:rsid w:val="00F62872"/>
    <w:rsid w:val="00F62879"/>
    <w:rsid w:val="00F63F65"/>
    <w:rsid w:val="00F6658C"/>
    <w:rsid w:val="00F6695F"/>
    <w:rsid w:val="00F677DB"/>
    <w:rsid w:val="00F719A3"/>
    <w:rsid w:val="00F71C2E"/>
    <w:rsid w:val="00F72263"/>
    <w:rsid w:val="00F72429"/>
    <w:rsid w:val="00F72762"/>
    <w:rsid w:val="00F7609D"/>
    <w:rsid w:val="00F76AA2"/>
    <w:rsid w:val="00F76B73"/>
    <w:rsid w:val="00F77B9A"/>
    <w:rsid w:val="00F80874"/>
    <w:rsid w:val="00F83176"/>
    <w:rsid w:val="00F8352E"/>
    <w:rsid w:val="00F85228"/>
    <w:rsid w:val="00F952D1"/>
    <w:rsid w:val="00F97B4F"/>
    <w:rsid w:val="00F97DB0"/>
    <w:rsid w:val="00F97FAE"/>
    <w:rsid w:val="00FA01C8"/>
    <w:rsid w:val="00FA01FA"/>
    <w:rsid w:val="00FA0EA1"/>
    <w:rsid w:val="00FA1AED"/>
    <w:rsid w:val="00FA2FD8"/>
    <w:rsid w:val="00FA4879"/>
    <w:rsid w:val="00FA5121"/>
    <w:rsid w:val="00FA5C81"/>
    <w:rsid w:val="00FA5D26"/>
    <w:rsid w:val="00FA5E8B"/>
    <w:rsid w:val="00FA68E5"/>
    <w:rsid w:val="00FA7316"/>
    <w:rsid w:val="00FA7BBA"/>
    <w:rsid w:val="00FB0A10"/>
    <w:rsid w:val="00FB0E3E"/>
    <w:rsid w:val="00FB14ED"/>
    <w:rsid w:val="00FB3E2E"/>
    <w:rsid w:val="00FB5CCC"/>
    <w:rsid w:val="00FB6233"/>
    <w:rsid w:val="00FB7474"/>
    <w:rsid w:val="00FC189C"/>
    <w:rsid w:val="00FC34CB"/>
    <w:rsid w:val="00FC4CD3"/>
    <w:rsid w:val="00FC50B1"/>
    <w:rsid w:val="00FC55EE"/>
    <w:rsid w:val="00FC5D94"/>
    <w:rsid w:val="00FC7709"/>
    <w:rsid w:val="00FC77B7"/>
    <w:rsid w:val="00FD0AC9"/>
    <w:rsid w:val="00FD1CE5"/>
    <w:rsid w:val="00FD259F"/>
    <w:rsid w:val="00FD2EB3"/>
    <w:rsid w:val="00FD436E"/>
    <w:rsid w:val="00FD4471"/>
    <w:rsid w:val="00FD4521"/>
    <w:rsid w:val="00FD54A3"/>
    <w:rsid w:val="00FD74FD"/>
    <w:rsid w:val="00FE1506"/>
    <w:rsid w:val="00FE2A67"/>
    <w:rsid w:val="00FE34AF"/>
    <w:rsid w:val="00FE35E2"/>
    <w:rsid w:val="00FE3614"/>
    <w:rsid w:val="00FE4BAE"/>
    <w:rsid w:val="00FE4F7B"/>
    <w:rsid w:val="00FE5609"/>
    <w:rsid w:val="00FE6959"/>
    <w:rsid w:val="00FE6AC5"/>
    <w:rsid w:val="00FF068A"/>
    <w:rsid w:val="00FF0CE4"/>
    <w:rsid w:val="00FF107A"/>
    <w:rsid w:val="00FF1E33"/>
    <w:rsid w:val="00FF5092"/>
    <w:rsid w:val="00FF65C0"/>
    <w:rsid w:val="00FF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27EBF"/>
  <w15:chartTrackingRefBased/>
  <w15:docId w15:val="{1C9CC82A-260C-42F0-9DE9-EC186321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13CF"/>
  </w:style>
  <w:style w:type="paragraph" w:styleId="Titre1">
    <w:name w:val="heading 1"/>
    <w:basedOn w:val="Normal"/>
    <w:next w:val="Normal"/>
    <w:link w:val="Titre1Car"/>
    <w:uiPriority w:val="9"/>
    <w:qFormat/>
    <w:rsid w:val="00216EB8"/>
    <w:pPr>
      <w:keepNext/>
      <w:keepLines/>
      <w:spacing w:before="240"/>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unhideWhenUsed/>
    <w:qFormat/>
    <w:rsid w:val="00216EB8"/>
    <w:pPr>
      <w:keepNext/>
      <w:keepLines/>
      <w:spacing w:before="40"/>
      <w:outlineLvl w:val="1"/>
    </w:pPr>
    <w:rPr>
      <w:rFonts w:ascii="Calibri" w:eastAsia="Calibri" w:hAnsi="Calibri" w:cs="Calibri"/>
      <w:color w:val="2E75B5"/>
      <w:sz w:val="26"/>
      <w:szCs w:val="26"/>
      <w:lang w:eastAsia="fr-FR"/>
    </w:rPr>
  </w:style>
  <w:style w:type="paragraph" w:styleId="Titre3">
    <w:name w:val="heading 3"/>
    <w:basedOn w:val="Normal"/>
    <w:next w:val="Normal"/>
    <w:link w:val="Titre3Car"/>
    <w:uiPriority w:val="9"/>
    <w:unhideWhenUsed/>
    <w:qFormat/>
    <w:rsid w:val="00216EB8"/>
    <w:pPr>
      <w:keepNext/>
      <w:keepLines/>
      <w:spacing w:before="40"/>
      <w:outlineLvl w:val="2"/>
    </w:pPr>
    <w:rPr>
      <w:rFonts w:ascii="Calibri" w:eastAsia="Calibri" w:hAnsi="Calibri" w:cs="Calibri"/>
      <w:color w:val="1E4D78"/>
      <w:lang w:eastAsia="fr-FR"/>
    </w:rPr>
  </w:style>
  <w:style w:type="paragraph" w:styleId="Titre4">
    <w:name w:val="heading 4"/>
    <w:basedOn w:val="Normal"/>
    <w:next w:val="Normal"/>
    <w:link w:val="Titre4Car"/>
    <w:uiPriority w:val="9"/>
    <w:unhideWhenUsed/>
    <w:qFormat/>
    <w:rsid w:val="00216EB8"/>
    <w:pPr>
      <w:keepNext/>
      <w:keepLines/>
      <w:spacing w:before="40"/>
      <w:outlineLvl w:val="3"/>
    </w:pPr>
    <w:rPr>
      <w:rFonts w:asciiTheme="majorHAnsi" w:eastAsiaTheme="majorEastAsia" w:hAnsiTheme="majorHAnsi" w:cstheme="majorBidi"/>
      <w:i/>
      <w:iCs/>
      <w:color w:val="2E74B5" w:themeColor="accent1" w:themeShade="BF"/>
      <w:lang w:eastAsia="fr-FR"/>
    </w:rPr>
  </w:style>
  <w:style w:type="paragraph" w:styleId="Titre5">
    <w:name w:val="heading 5"/>
    <w:basedOn w:val="Normal"/>
    <w:next w:val="Normal"/>
    <w:link w:val="Titre5Car"/>
    <w:uiPriority w:val="9"/>
    <w:unhideWhenUsed/>
    <w:qFormat/>
    <w:rsid w:val="00216EB8"/>
    <w:pPr>
      <w:keepNext/>
      <w:keepLines/>
      <w:spacing w:before="40"/>
      <w:outlineLvl w:val="4"/>
    </w:pPr>
    <w:rPr>
      <w:rFonts w:asciiTheme="majorHAnsi" w:eastAsiaTheme="majorEastAsia" w:hAnsiTheme="majorHAnsi" w:cstheme="majorBidi"/>
      <w:color w:val="2E74B5" w:themeColor="accent1" w:themeShade="B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D313C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uiPriority w:val="9"/>
    <w:rsid w:val="00216EB8"/>
    <w:rPr>
      <w:rFonts w:asciiTheme="majorHAnsi" w:eastAsiaTheme="majorEastAsia" w:hAnsiTheme="majorHAnsi" w:cstheme="majorBidi"/>
      <w:color w:val="2E74B5" w:themeColor="accent1" w:themeShade="BF"/>
      <w:sz w:val="32"/>
      <w:szCs w:val="32"/>
      <w:lang w:val="fr-FR" w:eastAsia="fr-FR"/>
    </w:rPr>
  </w:style>
  <w:style w:type="character" w:customStyle="1" w:styleId="Titre2Car">
    <w:name w:val="Titre 2 Car"/>
    <w:basedOn w:val="Policepardfaut"/>
    <w:link w:val="Titre2"/>
    <w:uiPriority w:val="9"/>
    <w:rsid w:val="00216EB8"/>
    <w:rPr>
      <w:rFonts w:ascii="Calibri" w:eastAsia="Calibri" w:hAnsi="Calibri" w:cs="Calibri"/>
      <w:color w:val="2E75B5"/>
      <w:sz w:val="26"/>
      <w:szCs w:val="26"/>
      <w:lang w:val="fr-FR" w:eastAsia="fr-FR"/>
    </w:rPr>
  </w:style>
  <w:style w:type="character" w:customStyle="1" w:styleId="Titre3Car">
    <w:name w:val="Titre 3 Car"/>
    <w:basedOn w:val="Policepardfaut"/>
    <w:link w:val="Titre3"/>
    <w:uiPriority w:val="9"/>
    <w:rsid w:val="00216EB8"/>
    <w:rPr>
      <w:rFonts w:ascii="Calibri" w:eastAsia="Calibri" w:hAnsi="Calibri" w:cs="Calibri"/>
      <w:color w:val="1E4D78"/>
      <w:lang w:val="fr-FR" w:eastAsia="fr-FR"/>
    </w:rPr>
  </w:style>
  <w:style w:type="character" w:customStyle="1" w:styleId="Titre4Car">
    <w:name w:val="Titre 4 Car"/>
    <w:basedOn w:val="Policepardfaut"/>
    <w:link w:val="Titre4"/>
    <w:uiPriority w:val="9"/>
    <w:rsid w:val="00216EB8"/>
    <w:rPr>
      <w:rFonts w:asciiTheme="majorHAnsi" w:eastAsiaTheme="majorEastAsia" w:hAnsiTheme="majorHAnsi" w:cstheme="majorBidi"/>
      <w:i/>
      <w:iCs/>
      <w:color w:val="2E74B5" w:themeColor="accent1" w:themeShade="BF"/>
      <w:lang w:val="fr-FR" w:eastAsia="fr-FR"/>
    </w:rPr>
  </w:style>
  <w:style w:type="character" w:customStyle="1" w:styleId="Titre5Car">
    <w:name w:val="Titre 5 Car"/>
    <w:basedOn w:val="Policepardfaut"/>
    <w:link w:val="Titre5"/>
    <w:uiPriority w:val="9"/>
    <w:rsid w:val="00216EB8"/>
    <w:rPr>
      <w:rFonts w:asciiTheme="majorHAnsi" w:eastAsiaTheme="majorEastAsia" w:hAnsiTheme="majorHAnsi" w:cstheme="majorBidi"/>
      <w:color w:val="2E74B5" w:themeColor="accent1" w:themeShade="BF"/>
      <w:lang w:val="fr-FR" w:eastAsia="fr-FR"/>
    </w:rPr>
  </w:style>
  <w:style w:type="paragraph" w:styleId="En-tte">
    <w:name w:val="header"/>
    <w:basedOn w:val="Normal"/>
    <w:link w:val="En-tteCar"/>
    <w:uiPriority w:val="99"/>
    <w:unhideWhenUsed/>
    <w:rsid w:val="00216EB8"/>
    <w:pPr>
      <w:tabs>
        <w:tab w:val="center" w:pos="4513"/>
        <w:tab w:val="right" w:pos="9026"/>
      </w:tabs>
    </w:pPr>
    <w:rPr>
      <w:rFonts w:ascii="Times New Roman" w:eastAsia="Times New Roman" w:hAnsi="Times New Roman" w:cs="Times New Roman"/>
      <w:lang w:eastAsia="fr-FR"/>
    </w:rPr>
  </w:style>
  <w:style w:type="character" w:customStyle="1" w:styleId="En-tteCar">
    <w:name w:val="En-tête Car"/>
    <w:basedOn w:val="Policepardfaut"/>
    <w:link w:val="En-tte"/>
    <w:uiPriority w:val="99"/>
    <w:rsid w:val="00216EB8"/>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rsid w:val="00216EB8"/>
    <w:pPr>
      <w:tabs>
        <w:tab w:val="center" w:pos="4513"/>
        <w:tab w:val="right" w:pos="9026"/>
      </w:tabs>
    </w:pPr>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rsid w:val="00216EB8"/>
    <w:rPr>
      <w:rFonts w:ascii="Times New Roman" w:eastAsia="Times New Roman" w:hAnsi="Times New Roman" w:cs="Times New Roman"/>
      <w:lang w:val="fr-FR" w:eastAsia="fr-FR"/>
    </w:rPr>
  </w:style>
  <w:style w:type="paragraph" w:styleId="Notedebasdepage">
    <w:name w:val="footnote text"/>
    <w:aliases w:val="F1,Footnote Text Char1,Footnote Text Char Char,Footnote Text Char1 Char Char,Footnote Text Char Char Char Char,Footnote Text Char Char1,ft,single space,footnote text,Char"/>
    <w:basedOn w:val="Normal"/>
    <w:link w:val="NotedebasdepageCar"/>
    <w:uiPriority w:val="99"/>
    <w:unhideWhenUsed/>
    <w:qFormat/>
    <w:rsid w:val="00216EB8"/>
    <w:rPr>
      <w:rFonts w:ascii="Times New Roman" w:eastAsia="Times New Roman" w:hAnsi="Times New Roman" w:cs="Times New Roman"/>
      <w:sz w:val="20"/>
      <w:szCs w:val="20"/>
      <w:lang w:eastAsia="fr-FR"/>
    </w:rPr>
  </w:style>
  <w:style w:type="character" w:customStyle="1" w:styleId="NotedebasdepageCar">
    <w:name w:val="Note de bas de page Car"/>
    <w:aliases w:val="F1 Car,Footnote Text Char1 Car,Footnote Text Char Char Car,Footnote Text Char1 Char Char Car,Footnote Text Char Char Char Char Car,Footnote Text Char Char1 Car,ft Car,single space Car,footnote text Car,Char Car"/>
    <w:basedOn w:val="Policepardfaut"/>
    <w:link w:val="Notedebasdepage"/>
    <w:uiPriority w:val="99"/>
    <w:qFormat/>
    <w:rsid w:val="00216EB8"/>
    <w:rPr>
      <w:rFonts w:ascii="Times New Roman" w:eastAsia="Times New Roman" w:hAnsi="Times New Roman" w:cs="Times New Roman"/>
      <w:sz w:val="20"/>
      <w:szCs w:val="20"/>
      <w:lang w:val="fr-FR" w:eastAsia="fr-FR"/>
    </w:rPr>
  </w:style>
  <w:style w:type="character" w:styleId="Appelnotedebasdep">
    <w:name w:val="footnote reference"/>
    <w:aliases w:val="fr,BVI fnr,BVI fnr Car Car,BVI fnr Car,BVI fnr Car Car Car Car"/>
    <w:basedOn w:val="Policepardfaut"/>
    <w:uiPriority w:val="99"/>
    <w:unhideWhenUsed/>
    <w:qFormat/>
    <w:rsid w:val="00216EB8"/>
    <w:rPr>
      <w:vertAlign w:val="superscript"/>
    </w:rPr>
  </w:style>
  <w:style w:type="character" w:styleId="Lienhypertexte">
    <w:name w:val="Hyperlink"/>
    <w:basedOn w:val="Policepardfaut"/>
    <w:uiPriority w:val="99"/>
    <w:unhideWhenUsed/>
    <w:rsid w:val="00216EB8"/>
    <w:rPr>
      <w:color w:val="0563C1" w:themeColor="hyperlink"/>
      <w:u w:val="single"/>
    </w:rPr>
  </w:style>
  <w:style w:type="character" w:customStyle="1" w:styleId="UnresolvedMention1">
    <w:name w:val="Unresolved Mention1"/>
    <w:basedOn w:val="Policepardfaut"/>
    <w:uiPriority w:val="99"/>
    <w:semiHidden/>
    <w:unhideWhenUsed/>
    <w:rsid w:val="00216EB8"/>
    <w:rPr>
      <w:color w:val="605E5C"/>
      <w:shd w:val="clear" w:color="auto" w:fill="E1DFDD"/>
    </w:rPr>
  </w:style>
  <w:style w:type="paragraph" w:styleId="NormalWeb">
    <w:name w:val="Normal (Web)"/>
    <w:basedOn w:val="Normal"/>
    <w:uiPriority w:val="99"/>
    <w:unhideWhenUsed/>
    <w:rsid w:val="00216EB8"/>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216EB8"/>
    <w:pPr>
      <w:ind w:left="720"/>
      <w:contextualSpacing/>
    </w:pPr>
    <w:rPr>
      <w:rFonts w:ascii="Times New Roman" w:eastAsia="Times New Roman" w:hAnsi="Times New Roman" w:cs="Times New Roman"/>
      <w:lang w:eastAsia="fr-FR"/>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basedOn w:val="Policepardfaut"/>
    <w:link w:val="Paragraphedeliste"/>
    <w:uiPriority w:val="34"/>
    <w:locked/>
    <w:rsid w:val="00216EB8"/>
    <w:rPr>
      <w:rFonts w:ascii="Times New Roman" w:eastAsia="Times New Roman" w:hAnsi="Times New Roman" w:cs="Times New Roman"/>
      <w:lang w:val="fr-FR" w:eastAsia="fr-FR"/>
    </w:rPr>
  </w:style>
  <w:style w:type="paragraph" w:customStyle="1" w:styleId="xmsonormal">
    <w:name w:val="x_msonormal"/>
    <w:basedOn w:val="Normal"/>
    <w:rsid w:val="00216EB8"/>
    <w:pPr>
      <w:spacing w:before="100" w:beforeAutospacing="1" w:after="100" w:afterAutospacing="1"/>
    </w:pPr>
    <w:rPr>
      <w:rFonts w:ascii="Times New Roman" w:eastAsia="Times New Roman" w:hAnsi="Times New Roman" w:cs="Times New Roman"/>
      <w:lang w:eastAsia="fr-FR"/>
    </w:rPr>
  </w:style>
  <w:style w:type="paragraph" w:customStyle="1" w:styleId="xmsolistparagraph">
    <w:name w:val="x_msolistparagraph"/>
    <w:basedOn w:val="Normal"/>
    <w:rsid w:val="00216EB8"/>
    <w:pPr>
      <w:spacing w:before="100" w:beforeAutospacing="1" w:after="100" w:afterAutospacing="1"/>
    </w:pPr>
    <w:rPr>
      <w:rFonts w:ascii="Times New Roman" w:eastAsia="Times New Roman" w:hAnsi="Times New Roman" w:cs="Times New Roman"/>
      <w:lang w:eastAsia="fr-FR"/>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qFormat/>
    <w:rsid w:val="00216EB8"/>
    <w:rPr>
      <w:rFonts w:ascii="Arial" w:eastAsia="Calibri" w:hAnsi="Arial" w:cs="Times New Roman"/>
      <w:sz w:val="20"/>
      <w:szCs w:val="20"/>
      <w:lang w:val="fr-FR"/>
    </w:rPr>
  </w:style>
  <w:style w:type="table" w:styleId="Grilledutableau">
    <w:name w:val="Table Grid"/>
    <w:basedOn w:val="TableauNormal"/>
    <w:uiPriority w:val="39"/>
    <w:rsid w:val="00216EB8"/>
    <w:rPr>
      <w:rFonts w:ascii="Calibri" w:eastAsia="Calibri" w:hAnsi="Calibri"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1">
    <w:name w:val="toc 1"/>
    <w:basedOn w:val="Normal"/>
    <w:next w:val="Normal"/>
    <w:autoRedefine/>
    <w:uiPriority w:val="39"/>
    <w:unhideWhenUsed/>
    <w:rsid w:val="00216EB8"/>
    <w:pPr>
      <w:spacing w:after="100"/>
    </w:pPr>
    <w:rPr>
      <w:rFonts w:ascii="Times New Roman" w:eastAsia="Times New Roman" w:hAnsi="Times New Roman" w:cs="Times New Roman"/>
      <w:lang w:eastAsia="fr-FR"/>
    </w:rPr>
  </w:style>
  <w:style w:type="paragraph" w:styleId="TM2">
    <w:name w:val="toc 2"/>
    <w:basedOn w:val="Normal"/>
    <w:next w:val="Normal"/>
    <w:autoRedefine/>
    <w:uiPriority w:val="39"/>
    <w:unhideWhenUsed/>
    <w:rsid w:val="008C520F"/>
    <w:pPr>
      <w:tabs>
        <w:tab w:val="left" w:pos="720"/>
        <w:tab w:val="right" w:pos="9736"/>
      </w:tabs>
      <w:spacing w:after="100"/>
      <w:ind w:left="240"/>
    </w:pPr>
    <w:rPr>
      <w:rFonts w:ascii="Times New Roman" w:eastAsia="Times New Roman" w:hAnsi="Times New Roman" w:cs="Times New Roman"/>
      <w:lang w:eastAsia="fr-FR"/>
    </w:rPr>
  </w:style>
  <w:style w:type="paragraph" w:styleId="TM3">
    <w:name w:val="toc 3"/>
    <w:basedOn w:val="Normal"/>
    <w:next w:val="Normal"/>
    <w:autoRedefine/>
    <w:uiPriority w:val="39"/>
    <w:unhideWhenUsed/>
    <w:rsid w:val="00216EB8"/>
    <w:pPr>
      <w:spacing w:after="100"/>
      <w:ind w:left="480"/>
    </w:pPr>
    <w:rPr>
      <w:rFonts w:ascii="Times New Roman" w:eastAsia="Times New Roman" w:hAnsi="Times New Roman" w:cs="Times New Roman"/>
      <w:lang w:eastAsia="fr-FR"/>
    </w:rPr>
  </w:style>
  <w:style w:type="paragraph" w:styleId="Lgende">
    <w:name w:val="caption"/>
    <w:basedOn w:val="Normal"/>
    <w:next w:val="Normal"/>
    <w:uiPriority w:val="35"/>
    <w:unhideWhenUsed/>
    <w:qFormat/>
    <w:rsid w:val="00216EB8"/>
    <w:pPr>
      <w:spacing w:after="200"/>
    </w:pPr>
    <w:rPr>
      <w:rFonts w:ascii="Times New Roman" w:eastAsia="Times New Roman" w:hAnsi="Times New Roman" w:cs="Times New Roman"/>
      <w:i/>
      <w:iCs/>
      <w:color w:val="44546A" w:themeColor="text2"/>
      <w:sz w:val="18"/>
      <w:szCs w:val="18"/>
      <w:lang w:eastAsia="fr-FR"/>
    </w:rPr>
  </w:style>
  <w:style w:type="paragraph" w:customStyle="1" w:styleId="Default">
    <w:name w:val="Default"/>
    <w:rsid w:val="00216EB8"/>
    <w:pPr>
      <w:autoSpaceDE w:val="0"/>
      <w:autoSpaceDN w:val="0"/>
      <w:adjustRightInd w:val="0"/>
    </w:pPr>
    <w:rPr>
      <w:rFonts w:ascii="Calibri" w:hAnsi="Calibri" w:cs="Calibri"/>
      <w:color w:val="00000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216EB8"/>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uiPriority w:val="99"/>
    <w:semiHidden/>
    <w:rsid w:val="00216EB8"/>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216EB8"/>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uiPriority w:val="99"/>
    <w:semiHidden/>
    <w:rsid w:val="00216EB8"/>
    <w:rPr>
      <w:rFonts w:ascii="Segoe UI" w:eastAsia="Times New Roman" w:hAnsi="Segoe UI" w:cs="Segoe UI"/>
      <w:sz w:val="18"/>
      <w:szCs w:val="18"/>
      <w:lang w:val="fr-FR" w:eastAsia="fr-FR"/>
    </w:rPr>
  </w:style>
  <w:style w:type="character" w:customStyle="1" w:styleId="UnresolvedMention2">
    <w:name w:val="Unresolved Mention2"/>
    <w:basedOn w:val="Policepardfaut"/>
    <w:uiPriority w:val="99"/>
    <w:semiHidden/>
    <w:unhideWhenUsed/>
    <w:rsid w:val="00216EB8"/>
    <w:rPr>
      <w:color w:val="605E5C"/>
      <w:shd w:val="clear" w:color="auto" w:fill="E1DFDD"/>
    </w:rPr>
  </w:style>
  <w:style w:type="character" w:styleId="Lienhypertextesuivivisit">
    <w:name w:val="FollowedHyperlink"/>
    <w:basedOn w:val="Policepardfaut"/>
    <w:uiPriority w:val="99"/>
    <w:semiHidden/>
    <w:unhideWhenUsed/>
    <w:rsid w:val="00216EB8"/>
    <w:rPr>
      <w:color w:val="954F72" w:themeColor="followedHyperlink"/>
      <w:u w:val="single"/>
    </w:rPr>
  </w:style>
  <w:style w:type="character" w:customStyle="1" w:styleId="UnresolvedMention3">
    <w:name w:val="Unresolved Mention3"/>
    <w:basedOn w:val="Policepardfaut"/>
    <w:uiPriority w:val="99"/>
    <w:semiHidden/>
    <w:unhideWhenUsed/>
    <w:rsid w:val="00216EB8"/>
    <w:rPr>
      <w:color w:val="808080"/>
      <w:shd w:val="clear" w:color="auto" w:fill="E6E6E6"/>
    </w:rPr>
  </w:style>
  <w:style w:type="paragraph" w:styleId="Rvision">
    <w:name w:val="Revision"/>
    <w:hidden/>
    <w:uiPriority w:val="99"/>
    <w:semiHidden/>
    <w:rsid w:val="00216EB8"/>
    <w:rPr>
      <w:rFonts w:ascii="Times New Roman" w:eastAsia="Times New Roman" w:hAnsi="Times New Roman" w:cs="Times New Roman"/>
      <w:lang w:eastAsia="fr-FR"/>
    </w:rPr>
  </w:style>
  <w:style w:type="paragraph" w:styleId="TM4">
    <w:name w:val="toc 4"/>
    <w:basedOn w:val="Normal"/>
    <w:next w:val="Normal"/>
    <w:autoRedefine/>
    <w:uiPriority w:val="39"/>
    <w:unhideWhenUsed/>
    <w:rsid w:val="00216EB8"/>
    <w:pPr>
      <w:spacing w:after="100"/>
      <w:ind w:left="720"/>
    </w:pPr>
    <w:rPr>
      <w:rFonts w:ascii="Times New Roman" w:eastAsia="Times New Roman" w:hAnsi="Times New Roman" w:cs="Times New Roman"/>
      <w:lang w:eastAsia="fr-FR"/>
    </w:rPr>
  </w:style>
  <w:style w:type="paragraph" w:styleId="Corpsdetexte">
    <w:name w:val="Body Text"/>
    <w:basedOn w:val="Normal"/>
    <w:link w:val="CorpsdetexteCar"/>
    <w:rsid w:val="00216EB8"/>
    <w:pPr>
      <w:widowControl w:val="0"/>
      <w:spacing w:after="283"/>
    </w:pPr>
    <w:rPr>
      <w:rFonts w:ascii="Liberation Serif" w:eastAsia="Arial Unicode MS" w:hAnsi="Liberation Serif" w:cs="Arial Unicode MS"/>
      <w:lang w:eastAsia="zh-CN" w:bidi="hi-IN"/>
    </w:rPr>
  </w:style>
  <w:style w:type="character" w:customStyle="1" w:styleId="CorpsdetexteCar">
    <w:name w:val="Corps de texte Car"/>
    <w:basedOn w:val="Policepardfaut"/>
    <w:link w:val="Corpsdetexte"/>
    <w:rsid w:val="00216EB8"/>
    <w:rPr>
      <w:rFonts w:ascii="Liberation Serif" w:eastAsia="Arial Unicode MS" w:hAnsi="Liberation Serif" w:cs="Arial Unicode MS"/>
      <w:lang w:val="fr-FR" w:eastAsia="zh-CN" w:bidi="hi-IN"/>
    </w:rPr>
  </w:style>
  <w:style w:type="paragraph" w:styleId="Notedefin">
    <w:name w:val="endnote text"/>
    <w:basedOn w:val="Normal"/>
    <w:link w:val="NotedefinCar"/>
    <w:uiPriority w:val="99"/>
    <w:semiHidden/>
    <w:unhideWhenUsed/>
    <w:rsid w:val="00216EB8"/>
    <w:rPr>
      <w:sz w:val="20"/>
      <w:szCs w:val="20"/>
    </w:rPr>
  </w:style>
  <w:style w:type="character" w:customStyle="1" w:styleId="NotedefinCar">
    <w:name w:val="Note de fin Car"/>
    <w:basedOn w:val="Policepardfaut"/>
    <w:link w:val="Notedefin"/>
    <w:uiPriority w:val="99"/>
    <w:semiHidden/>
    <w:rsid w:val="00216EB8"/>
    <w:rPr>
      <w:sz w:val="20"/>
      <w:szCs w:val="20"/>
      <w:lang w:val="fr-FR"/>
    </w:rPr>
  </w:style>
  <w:style w:type="character" w:customStyle="1" w:styleId="e24kjd">
    <w:name w:val="e24kjd"/>
    <w:basedOn w:val="Policepardfaut"/>
    <w:rsid w:val="00216EB8"/>
  </w:style>
  <w:style w:type="paragraph" w:styleId="Sansinterligne">
    <w:name w:val="No Spacing"/>
    <w:link w:val="SansinterligneCar"/>
    <w:uiPriority w:val="1"/>
    <w:qFormat/>
    <w:rsid w:val="00216EB8"/>
    <w:rPr>
      <w:rFonts w:ascii="Times New Roman" w:eastAsia="Times New Roman" w:hAnsi="Times New Roman" w:cs="Times New Roman"/>
      <w:lang w:eastAsia="fr-FR"/>
    </w:rPr>
  </w:style>
  <w:style w:type="character" w:customStyle="1" w:styleId="SansinterligneCar">
    <w:name w:val="Sans interligne Car"/>
    <w:basedOn w:val="Policepardfaut"/>
    <w:link w:val="Sansinterligne"/>
    <w:uiPriority w:val="1"/>
    <w:rsid w:val="00216EB8"/>
    <w:rPr>
      <w:rFonts w:ascii="Times New Roman" w:eastAsia="Times New Roman" w:hAnsi="Times New Roman" w:cs="Times New Roman"/>
      <w:lang w:val="fr-FR" w:eastAsia="fr-FR"/>
    </w:rPr>
  </w:style>
  <w:style w:type="paragraph" w:customStyle="1" w:styleId="xmsobodytext">
    <w:name w:val="x_msobodytext"/>
    <w:basedOn w:val="Normal"/>
    <w:rsid w:val="00216EB8"/>
    <w:pPr>
      <w:spacing w:before="100" w:beforeAutospacing="1" w:after="100" w:afterAutospacing="1"/>
    </w:pPr>
    <w:rPr>
      <w:rFonts w:ascii="Times New Roman" w:eastAsia="Times New Roman" w:hAnsi="Times New Roman" w:cs="Times New Roman"/>
      <w:lang w:eastAsia="fr-FR"/>
    </w:rPr>
  </w:style>
  <w:style w:type="paragraph" w:customStyle="1" w:styleId="c-article-referencestext">
    <w:name w:val="c-article-references__text"/>
    <w:basedOn w:val="Normal"/>
    <w:rsid w:val="00216EB8"/>
    <w:pPr>
      <w:spacing w:before="100" w:beforeAutospacing="1" w:after="100" w:afterAutospacing="1"/>
    </w:pPr>
    <w:rPr>
      <w:rFonts w:ascii="Times New Roman" w:eastAsia="Times New Roman" w:hAnsi="Times New Roman" w:cs="Times New Roman"/>
      <w:lang w:eastAsia="fr-CA"/>
    </w:rPr>
  </w:style>
  <w:style w:type="character" w:customStyle="1" w:styleId="A0">
    <w:name w:val="A0"/>
    <w:uiPriority w:val="99"/>
    <w:rsid w:val="00216EB8"/>
    <w:rPr>
      <w:rFonts w:cs="Acumin Pro SemiCondensed Light"/>
      <w:color w:val="000000"/>
      <w:sz w:val="19"/>
      <w:szCs w:val="19"/>
    </w:rPr>
  </w:style>
  <w:style w:type="paragraph" w:customStyle="1" w:styleId="xxmsonormal">
    <w:name w:val="x_xmsonormal"/>
    <w:basedOn w:val="Normal"/>
    <w:uiPriority w:val="99"/>
    <w:rsid w:val="00216EB8"/>
    <w:rPr>
      <w:rFonts w:ascii="Calibri" w:hAnsi="Calibri" w:cs="Times New Roman"/>
      <w:sz w:val="22"/>
      <w:szCs w:val="22"/>
      <w:lang w:eastAsia="en-CA"/>
    </w:rPr>
  </w:style>
  <w:style w:type="character" w:styleId="Appeldenotedefin">
    <w:name w:val="endnote reference"/>
    <w:basedOn w:val="Policepardfaut"/>
    <w:uiPriority w:val="99"/>
    <w:semiHidden/>
    <w:unhideWhenUsed/>
    <w:rsid w:val="00216EB8"/>
    <w:rPr>
      <w:vertAlign w:val="superscript"/>
    </w:rPr>
  </w:style>
  <w:style w:type="paragraph" w:styleId="TM5">
    <w:name w:val="toc 5"/>
    <w:basedOn w:val="Normal"/>
    <w:next w:val="Normal"/>
    <w:autoRedefine/>
    <w:uiPriority w:val="39"/>
    <w:unhideWhenUsed/>
    <w:rsid w:val="00216EB8"/>
    <w:pPr>
      <w:spacing w:after="100"/>
      <w:ind w:left="960"/>
    </w:pPr>
    <w:rPr>
      <w:rFonts w:ascii="Times New Roman" w:eastAsia="Times New Roman" w:hAnsi="Times New Roman" w:cs="Times New Roman"/>
      <w:lang w:eastAsia="fr-FR"/>
    </w:rPr>
  </w:style>
  <w:style w:type="character" w:customStyle="1" w:styleId="UnresolvedMention4">
    <w:name w:val="Unresolved Mention4"/>
    <w:basedOn w:val="Policepardfaut"/>
    <w:uiPriority w:val="99"/>
    <w:semiHidden/>
    <w:unhideWhenUsed/>
    <w:rsid w:val="00216EB8"/>
    <w:rPr>
      <w:color w:val="605E5C"/>
      <w:shd w:val="clear" w:color="auto" w:fill="E1DFDD"/>
    </w:rPr>
  </w:style>
  <w:style w:type="character" w:customStyle="1" w:styleId="UnresolvedMention5">
    <w:name w:val="Unresolved Mention5"/>
    <w:basedOn w:val="Policepardfaut"/>
    <w:uiPriority w:val="99"/>
    <w:unhideWhenUsed/>
    <w:rsid w:val="00216EB8"/>
    <w:rPr>
      <w:color w:val="605E5C"/>
      <w:shd w:val="clear" w:color="auto" w:fill="E1DFDD"/>
    </w:rPr>
  </w:style>
  <w:style w:type="table" w:customStyle="1" w:styleId="unNhythotytrongnhhngfreewebtowncomgaigoitanbinhindexhtml1">
    <w:name w:val="unNh?y thoát y trong nhà hàng  freewebtown.com/gaigoitanbinh/index.html1"/>
    <w:basedOn w:val="TableauNormal"/>
    <w:next w:val="Grilledutableau"/>
    <w:uiPriority w:val="39"/>
    <w:rsid w:val="00991B27"/>
    <w:rPr>
      <w:rFonts w:ascii="Arial" w:eastAsia="Arial" w:hAnsi="Arial" w:cs="Arial"/>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Policepardfaut"/>
    <w:uiPriority w:val="99"/>
    <w:semiHidden/>
    <w:unhideWhenUsed/>
    <w:rsid w:val="003D43C5"/>
    <w:rPr>
      <w:color w:val="605E5C"/>
      <w:shd w:val="clear" w:color="auto" w:fill="E1DFDD"/>
    </w:rPr>
  </w:style>
  <w:style w:type="character" w:customStyle="1" w:styleId="UnresolvedMention7">
    <w:name w:val="Unresolved Mention7"/>
    <w:basedOn w:val="Policepardfaut"/>
    <w:uiPriority w:val="99"/>
    <w:semiHidden/>
    <w:unhideWhenUsed/>
    <w:rsid w:val="008016DC"/>
    <w:rPr>
      <w:color w:val="605E5C"/>
      <w:shd w:val="clear" w:color="auto" w:fill="E1DFDD"/>
    </w:rPr>
  </w:style>
  <w:style w:type="character" w:customStyle="1" w:styleId="Mentionnonrsolue1">
    <w:name w:val="Mention non résolue1"/>
    <w:basedOn w:val="Policepardfaut"/>
    <w:uiPriority w:val="99"/>
    <w:semiHidden/>
    <w:unhideWhenUsed/>
    <w:rsid w:val="004559F5"/>
    <w:rPr>
      <w:color w:val="605E5C"/>
      <w:shd w:val="clear" w:color="auto" w:fill="E1DFDD"/>
    </w:rPr>
  </w:style>
  <w:style w:type="paragraph" w:customStyle="1" w:styleId="paragraph">
    <w:name w:val="paragraph"/>
    <w:basedOn w:val="Normal"/>
    <w:rsid w:val="00D60C4C"/>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D60C4C"/>
  </w:style>
  <w:style w:type="character" w:customStyle="1" w:styleId="spellingerror">
    <w:name w:val="spellingerror"/>
    <w:basedOn w:val="Policepardfaut"/>
    <w:rsid w:val="00D60C4C"/>
  </w:style>
  <w:style w:type="character" w:customStyle="1" w:styleId="eop">
    <w:name w:val="eop"/>
    <w:basedOn w:val="Policepardfaut"/>
    <w:rsid w:val="00D60C4C"/>
  </w:style>
  <w:style w:type="character" w:customStyle="1" w:styleId="superscript">
    <w:name w:val="superscript"/>
    <w:basedOn w:val="Policepardfaut"/>
    <w:rsid w:val="00D60C4C"/>
  </w:style>
  <w:style w:type="character" w:customStyle="1" w:styleId="contextualspellingandgrammarerror">
    <w:name w:val="contextualspellingandgrammarerror"/>
    <w:basedOn w:val="Policepardfaut"/>
    <w:rsid w:val="00764063"/>
  </w:style>
  <w:style w:type="character" w:styleId="Accentuationintense">
    <w:name w:val="Intense Emphasis"/>
    <w:basedOn w:val="Policepardfaut"/>
    <w:uiPriority w:val="21"/>
    <w:qFormat/>
    <w:rsid w:val="004037C5"/>
    <w:rPr>
      <w:i/>
      <w:iCs/>
      <w:color w:val="5B9BD5" w:themeColor="accent1"/>
    </w:rPr>
  </w:style>
  <w:style w:type="paragraph" w:customStyle="1" w:styleId="bodytext">
    <w:name w:val="bodytext"/>
    <w:basedOn w:val="Normal"/>
    <w:rsid w:val="00DA0AFB"/>
    <w:pPr>
      <w:spacing w:before="100" w:beforeAutospacing="1" w:after="100" w:afterAutospacing="1"/>
    </w:pPr>
    <w:rPr>
      <w:rFonts w:ascii="Times New Roman" w:eastAsia="Times New Roman" w:hAnsi="Times New Roman" w:cs="Times New Roman"/>
      <w:lang w:eastAsia="fr-FR"/>
    </w:rPr>
  </w:style>
  <w:style w:type="paragraph" w:customStyle="1" w:styleId="p1">
    <w:name w:val="p1"/>
    <w:basedOn w:val="Normal"/>
    <w:rsid w:val="003A45D0"/>
    <w:rPr>
      <w:rFonts w:ascii="Helvetica" w:hAnsi="Helvetica" w:cs="Times New Roman"/>
      <w:color w:val="363536"/>
      <w:sz w:val="15"/>
      <w:szCs w:val="15"/>
      <w:lang w:eastAsia="en-GB"/>
    </w:rPr>
  </w:style>
  <w:style w:type="paragraph" w:customStyle="1" w:styleId="p2">
    <w:name w:val="p2"/>
    <w:basedOn w:val="Normal"/>
    <w:rsid w:val="003A45D0"/>
    <w:rPr>
      <w:rFonts w:ascii="Helvetica" w:hAnsi="Helvetica" w:cs="Times New Roman"/>
      <w:color w:val="61A3D7"/>
      <w:sz w:val="12"/>
      <w:szCs w:val="12"/>
      <w:lang w:eastAsia="en-GB"/>
    </w:rPr>
  </w:style>
  <w:style w:type="paragraph" w:customStyle="1" w:styleId="p3">
    <w:name w:val="p3"/>
    <w:basedOn w:val="Normal"/>
    <w:rsid w:val="003A45D0"/>
    <w:rPr>
      <w:rFonts w:ascii="Helvetica" w:hAnsi="Helvetica" w:cs="Times New Roman"/>
      <w:color w:val="363536"/>
      <w:sz w:val="12"/>
      <w:szCs w:val="12"/>
      <w:lang w:eastAsia="en-GB"/>
    </w:rPr>
  </w:style>
  <w:style w:type="character" w:customStyle="1" w:styleId="s1">
    <w:name w:val="s1"/>
    <w:basedOn w:val="Policepardfaut"/>
    <w:rsid w:val="003A45D0"/>
    <w:rPr>
      <w:color w:val="61A3D7"/>
    </w:rPr>
  </w:style>
  <w:style w:type="character" w:styleId="Mentionnonrsolue">
    <w:name w:val="Unresolved Mention"/>
    <w:basedOn w:val="Policepardfaut"/>
    <w:uiPriority w:val="99"/>
    <w:rsid w:val="00CC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2111">
      <w:bodyDiv w:val="1"/>
      <w:marLeft w:val="0"/>
      <w:marRight w:val="0"/>
      <w:marTop w:val="0"/>
      <w:marBottom w:val="0"/>
      <w:divBdr>
        <w:top w:val="none" w:sz="0" w:space="0" w:color="auto"/>
        <w:left w:val="none" w:sz="0" w:space="0" w:color="auto"/>
        <w:bottom w:val="none" w:sz="0" w:space="0" w:color="auto"/>
        <w:right w:val="none" w:sz="0" w:space="0" w:color="auto"/>
      </w:divBdr>
    </w:div>
    <w:div w:id="106658132">
      <w:bodyDiv w:val="1"/>
      <w:marLeft w:val="0"/>
      <w:marRight w:val="0"/>
      <w:marTop w:val="0"/>
      <w:marBottom w:val="0"/>
      <w:divBdr>
        <w:top w:val="none" w:sz="0" w:space="0" w:color="auto"/>
        <w:left w:val="none" w:sz="0" w:space="0" w:color="auto"/>
        <w:bottom w:val="none" w:sz="0" w:space="0" w:color="auto"/>
        <w:right w:val="none" w:sz="0" w:space="0" w:color="auto"/>
      </w:divBdr>
    </w:div>
    <w:div w:id="179316736">
      <w:bodyDiv w:val="1"/>
      <w:marLeft w:val="0"/>
      <w:marRight w:val="0"/>
      <w:marTop w:val="0"/>
      <w:marBottom w:val="0"/>
      <w:divBdr>
        <w:top w:val="none" w:sz="0" w:space="0" w:color="auto"/>
        <w:left w:val="none" w:sz="0" w:space="0" w:color="auto"/>
        <w:bottom w:val="none" w:sz="0" w:space="0" w:color="auto"/>
        <w:right w:val="none" w:sz="0" w:space="0" w:color="auto"/>
      </w:divBdr>
    </w:div>
    <w:div w:id="198201272">
      <w:bodyDiv w:val="1"/>
      <w:marLeft w:val="0"/>
      <w:marRight w:val="0"/>
      <w:marTop w:val="0"/>
      <w:marBottom w:val="0"/>
      <w:divBdr>
        <w:top w:val="none" w:sz="0" w:space="0" w:color="auto"/>
        <w:left w:val="none" w:sz="0" w:space="0" w:color="auto"/>
        <w:bottom w:val="none" w:sz="0" w:space="0" w:color="auto"/>
        <w:right w:val="none" w:sz="0" w:space="0" w:color="auto"/>
      </w:divBdr>
    </w:div>
    <w:div w:id="203636762">
      <w:bodyDiv w:val="1"/>
      <w:marLeft w:val="0"/>
      <w:marRight w:val="0"/>
      <w:marTop w:val="0"/>
      <w:marBottom w:val="0"/>
      <w:divBdr>
        <w:top w:val="none" w:sz="0" w:space="0" w:color="auto"/>
        <w:left w:val="none" w:sz="0" w:space="0" w:color="auto"/>
        <w:bottom w:val="none" w:sz="0" w:space="0" w:color="auto"/>
        <w:right w:val="none" w:sz="0" w:space="0" w:color="auto"/>
      </w:divBdr>
    </w:div>
    <w:div w:id="207686068">
      <w:bodyDiv w:val="1"/>
      <w:marLeft w:val="0"/>
      <w:marRight w:val="0"/>
      <w:marTop w:val="0"/>
      <w:marBottom w:val="0"/>
      <w:divBdr>
        <w:top w:val="none" w:sz="0" w:space="0" w:color="auto"/>
        <w:left w:val="none" w:sz="0" w:space="0" w:color="auto"/>
        <w:bottom w:val="none" w:sz="0" w:space="0" w:color="auto"/>
        <w:right w:val="none" w:sz="0" w:space="0" w:color="auto"/>
      </w:divBdr>
    </w:div>
    <w:div w:id="286817561">
      <w:bodyDiv w:val="1"/>
      <w:marLeft w:val="0"/>
      <w:marRight w:val="0"/>
      <w:marTop w:val="0"/>
      <w:marBottom w:val="0"/>
      <w:divBdr>
        <w:top w:val="none" w:sz="0" w:space="0" w:color="auto"/>
        <w:left w:val="none" w:sz="0" w:space="0" w:color="auto"/>
        <w:bottom w:val="none" w:sz="0" w:space="0" w:color="auto"/>
        <w:right w:val="none" w:sz="0" w:space="0" w:color="auto"/>
      </w:divBdr>
      <w:divsChild>
        <w:div w:id="1995525777">
          <w:marLeft w:val="0"/>
          <w:marRight w:val="0"/>
          <w:marTop w:val="0"/>
          <w:marBottom w:val="0"/>
          <w:divBdr>
            <w:top w:val="none" w:sz="0" w:space="0" w:color="auto"/>
            <w:left w:val="none" w:sz="0" w:space="0" w:color="auto"/>
            <w:bottom w:val="none" w:sz="0" w:space="0" w:color="auto"/>
            <w:right w:val="none" w:sz="0" w:space="0" w:color="auto"/>
          </w:divBdr>
          <w:divsChild>
            <w:div w:id="761340573">
              <w:marLeft w:val="0"/>
              <w:marRight w:val="0"/>
              <w:marTop w:val="0"/>
              <w:marBottom w:val="0"/>
              <w:divBdr>
                <w:top w:val="none" w:sz="0" w:space="0" w:color="auto"/>
                <w:left w:val="none" w:sz="0" w:space="0" w:color="auto"/>
                <w:bottom w:val="none" w:sz="0" w:space="0" w:color="auto"/>
                <w:right w:val="none" w:sz="0" w:space="0" w:color="auto"/>
              </w:divBdr>
            </w:div>
          </w:divsChild>
        </w:div>
        <w:div w:id="382290531">
          <w:marLeft w:val="0"/>
          <w:marRight w:val="0"/>
          <w:marTop w:val="0"/>
          <w:marBottom w:val="0"/>
          <w:divBdr>
            <w:top w:val="none" w:sz="0" w:space="0" w:color="auto"/>
            <w:left w:val="none" w:sz="0" w:space="0" w:color="auto"/>
            <w:bottom w:val="none" w:sz="0" w:space="0" w:color="auto"/>
            <w:right w:val="none" w:sz="0" w:space="0" w:color="auto"/>
          </w:divBdr>
          <w:divsChild>
            <w:div w:id="962539427">
              <w:marLeft w:val="0"/>
              <w:marRight w:val="0"/>
              <w:marTop w:val="0"/>
              <w:marBottom w:val="0"/>
              <w:divBdr>
                <w:top w:val="none" w:sz="0" w:space="0" w:color="auto"/>
                <w:left w:val="none" w:sz="0" w:space="0" w:color="auto"/>
                <w:bottom w:val="none" w:sz="0" w:space="0" w:color="auto"/>
                <w:right w:val="none" w:sz="0" w:space="0" w:color="auto"/>
              </w:divBdr>
            </w:div>
          </w:divsChild>
        </w:div>
        <w:div w:id="1290282886">
          <w:marLeft w:val="0"/>
          <w:marRight w:val="0"/>
          <w:marTop w:val="0"/>
          <w:marBottom w:val="0"/>
          <w:divBdr>
            <w:top w:val="none" w:sz="0" w:space="0" w:color="auto"/>
            <w:left w:val="none" w:sz="0" w:space="0" w:color="auto"/>
            <w:bottom w:val="none" w:sz="0" w:space="0" w:color="auto"/>
            <w:right w:val="none" w:sz="0" w:space="0" w:color="auto"/>
          </w:divBdr>
          <w:divsChild>
            <w:div w:id="1396203862">
              <w:marLeft w:val="0"/>
              <w:marRight w:val="0"/>
              <w:marTop w:val="0"/>
              <w:marBottom w:val="0"/>
              <w:divBdr>
                <w:top w:val="none" w:sz="0" w:space="0" w:color="auto"/>
                <w:left w:val="none" w:sz="0" w:space="0" w:color="auto"/>
                <w:bottom w:val="none" w:sz="0" w:space="0" w:color="auto"/>
                <w:right w:val="none" w:sz="0" w:space="0" w:color="auto"/>
              </w:divBdr>
            </w:div>
          </w:divsChild>
        </w:div>
        <w:div w:id="1594120318">
          <w:marLeft w:val="0"/>
          <w:marRight w:val="0"/>
          <w:marTop w:val="0"/>
          <w:marBottom w:val="0"/>
          <w:divBdr>
            <w:top w:val="none" w:sz="0" w:space="0" w:color="auto"/>
            <w:left w:val="none" w:sz="0" w:space="0" w:color="auto"/>
            <w:bottom w:val="none" w:sz="0" w:space="0" w:color="auto"/>
            <w:right w:val="none" w:sz="0" w:space="0" w:color="auto"/>
          </w:divBdr>
        </w:div>
        <w:div w:id="109739350">
          <w:marLeft w:val="0"/>
          <w:marRight w:val="0"/>
          <w:marTop w:val="0"/>
          <w:marBottom w:val="0"/>
          <w:divBdr>
            <w:top w:val="none" w:sz="0" w:space="0" w:color="auto"/>
            <w:left w:val="none" w:sz="0" w:space="0" w:color="auto"/>
            <w:bottom w:val="none" w:sz="0" w:space="0" w:color="auto"/>
            <w:right w:val="none" w:sz="0" w:space="0" w:color="auto"/>
          </w:divBdr>
        </w:div>
        <w:div w:id="2020737768">
          <w:marLeft w:val="0"/>
          <w:marRight w:val="0"/>
          <w:marTop w:val="0"/>
          <w:marBottom w:val="0"/>
          <w:divBdr>
            <w:top w:val="none" w:sz="0" w:space="0" w:color="auto"/>
            <w:left w:val="none" w:sz="0" w:space="0" w:color="auto"/>
            <w:bottom w:val="none" w:sz="0" w:space="0" w:color="auto"/>
            <w:right w:val="none" w:sz="0" w:space="0" w:color="auto"/>
          </w:divBdr>
        </w:div>
        <w:div w:id="31392219">
          <w:marLeft w:val="0"/>
          <w:marRight w:val="0"/>
          <w:marTop w:val="0"/>
          <w:marBottom w:val="0"/>
          <w:divBdr>
            <w:top w:val="none" w:sz="0" w:space="0" w:color="auto"/>
            <w:left w:val="none" w:sz="0" w:space="0" w:color="auto"/>
            <w:bottom w:val="none" w:sz="0" w:space="0" w:color="auto"/>
            <w:right w:val="none" w:sz="0" w:space="0" w:color="auto"/>
          </w:divBdr>
        </w:div>
        <w:div w:id="1109662815">
          <w:marLeft w:val="0"/>
          <w:marRight w:val="0"/>
          <w:marTop w:val="0"/>
          <w:marBottom w:val="0"/>
          <w:divBdr>
            <w:top w:val="none" w:sz="0" w:space="0" w:color="auto"/>
            <w:left w:val="none" w:sz="0" w:space="0" w:color="auto"/>
            <w:bottom w:val="none" w:sz="0" w:space="0" w:color="auto"/>
            <w:right w:val="none" w:sz="0" w:space="0" w:color="auto"/>
          </w:divBdr>
        </w:div>
        <w:div w:id="1963072376">
          <w:marLeft w:val="0"/>
          <w:marRight w:val="0"/>
          <w:marTop w:val="0"/>
          <w:marBottom w:val="0"/>
          <w:divBdr>
            <w:top w:val="none" w:sz="0" w:space="0" w:color="auto"/>
            <w:left w:val="none" w:sz="0" w:space="0" w:color="auto"/>
            <w:bottom w:val="none" w:sz="0" w:space="0" w:color="auto"/>
            <w:right w:val="none" w:sz="0" w:space="0" w:color="auto"/>
          </w:divBdr>
        </w:div>
        <w:div w:id="1231425583">
          <w:marLeft w:val="0"/>
          <w:marRight w:val="0"/>
          <w:marTop w:val="0"/>
          <w:marBottom w:val="0"/>
          <w:divBdr>
            <w:top w:val="none" w:sz="0" w:space="0" w:color="auto"/>
            <w:left w:val="none" w:sz="0" w:space="0" w:color="auto"/>
            <w:bottom w:val="none" w:sz="0" w:space="0" w:color="auto"/>
            <w:right w:val="none" w:sz="0" w:space="0" w:color="auto"/>
          </w:divBdr>
          <w:divsChild>
            <w:div w:id="1715422191">
              <w:marLeft w:val="0"/>
              <w:marRight w:val="0"/>
              <w:marTop w:val="0"/>
              <w:marBottom w:val="0"/>
              <w:divBdr>
                <w:top w:val="none" w:sz="0" w:space="0" w:color="auto"/>
                <w:left w:val="none" w:sz="0" w:space="0" w:color="auto"/>
                <w:bottom w:val="none" w:sz="0" w:space="0" w:color="auto"/>
                <w:right w:val="none" w:sz="0" w:space="0" w:color="auto"/>
              </w:divBdr>
            </w:div>
          </w:divsChild>
        </w:div>
        <w:div w:id="2109811249">
          <w:marLeft w:val="0"/>
          <w:marRight w:val="0"/>
          <w:marTop w:val="0"/>
          <w:marBottom w:val="0"/>
          <w:divBdr>
            <w:top w:val="none" w:sz="0" w:space="0" w:color="auto"/>
            <w:left w:val="none" w:sz="0" w:space="0" w:color="auto"/>
            <w:bottom w:val="none" w:sz="0" w:space="0" w:color="auto"/>
            <w:right w:val="none" w:sz="0" w:space="0" w:color="auto"/>
          </w:divBdr>
          <w:divsChild>
            <w:div w:id="16229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19013">
      <w:bodyDiv w:val="1"/>
      <w:marLeft w:val="0"/>
      <w:marRight w:val="0"/>
      <w:marTop w:val="0"/>
      <w:marBottom w:val="0"/>
      <w:divBdr>
        <w:top w:val="none" w:sz="0" w:space="0" w:color="auto"/>
        <w:left w:val="none" w:sz="0" w:space="0" w:color="auto"/>
        <w:bottom w:val="none" w:sz="0" w:space="0" w:color="auto"/>
        <w:right w:val="none" w:sz="0" w:space="0" w:color="auto"/>
      </w:divBdr>
    </w:div>
    <w:div w:id="307588800">
      <w:bodyDiv w:val="1"/>
      <w:marLeft w:val="0"/>
      <w:marRight w:val="0"/>
      <w:marTop w:val="0"/>
      <w:marBottom w:val="0"/>
      <w:divBdr>
        <w:top w:val="none" w:sz="0" w:space="0" w:color="auto"/>
        <w:left w:val="none" w:sz="0" w:space="0" w:color="auto"/>
        <w:bottom w:val="none" w:sz="0" w:space="0" w:color="auto"/>
        <w:right w:val="none" w:sz="0" w:space="0" w:color="auto"/>
      </w:divBdr>
      <w:divsChild>
        <w:div w:id="24523848">
          <w:marLeft w:val="130"/>
          <w:marRight w:val="0"/>
          <w:marTop w:val="0"/>
          <w:marBottom w:val="0"/>
          <w:divBdr>
            <w:top w:val="none" w:sz="0" w:space="0" w:color="auto"/>
            <w:left w:val="none" w:sz="0" w:space="0" w:color="auto"/>
            <w:bottom w:val="none" w:sz="0" w:space="0" w:color="auto"/>
            <w:right w:val="none" w:sz="0" w:space="0" w:color="auto"/>
          </w:divBdr>
        </w:div>
        <w:div w:id="103431083">
          <w:marLeft w:val="130"/>
          <w:marRight w:val="0"/>
          <w:marTop w:val="0"/>
          <w:marBottom w:val="0"/>
          <w:divBdr>
            <w:top w:val="none" w:sz="0" w:space="0" w:color="auto"/>
            <w:left w:val="none" w:sz="0" w:space="0" w:color="auto"/>
            <w:bottom w:val="none" w:sz="0" w:space="0" w:color="auto"/>
            <w:right w:val="none" w:sz="0" w:space="0" w:color="auto"/>
          </w:divBdr>
        </w:div>
        <w:div w:id="153104269">
          <w:marLeft w:val="130"/>
          <w:marRight w:val="0"/>
          <w:marTop w:val="0"/>
          <w:marBottom w:val="0"/>
          <w:divBdr>
            <w:top w:val="none" w:sz="0" w:space="0" w:color="auto"/>
            <w:left w:val="none" w:sz="0" w:space="0" w:color="auto"/>
            <w:bottom w:val="none" w:sz="0" w:space="0" w:color="auto"/>
            <w:right w:val="none" w:sz="0" w:space="0" w:color="auto"/>
          </w:divBdr>
        </w:div>
        <w:div w:id="688609363">
          <w:marLeft w:val="130"/>
          <w:marRight w:val="0"/>
          <w:marTop w:val="0"/>
          <w:marBottom w:val="0"/>
          <w:divBdr>
            <w:top w:val="none" w:sz="0" w:space="0" w:color="auto"/>
            <w:left w:val="none" w:sz="0" w:space="0" w:color="auto"/>
            <w:bottom w:val="none" w:sz="0" w:space="0" w:color="auto"/>
            <w:right w:val="none" w:sz="0" w:space="0" w:color="auto"/>
          </w:divBdr>
        </w:div>
        <w:div w:id="348025844">
          <w:marLeft w:val="130"/>
          <w:marRight w:val="0"/>
          <w:marTop w:val="0"/>
          <w:marBottom w:val="0"/>
          <w:divBdr>
            <w:top w:val="none" w:sz="0" w:space="0" w:color="auto"/>
            <w:left w:val="none" w:sz="0" w:space="0" w:color="auto"/>
            <w:bottom w:val="none" w:sz="0" w:space="0" w:color="auto"/>
            <w:right w:val="none" w:sz="0" w:space="0" w:color="auto"/>
          </w:divBdr>
        </w:div>
        <w:div w:id="246693943">
          <w:marLeft w:val="130"/>
          <w:marRight w:val="0"/>
          <w:marTop w:val="0"/>
          <w:marBottom w:val="0"/>
          <w:divBdr>
            <w:top w:val="none" w:sz="0" w:space="0" w:color="auto"/>
            <w:left w:val="none" w:sz="0" w:space="0" w:color="auto"/>
            <w:bottom w:val="none" w:sz="0" w:space="0" w:color="auto"/>
            <w:right w:val="none" w:sz="0" w:space="0" w:color="auto"/>
          </w:divBdr>
        </w:div>
        <w:div w:id="713578538">
          <w:marLeft w:val="130"/>
          <w:marRight w:val="0"/>
          <w:marTop w:val="0"/>
          <w:marBottom w:val="0"/>
          <w:divBdr>
            <w:top w:val="none" w:sz="0" w:space="0" w:color="auto"/>
            <w:left w:val="none" w:sz="0" w:space="0" w:color="auto"/>
            <w:bottom w:val="none" w:sz="0" w:space="0" w:color="auto"/>
            <w:right w:val="none" w:sz="0" w:space="0" w:color="auto"/>
          </w:divBdr>
        </w:div>
        <w:div w:id="260065170">
          <w:marLeft w:val="130"/>
          <w:marRight w:val="0"/>
          <w:marTop w:val="0"/>
          <w:marBottom w:val="0"/>
          <w:divBdr>
            <w:top w:val="none" w:sz="0" w:space="0" w:color="auto"/>
            <w:left w:val="none" w:sz="0" w:space="0" w:color="auto"/>
            <w:bottom w:val="none" w:sz="0" w:space="0" w:color="auto"/>
            <w:right w:val="none" w:sz="0" w:space="0" w:color="auto"/>
          </w:divBdr>
        </w:div>
        <w:div w:id="289944410">
          <w:marLeft w:val="130"/>
          <w:marRight w:val="0"/>
          <w:marTop w:val="0"/>
          <w:marBottom w:val="0"/>
          <w:divBdr>
            <w:top w:val="none" w:sz="0" w:space="0" w:color="auto"/>
            <w:left w:val="none" w:sz="0" w:space="0" w:color="auto"/>
            <w:bottom w:val="none" w:sz="0" w:space="0" w:color="auto"/>
            <w:right w:val="none" w:sz="0" w:space="0" w:color="auto"/>
          </w:divBdr>
        </w:div>
        <w:div w:id="2050032912">
          <w:marLeft w:val="130"/>
          <w:marRight w:val="0"/>
          <w:marTop w:val="0"/>
          <w:marBottom w:val="0"/>
          <w:divBdr>
            <w:top w:val="none" w:sz="0" w:space="0" w:color="auto"/>
            <w:left w:val="none" w:sz="0" w:space="0" w:color="auto"/>
            <w:bottom w:val="none" w:sz="0" w:space="0" w:color="auto"/>
            <w:right w:val="none" w:sz="0" w:space="0" w:color="auto"/>
          </w:divBdr>
        </w:div>
        <w:div w:id="206993069">
          <w:marLeft w:val="130"/>
          <w:marRight w:val="0"/>
          <w:marTop w:val="0"/>
          <w:marBottom w:val="0"/>
          <w:divBdr>
            <w:top w:val="none" w:sz="0" w:space="0" w:color="auto"/>
            <w:left w:val="none" w:sz="0" w:space="0" w:color="auto"/>
            <w:bottom w:val="none" w:sz="0" w:space="0" w:color="auto"/>
            <w:right w:val="none" w:sz="0" w:space="0" w:color="auto"/>
          </w:divBdr>
        </w:div>
        <w:div w:id="1138036204">
          <w:marLeft w:val="130"/>
          <w:marRight w:val="0"/>
          <w:marTop w:val="0"/>
          <w:marBottom w:val="0"/>
          <w:divBdr>
            <w:top w:val="none" w:sz="0" w:space="0" w:color="auto"/>
            <w:left w:val="none" w:sz="0" w:space="0" w:color="auto"/>
            <w:bottom w:val="none" w:sz="0" w:space="0" w:color="auto"/>
            <w:right w:val="none" w:sz="0" w:space="0" w:color="auto"/>
          </w:divBdr>
        </w:div>
        <w:div w:id="1875535358">
          <w:marLeft w:val="130"/>
          <w:marRight w:val="0"/>
          <w:marTop w:val="0"/>
          <w:marBottom w:val="0"/>
          <w:divBdr>
            <w:top w:val="none" w:sz="0" w:space="0" w:color="auto"/>
            <w:left w:val="none" w:sz="0" w:space="0" w:color="auto"/>
            <w:bottom w:val="none" w:sz="0" w:space="0" w:color="auto"/>
            <w:right w:val="none" w:sz="0" w:space="0" w:color="auto"/>
          </w:divBdr>
        </w:div>
        <w:div w:id="1843423670">
          <w:marLeft w:val="130"/>
          <w:marRight w:val="0"/>
          <w:marTop w:val="0"/>
          <w:marBottom w:val="0"/>
          <w:divBdr>
            <w:top w:val="none" w:sz="0" w:space="0" w:color="auto"/>
            <w:left w:val="none" w:sz="0" w:space="0" w:color="auto"/>
            <w:bottom w:val="none" w:sz="0" w:space="0" w:color="auto"/>
            <w:right w:val="none" w:sz="0" w:space="0" w:color="auto"/>
          </w:divBdr>
        </w:div>
        <w:div w:id="710420485">
          <w:marLeft w:val="130"/>
          <w:marRight w:val="0"/>
          <w:marTop w:val="0"/>
          <w:marBottom w:val="0"/>
          <w:divBdr>
            <w:top w:val="none" w:sz="0" w:space="0" w:color="auto"/>
            <w:left w:val="none" w:sz="0" w:space="0" w:color="auto"/>
            <w:bottom w:val="none" w:sz="0" w:space="0" w:color="auto"/>
            <w:right w:val="none" w:sz="0" w:space="0" w:color="auto"/>
          </w:divBdr>
        </w:div>
      </w:divsChild>
    </w:div>
    <w:div w:id="317851540">
      <w:bodyDiv w:val="1"/>
      <w:marLeft w:val="0"/>
      <w:marRight w:val="0"/>
      <w:marTop w:val="0"/>
      <w:marBottom w:val="0"/>
      <w:divBdr>
        <w:top w:val="none" w:sz="0" w:space="0" w:color="auto"/>
        <w:left w:val="none" w:sz="0" w:space="0" w:color="auto"/>
        <w:bottom w:val="none" w:sz="0" w:space="0" w:color="auto"/>
        <w:right w:val="none" w:sz="0" w:space="0" w:color="auto"/>
      </w:divBdr>
      <w:divsChild>
        <w:div w:id="697195347">
          <w:marLeft w:val="0"/>
          <w:marRight w:val="0"/>
          <w:marTop w:val="0"/>
          <w:marBottom w:val="0"/>
          <w:divBdr>
            <w:top w:val="none" w:sz="0" w:space="0" w:color="auto"/>
            <w:left w:val="none" w:sz="0" w:space="0" w:color="auto"/>
            <w:bottom w:val="none" w:sz="0" w:space="0" w:color="auto"/>
            <w:right w:val="none" w:sz="0" w:space="0" w:color="auto"/>
          </w:divBdr>
        </w:div>
      </w:divsChild>
    </w:div>
    <w:div w:id="350449669">
      <w:bodyDiv w:val="1"/>
      <w:marLeft w:val="0"/>
      <w:marRight w:val="0"/>
      <w:marTop w:val="0"/>
      <w:marBottom w:val="0"/>
      <w:divBdr>
        <w:top w:val="none" w:sz="0" w:space="0" w:color="auto"/>
        <w:left w:val="none" w:sz="0" w:space="0" w:color="auto"/>
        <w:bottom w:val="none" w:sz="0" w:space="0" w:color="auto"/>
        <w:right w:val="none" w:sz="0" w:space="0" w:color="auto"/>
      </w:divBdr>
    </w:div>
    <w:div w:id="351343001">
      <w:bodyDiv w:val="1"/>
      <w:marLeft w:val="0"/>
      <w:marRight w:val="0"/>
      <w:marTop w:val="0"/>
      <w:marBottom w:val="0"/>
      <w:divBdr>
        <w:top w:val="none" w:sz="0" w:space="0" w:color="auto"/>
        <w:left w:val="none" w:sz="0" w:space="0" w:color="auto"/>
        <w:bottom w:val="none" w:sz="0" w:space="0" w:color="auto"/>
        <w:right w:val="none" w:sz="0" w:space="0" w:color="auto"/>
      </w:divBdr>
      <w:divsChild>
        <w:div w:id="846091566">
          <w:marLeft w:val="0"/>
          <w:marRight w:val="0"/>
          <w:marTop w:val="0"/>
          <w:marBottom w:val="0"/>
          <w:divBdr>
            <w:top w:val="none" w:sz="0" w:space="0" w:color="auto"/>
            <w:left w:val="none" w:sz="0" w:space="0" w:color="auto"/>
            <w:bottom w:val="none" w:sz="0" w:space="0" w:color="auto"/>
            <w:right w:val="none" w:sz="0" w:space="0" w:color="auto"/>
          </w:divBdr>
        </w:div>
        <w:div w:id="1451389297">
          <w:marLeft w:val="0"/>
          <w:marRight w:val="0"/>
          <w:marTop w:val="0"/>
          <w:marBottom w:val="0"/>
          <w:divBdr>
            <w:top w:val="none" w:sz="0" w:space="0" w:color="auto"/>
            <w:left w:val="none" w:sz="0" w:space="0" w:color="auto"/>
            <w:bottom w:val="none" w:sz="0" w:space="0" w:color="auto"/>
            <w:right w:val="none" w:sz="0" w:space="0" w:color="auto"/>
          </w:divBdr>
        </w:div>
        <w:div w:id="814492122">
          <w:marLeft w:val="0"/>
          <w:marRight w:val="0"/>
          <w:marTop w:val="0"/>
          <w:marBottom w:val="0"/>
          <w:divBdr>
            <w:top w:val="none" w:sz="0" w:space="0" w:color="auto"/>
            <w:left w:val="none" w:sz="0" w:space="0" w:color="auto"/>
            <w:bottom w:val="none" w:sz="0" w:space="0" w:color="auto"/>
            <w:right w:val="none" w:sz="0" w:space="0" w:color="auto"/>
          </w:divBdr>
        </w:div>
        <w:div w:id="878277850">
          <w:marLeft w:val="0"/>
          <w:marRight w:val="0"/>
          <w:marTop w:val="0"/>
          <w:marBottom w:val="0"/>
          <w:divBdr>
            <w:top w:val="none" w:sz="0" w:space="0" w:color="auto"/>
            <w:left w:val="none" w:sz="0" w:space="0" w:color="auto"/>
            <w:bottom w:val="none" w:sz="0" w:space="0" w:color="auto"/>
            <w:right w:val="none" w:sz="0" w:space="0" w:color="auto"/>
          </w:divBdr>
        </w:div>
      </w:divsChild>
    </w:div>
    <w:div w:id="355430104">
      <w:bodyDiv w:val="1"/>
      <w:marLeft w:val="0"/>
      <w:marRight w:val="0"/>
      <w:marTop w:val="0"/>
      <w:marBottom w:val="0"/>
      <w:divBdr>
        <w:top w:val="none" w:sz="0" w:space="0" w:color="auto"/>
        <w:left w:val="none" w:sz="0" w:space="0" w:color="auto"/>
        <w:bottom w:val="none" w:sz="0" w:space="0" w:color="auto"/>
        <w:right w:val="none" w:sz="0" w:space="0" w:color="auto"/>
      </w:divBdr>
    </w:div>
    <w:div w:id="391588415">
      <w:bodyDiv w:val="1"/>
      <w:marLeft w:val="0"/>
      <w:marRight w:val="0"/>
      <w:marTop w:val="0"/>
      <w:marBottom w:val="0"/>
      <w:divBdr>
        <w:top w:val="none" w:sz="0" w:space="0" w:color="auto"/>
        <w:left w:val="none" w:sz="0" w:space="0" w:color="auto"/>
        <w:bottom w:val="none" w:sz="0" w:space="0" w:color="auto"/>
        <w:right w:val="none" w:sz="0" w:space="0" w:color="auto"/>
      </w:divBdr>
      <w:divsChild>
        <w:div w:id="178277069">
          <w:marLeft w:val="0"/>
          <w:marRight w:val="0"/>
          <w:marTop w:val="0"/>
          <w:marBottom w:val="0"/>
          <w:divBdr>
            <w:top w:val="none" w:sz="0" w:space="0" w:color="auto"/>
            <w:left w:val="none" w:sz="0" w:space="0" w:color="auto"/>
            <w:bottom w:val="none" w:sz="0" w:space="0" w:color="auto"/>
            <w:right w:val="none" w:sz="0" w:space="0" w:color="auto"/>
          </w:divBdr>
        </w:div>
        <w:div w:id="967323147">
          <w:marLeft w:val="0"/>
          <w:marRight w:val="0"/>
          <w:marTop w:val="0"/>
          <w:marBottom w:val="0"/>
          <w:divBdr>
            <w:top w:val="none" w:sz="0" w:space="0" w:color="auto"/>
            <w:left w:val="none" w:sz="0" w:space="0" w:color="auto"/>
            <w:bottom w:val="none" w:sz="0" w:space="0" w:color="auto"/>
            <w:right w:val="none" w:sz="0" w:space="0" w:color="auto"/>
          </w:divBdr>
        </w:div>
        <w:div w:id="2114324334">
          <w:marLeft w:val="0"/>
          <w:marRight w:val="0"/>
          <w:marTop w:val="0"/>
          <w:marBottom w:val="0"/>
          <w:divBdr>
            <w:top w:val="none" w:sz="0" w:space="0" w:color="auto"/>
            <w:left w:val="none" w:sz="0" w:space="0" w:color="auto"/>
            <w:bottom w:val="none" w:sz="0" w:space="0" w:color="auto"/>
            <w:right w:val="none" w:sz="0" w:space="0" w:color="auto"/>
          </w:divBdr>
        </w:div>
      </w:divsChild>
    </w:div>
    <w:div w:id="405032253">
      <w:bodyDiv w:val="1"/>
      <w:marLeft w:val="0"/>
      <w:marRight w:val="0"/>
      <w:marTop w:val="0"/>
      <w:marBottom w:val="0"/>
      <w:divBdr>
        <w:top w:val="none" w:sz="0" w:space="0" w:color="auto"/>
        <w:left w:val="none" w:sz="0" w:space="0" w:color="auto"/>
        <w:bottom w:val="none" w:sz="0" w:space="0" w:color="auto"/>
        <w:right w:val="none" w:sz="0" w:space="0" w:color="auto"/>
      </w:divBdr>
    </w:div>
    <w:div w:id="427504038">
      <w:bodyDiv w:val="1"/>
      <w:marLeft w:val="0"/>
      <w:marRight w:val="0"/>
      <w:marTop w:val="0"/>
      <w:marBottom w:val="0"/>
      <w:divBdr>
        <w:top w:val="none" w:sz="0" w:space="0" w:color="auto"/>
        <w:left w:val="none" w:sz="0" w:space="0" w:color="auto"/>
        <w:bottom w:val="none" w:sz="0" w:space="0" w:color="auto"/>
        <w:right w:val="none" w:sz="0" w:space="0" w:color="auto"/>
      </w:divBdr>
    </w:div>
    <w:div w:id="449593930">
      <w:bodyDiv w:val="1"/>
      <w:marLeft w:val="0"/>
      <w:marRight w:val="0"/>
      <w:marTop w:val="0"/>
      <w:marBottom w:val="0"/>
      <w:divBdr>
        <w:top w:val="none" w:sz="0" w:space="0" w:color="auto"/>
        <w:left w:val="none" w:sz="0" w:space="0" w:color="auto"/>
        <w:bottom w:val="none" w:sz="0" w:space="0" w:color="auto"/>
        <w:right w:val="none" w:sz="0" w:space="0" w:color="auto"/>
      </w:divBdr>
      <w:divsChild>
        <w:div w:id="659845512">
          <w:marLeft w:val="0"/>
          <w:marRight w:val="0"/>
          <w:marTop w:val="0"/>
          <w:marBottom w:val="0"/>
          <w:divBdr>
            <w:top w:val="none" w:sz="0" w:space="0" w:color="auto"/>
            <w:left w:val="none" w:sz="0" w:space="0" w:color="auto"/>
            <w:bottom w:val="none" w:sz="0" w:space="0" w:color="auto"/>
            <w:right w:val="none" w:sz="0" w:space="0" w:color="auto"/>
          </w:divBdr>
        </w:div>
      </w:divsChild>
    </w:div>
    <w:div w:id="502165251">
      <w:bodyDiv w:val="1"/>
      <w:marLeft w:val="0"/>
      <w:marRight w:val="0"/>
      <w:marTop w:val="0"/>
      <w:marBottom w:val="0"/>
      <w:divBdr>
        <w:top w:val="none" w:sz="0" w:space="0" w:color="auto"/>
        <w:left w:val="none" w:sz="0" w:space="0" w:color="auto"/>
        <w:bottom w:val="none" w:sz="0" w:space="0" w:color="auto"/>
        <w:right w:val="none" w:sz="0" w:space="0" w:color="auto"/>
      </w:divBdr>
    </w:div>
    <w:div w:id="534276033">
      <w:bodyDiv w:val="1"/>
      <w:marLeft w:val="0"/>
      <w:marRight w:val="0"/>
      <w:marTop w:val="0"/>
      <w:marBottom w:val="0"/>
      <w:divBdr>
        <w:top w:val="none" w:sz="0" w:space="0" w:color="auto"/>
        <w:left w:val="none" w:sz="0" w:space="0" w:color="auto"/>
        <w:bottom w:val="none" w:sz="0" w:space="0" w:color="auto"/>
        <w:right w:val="none" w:sz="0" w:space="0" w:color="auto"/>
      </w:divBdr>
    </w:div>
    <w:div w:id="622199156">
      <w:bodyDiv w:val="1"/>
      <w:marLeft w:val="0"/>
      <w:marRight w:val="0"/>
      <w:marTop w:val="0"/>
      <w:marBottom w:val="0"/>
      <w:divBdr>
        <w:top w:val="none" w:sz="0" w:space="0" w:color="auto"/>
        <w:left w:val="none" w:sz="0" w:space="0" w:color="auto"/>
        <w:bottom w:val="none" w:sz="0" w:space="0" w:color="auto"/>
        <w:right w:val="none" w:sz="0" w:space="0" w:color="auto"/>
      </w:divBdr>
    </w:div>
    <w:div w:id="626468871">
      <w:bodyDiv w:val="1"/>
      <w:marLeft w:val="0"/>
      <w:marRight w:val="0"/>
      <w:marTop w:val="0"/>
      <w:marBottom w:val="0"/>
      <w:divBdr>
        <w:top w:val="none" w:sz="0" w:space="0" w:color="auto"/>
        <w:left w:val="none" w:sz="0" w:space="0" w:color="auto"/>
        <w:bottom w:val="none" w:sz="0" w:space="0" w:color="auto"/>
        <w:right w:val="none" w:sz="0" w:space="0" w:color="auto"/>
      </w:divBdr>
    </w:div>
    <w:div w:id="630860757">
      <w:bodyDiv w:val="1"/>
      <w:marLeft w:val="0"/>
      <w:marRight w:val="0"/>
      <w:marTop w:val="0"/>
      <w:marBottom w:val="0"/>
      <w:divBdr>
        <w:top w:val="none" w:sz="0" w:space="0" w:color="auto"/>
        <w:left w:val="none" w:sz="0" w:space="0" w:color="auto"/>
        <w:bottom w:val="none" w:sz="0" w:space="0" w:color="auto"/>
        <w:right w:val="none" w:sz="0" w:space="0" w:color="auto"/>
      </w:divBdr>
      <w:divsChild>
        <w:div w:id="329455094">
          <w:marLeft w:val="0"/>
          <w:marRight w:val="0"/>
          <w:marTop w:val="0"/>
          <w:marBottom w:val="0"/>
          <w:divBdr>
            <w:top w:val="none" w:sz="0" w:space="0" w:color="auto"/>
            <w:left w:val="none" w:sz="0" w:space="0" w:color="auto"/>
            <w:bottom w:val="none" w:sz="0" w:space="0" w:color="auto"/>
            <w:right w:val="none" w:sz="0" w:space="0" w:color="auto"/>
          </w:divBdr>
          <w:divsChild>
            <w:div w:id="1509368274">
              <w:marLeft w:val="0"/>
              <w:marRight w:val="0"/>
              <w:marTop w:val="0"/>
              <w:marBottom w:val="0"/>
              <w:divBdr>
                <w:top w:val="none" w:sz="0" w:space="0" w:color="auto"/>
                <w:left w:val="none" w:sz="0" w:space="0" w:color="auto"/>
                <w:bottom w:val="none" w:sz="0" w:space="0" w:color="auto"/>
                <w:right w:val="none" w:sz="0" w:space="0" w:color="auto"/>
              </w:divBdr>
            </w:div>
          </w:divsChild>
        </w:div>
        <w:div w:id="1431507815">
          <w:marLeft w:val="0"/>
          <w:marRight w:val="0"/>
          <w:marTop w:val="0"/>
          <w:marBottom w:val="0"/>
          <w:divBdr>
            <w:top w:val="none" w:sz="0" w:space="0" w:color="auto"/>
            <w:left w:val="none" w:sz="0" w:space="0" w:color="auto"/>
            <w:bottom w:val="none" w:sz="0" w:space="0" w:color="auto"/>
            <w:right w:val="none" w:sz="0" w:space="0" w:color="auto"/>
          </w:divBdr>
          <w:divsChild>
            <w:div w:id="28653624">
              <w:marLeft w:val="0"/>
              <w:marRight w:val="0"/>
              <w:marTop w:val="0"/>
              <w:marBottom w:val="0"/>
              <w:divBdr>
                <w:top w:val="none" w:sz="0" w:space="0" w:color="auto"/>
                <w:left w:val="none" w:sz="0" w:space="0" w:color="auto"/>
                <w:bottom w:val="none" w:sz="0" w:space="0" w:color="auto"/>
                <w:right w:val="none" w:sz="0" w:space="0" w:color="auto"/>
              </w:divBdr>
            </w:div>
          </w:divsChild>
        </w:div>
        <w:div w:id="701707023">
          <w:marLeft w:val="0"/>
          <w:marRight w:val="0"/>
          <w:marTop w:val="0"/>
          <w:marBottom w:val="0"/>
          <w:divBdr>
            <w:top w:val="none" w:sz="0" w:space="0" w:color="auto"/>
            <w:left w:val="none" w:sz="0" w:space="0" w:color="auto"/>
            <w:bottom w:val="none" w:sz="0" w:space="0" w:color="auto"/>
            <w:right w:val="none" w:sz="0" w:space="0" w:color="auto"/>
          </w:divBdr>
          <w:divsChild>
            <w:div w:id="1560436140">
              <w:marLeft w:val="0"/>
              <w:marRight w:val="0"/>
              <w:marTop w:val="0"/>
              <w:marBottom w:val="0"/>
              <w:divBdr>
                <w:top w:val="none" w:sz="0" w:space="0" w:color="auto"/>
                <w:left w:val="none" w:sz="0" w:space="0" w:color="auto"/>
                <w:bottom w:val="none" w:sz="0" w:space="0" w:color="auto"/>
                <w:right w:val="none" w:sz="0" w:space="0" w:color="auto"/>
              </w:divBdr>
            </w:div>
          </w:divsChild>
        </w:div>
        <w:div w:id="1766462551">
          <w:marLeft w:val="0"/>
          <w:marRight w:val="0"/>
          <w:marTop w:val="0"/>
          <w:marBottom w:val="0"/>
          <w:divBdr>
            <w:top w:val="none" w:sz="0" w:space="0" w:color="auto"/>
            <w:left w:val="none" w:sz="0" w:space="0" w:color="auto"/>
            <w:bottom w:val="none" w:sz="0" w:space="0" w:color="auto"/>
            <w:right w:val="none" w:sz="0" w:space="0" w:color="auto"/>
          </w:divBdr>
        </w:div>
        <w:div w:id="1331373332">
          <w:marLeft w:val="0"/>
          <w:marRight w:val="0"/>
          <w:marTop w:val="0"/>
          <w:marBottom w:val="0"/>
          <w:divBdr>
            <w:top w:val="none" w:sz="0" w:space="0" w:color="auto"/>
            <w:left w:val="none" w:sz="0" w:space="0" w:color="auto"/>
            <w:bottom w:val="none" w:sz="0" w:space="0" w:color="auto"/>
            <w:right w:val="none" w:sz="0" w:space="0" w:color="auto"/>
          </w:divBdr>
        </w:div>
        <w:div w:id="1964992130">
          <w:marLeft w:val="0"/>
          <w:marRight w:val="0"/>
          <w:marTop w:val="0"/>
          <w:marBottom w:val="0"/>
          <w:divBdr>
            <w:top w:val="none" w:sz="0" w:space="0" w:color="auto"/>
            <w:left w:val="none" w:sz="0" w:space="0" w:color="auto"/>
            <w:bottom w:val="none" w:sz="0" w:space="0" w:color="auto"/>
            <w:right w:val="none" w:sz="0" w:space="0" w:color="auto"/>
          </w:divBdr>
        </w:div>
        <w:div w:id="1039628513">
          <w:marLeft w:val="0"/>
          <w:marRight w:val="0"/>
          <w:marTop w:val="0"/>
          <w:marBottom w:val="0"/>
          <w:divBdr>
            <w:top w:val="none" w:sz="0" w:space="0" w:color="auto"/>
            <w:left w:val="none" w:sz="0" w:space="0" w:color="auto"/>
            <w:bottom w:val="none" w:sz="0" w:space="0" w:color="auto"/>
            <w:right w:val="none" w:sz="0" w:space="0" w:color="auto"/>
          </w:divBdr>
        </w:div>
        <w:div w:id="2118910228">
          <w:marLeft w:val="0"/>
          <w:marRight w:val="0"/>
          <w:marTop w:val="0"/>
          <w:marBottom w:val="0"/>
          <w:divBdr>
            <w:top w:val="none" w:sz="0" w:space="0" w:color="auto"/>
            <w:left w:val="none" w:sz="0" w:space="0" w:color="auto"/>
            <w:bottom w:val="none" w:sz="0" w:space="0" w:color="auto"/>
            <w:right w:val="none" w:sz="0" w:space="0" w:color="auto"/>
          </w:divBdr>
        </w:div>
        <w:div w:id="1534732269">
          <w:marLeft w:val="0"/>
          <w:marRight w:val="0"/>
          <w:marTop w:val="0"/>
          <w:marBottom w:val="0"/>
          <w:divBdr>
            <w:top w:val="none" w:sz="0" w:space="0" w:color="auto"/>
            <w:left w:val="none" w:sz="0" w:space="0" w:color="auto"/>
            <w:bottom w:val="none" w:sz="0" w:space="0" w:color="auto"/>
            <w:right w:val="none" w:sz="0" w:space="0" w:color="auto"/>
          </w:divBdr>
        </w:div>
        <w:div w:id="599721732">
          <w:marLeft w:val="0"/>
          <w:marRight w:val="0"/>
          <w:marTop w:val="0"/>
          <w:marBottom w:val="0"/>
          <w:divBdr>
            <w:top w:val="none" w:sz="0" w:space="0" w:color="auto"/>
            <w:left w:val="none" w:sz="0" w:space="0" w:color="auto"/>
            <w:bottom w:val="none" w:sz="0" w:space="0" w:color="auto"/>
            <w:right w:val="none" w:sz="0" w:space="0" w:color="auto"/>
          </w:divBdr>
          <w:divsChild>
            <w:div w:id="839854524">
              <w:marLeft w:val="0"/>
              <w:marRight w:val="0"/>
              <w:marTop w:val="0"/>
              <w:marBottom w:val="0"/>
              <w:divBdr>
                <w:top w:val="none" w:sz="0" w:space="0" w:color="auto"/>
                <w:left w:val="none" w:sz="0" w:space="0" w:color="auto"/>
                <w:bottom w:val="none" w:sz="0" w:space="0" w:color="auto"/>
                <w:right w:val="none" w:sz="0" w:space="0" w:color="auto"/>
              </w:divBdr>
            </w:div>
          </w:divsChild>
        </w:div>
        <w:div w:id="339358406">
          <w:marLeft w:val="0"/>
          <w:marRight w:val="0"/>
          <w:marTop w:val="0"/>
          <w:marBottom w:val="0"/>
          <w:divBdr>
            <w:top w:val="none" w:sz="0" w:space="0" w:color="auto"/>
            <w:left w:val="none" w:sz="0" w:space="0" w:color="auto"/>
            <w:bottom w:val="none" w:sz="0" w:space="0" w:color="auto"/>
            <w:right w:val="none" w:sz="0" w:space="0" w:color="auto"/>
          </w:divBdr>
          <w:divsChild>
            <w:div w:id="8457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04656">
      <w:bodyDiv w:val="1"/>
      <w:marLeft w:val="0"/>
      <w:marRight w:val="0"/>
      <w:marTop w:val="0"/>
      <w:marBottom w:val="0"/>
      <w:divBdr>
        <w:top w:val="none" w:sz="0" w:space="0" w:color="auto"/>
        <w:left w:val="none" w:sz="0" w:space="0" w:color="auto"/>
        <w:bottom w:val="none" w:sz="0" w:space="0" w:color="auto"/>
        <w:right w:val="none" w:sz="0" w:space="0" w:color="auto"/>
      </w:divBdr>
    </w:div>
    <w:div w:id="724528456">
      <w:bodyDiv w:val="1"/>
      <w:marLeft w:val="0"/>
      <w:marRight w:val="0"/>
      <w:marTop w:val="0"/>
      <w:marBottom w:val="0"/>
      <w:divBdr>
        <w:top w:val="none" w:sz="0" w:space="0" w:color="auto"/>
        <w:left w:val="none" w:sz="0" w:space="0" w:color="auto"/>
        <w:bottom w:val="none" w:sz="0" w:space="0" w:color="auto"/>
        <w:right w:val="none" w:sz="0" w:space="0" w:color="auto"/>
      </w:divBdr>
      <w:divsChild>
        <w:div w:id="1787382183">
          <w:marLeft w:val="0"/>
          <w:marRight w:val="0"/>
          <w:marTop w:val="0"/>
          <w:marBottom w:val="0"/>
          <w:divBdr>
            <w:top w:val="none" w:sz="0" w:space="0" w:color="auto"/>
            <w:left w:val="none" w:sz="0" w:space="0" w:color="auto"/>
            <w:bottom w:val="none" w:sz="0" w:space="0" w:color="auto"/>
            <w:right w:val="none" w:sz="0" w:space="0" w:color="auto"/>
          </w:divBdr>
        </w:div>
      </w:divsChild>
    </w:div>
    <w:div w:id="726226669">
      <w:bodyDiv w:val="1"/>
      <w:marLeft w:val="0"/>
      <w:marRight w:val="0"/>
      <w:marTop w:val="0"/>
      <w:marBottom w:val="0"/>
      <w:divBdr>
        <w:top w:val="none" w:sz="0" w:space="0" w:color="auto"/>
        <w:left w:val="none" w:sz="0" w:space="0" w:color="auto"/>
        <w:bottom w:val="none" w:sz="0" w:space="0" w:color="auto"/>
        <w:right w:val="none" w:sz="0" w:space="0" w:color="auto"/>
      </w:divBdr>
    </w:div>
    <w:div w:id="779690998">
      <w:bodyDiv w:val="1"/>
      <w:marLeft w:val="0"/>
      <w:marRight w:val="0"/>
      <w:marTop w:val="0"/>
      <w:marBottom w:val="0"/>
      <w:divBdr>
        <w:top w:val="none" w:sz="0" w:space="0" w:color="auto"/>
        <w:left w:val="none" w:sz="0" w:space="0" w:color="auto"/>
        <w:bottom w:val="none" w:sz="0" w:space="0" w:color="auto"/>
        <w:right w:val="none" w:sz="0" w:space="0" w:color="auto"/>
      </w:divBdr>
    </w:div>
    <w:div w:id="847213022">
      <w:bodyDiv w:val="1"/>
      <w:marLeft w:val="0"/>
      <w:marRight w:val="0"/>
      <w:marTop w:val="0"/>
      <w:marBottom w:val="0"/>
      <w:divBdr>
        <w:top w:val="none" w:sz="0" w:space="0" w:color="auto"/>
        <w:left w:val="none" w:sz="0" w:space="0" w:color="auto"/>
        <w:bottom w:val="none" w:sz="0" w:space="0" w:color="auto"/>
        <w:right w:val="none" w:sz="0" w:space="0" w:color="auto"/>
      </w:divBdr>
      <w:divsChild>
        <w:div w:id="208227438">
          <w:marLeft w:val="0"/>
          <w:marRight w:val="0"/>
          <w:marTop w:val="0"/>
          <w:marBottom w:val="0"/>
          <w:divBdr>
            <w:top w:val="none" w:sz="0" w:space="0" w:color="auto"/>
            <w:left w:val="none" w:sz="0" w:space="0" w:color="auto"/>
            <w:bottom w:val="none" w:sz="0" w:space="0" w:color="auto"/>
            <w:right w:val="none" w:sz="0" w:space="0" w:color="auto"/>
          </w:divBdr>
        </w:div>
      </w:divsChild>
    </w:div>
    <w:div w:id="864288808">
      <w:bodyDiv w:val="1"/>
      <w:marLeft w:val="0"/>
      <w:marRight w:val="0"/>
      <w:marTop w:val="0"/>
      <w:marBottom w:val="0"/>
      <w:divBdr>
        <w:top w:val="none" w:sz="0" w:space="0" w:color="auto"/>
        <w:left w:val="none" w:sz="0" w:space="0" w:color="auto"/>
        <w:bottom w:val="none" w:sz="0" w:space="0" w:color="auto"/>
        <w:right w:val="none" w:sz="0" w:space="0" w:color="auto"/>
      </w:divBdr>
      <w:divsChild>
        <w:div w:id="905336613">
          <w:marLeft w:val="0"/>
          <w:marRight w:val="0"/>
          <w:marTop w:val="0"/>
          <w:marBottom w:val="0"/>
          <w:divBdr>
            <w:top w:val="none" w:sz="0" w:space="0" w:color="auto"/>
            <w:left w:val="none" w:sz="0" w:space="0" w:color="auto"/>
            <w:bottom w:val="none" w:sz="0" w:space="0" w:color="auto"/>
            <w:right w:val="none" w:sz="0" w:space="0" w:color="auto"/>
          </w:divBdr>
        </w:div>
        <w:div w:id="1174104403">
          <w:marLeft w:val="0"/>
          <w:marRight w:val="0"/>
          <w:marTop w:val="0"/>
          <w:marBottom w:val="0"/>
          <w:divBdr>
            <w:top w:val="none" w:sz="0" w:space="0" w:color="auto"/>
            <w:left w:val="none" w:sz="0" w:space="0" w:color="auto"/>
            <w:bottom w:val="none" w:sz="0" w:space="0" w:color="auto"/>
            <w:right w:val="none" w:sz="0" w:space="0" w:color="auto"/>
          </w:divBdr>
        </w:div>
        <w:div w:id="728575341">
          <w:marLeft w:val="0"/>
          <w:marRight w:val="0"/>
          <w:marTop w:val="0"/>
          <w:marBottom w:val="0"/>
          <w:divBdr>
            <w:top w:val="none" w:sz="0" w:space="0" w:color="auto"/>
            <w:left w:val="none" w:sz="0" w:space="0" w:color="auto"/>
            <w:bottom w:val="none" w:sz="0" w:space="0" w:color="auto"/>
            <w:right w:val="none" w:sz="0" w:space="0" w:color="auto"/>
          </w:divBdr>
        </w:div>
        <w:div w:id="449251325">
          <w:marLeft w:val="0"/>
          <w:marRight w:val="0"/>
          <w:marTop w:val="0"/>
          <w:marBottom w:val="0"/>
          <w:divBdr>
            <w:top w:val="none" w:sz="0" w:space="0" w:color="auto"/>
            <w:left w:val="none" w:sz="0" w:space="0" w:color="auto"/>
            <w:bottom w:val="none" w:sz="0" w:space="0" w:color="auto"/>
            <w:right w:val="none" w:sz="0" w:space="0" w:color="auto"/>
          </w:divBdr>
        </w:div>
        <w:div w:id="2037657923">
          <w:marLeft w:val="0"/>
          <w:marRight w:val="0"/>
          <w:marTop w:val="0"/>
          <w:marBottom w:val="0"/>
          <w:divBdr>
            <w:top w:val="none" w:sz="0" w:space="0" w:color="auto"/>
            <w:left w:val="none" w:sz="0" w:space="0" w:color="auto"/>
            <w:bottom w:val="none" w:sz="0" w:space="0" w:color="auto"/>
            <w:right w:val="none" w:sz="0" w:space="0" w:color="auto"/>
          </w:divBdr>
        </w:div>
        <w:div w:id="1652248621">
          <w:marLeft w:val="0"/>
          <w:marRight w:val="0"/>
          <w:marTop w:val="0"/>
          <w:marBottom w:val="0"/>
          <w:divBdr>
            <w:top w:val="none" w:sz="0" w:space="0" w:color="auto"/>
            <w:left w:val="none" w:sz="0" w:space="0" w:color="auto"/>
            <w:bottom w:val="none" w:sz="0" w:space="0" w:color="auto"/>
            <w:right w:val="none" w:sz="0" w:space="0" w:color="auto"/>
          </w:divBdr>
        </w:div>
        <w:div w:id="1666781956">
          <w:marLeft w:val="0"/>
          <w:marRight w:val="0"/>
          <w:marTop w:val="0"/>
          <w:marBottom w:val="0"/>
          <w:divBdr>
            <w:top w:val="none" w:sz="0" w:space="0" w:color="auto"/>
            <w:left w:val="none" w:sz="0" w:space="0" w:color="auto"/>
            <w:bottom w:val="none" w:sz="0" w:space="0" w:color="auto"/>
            <w:right w:val="none" w:sz="0" w:space="0" w:color="auto"/>
          </w:divBdr>
        </w:div>
        <w:div w:id="2133664445">
          <w:marLeft w:val="0"/>
          <w:marRight w:val="0"/>
          <w:marTop w:val="0"/>
          <w:marBottom w:val="0"/>
          <w:divBdr>
            <w:top w:val="none" w:sz="0" w:space="0" w:color="auto"/>
            <w:left w:val="none" w:sz="0" w:space="0" w:color="auto"/>
            <w:bottom w:val="none" w:sz="0" w:space="0" w:color="auto"/>
            <w:right w:val="none" w:sz="0" w:space="0" w:color="auto"/>
          </w:divBdr>
        </w:div>
        <w:div w:id="917327996">
          <w:marLeft w:val="0"/>
          <w:marRight w:val="0"/>
          <w:marTop w:val="0"/>
          <w:marBottom w:val="0"/>
          <w:divBdr>
            <w:top w:val="none" w:sz="0" w:space="0" w:color="auto"/>
            <w:left w:val="none" w:sz="0" w:space="0" w:color="auto"/>
            <w:bottom w:val="none" w:sz="0" w:space="0" w:color="auto"/>
            <w:right w:val="none" w:sz="0" w:space="0" w:color="auto"/>
          </w:divBdr>
        </w:div>
        <w:div w:id="1244224224">
          <w:marLeft w:val="0"/>
          <w:marRight w:val="0"/>
          <w:marTop w:val="0"/>
          <w:marBottom w:val="0"/>
          <w:divBdr>
            <w:top w:val="none" w:sz="0" w:space="0" w:color="auto"/>
            <w:left w:val="none" w:sz="0" w:space="0" w:color="auto"/>
            <w:bottom w:val="none" w:sz="0" w:space="0" w:color="auto"/>
            <w:right w:val="none" w:sz="0" w:space="0" w:color="auto"/>
          </w:divBdr>
        </w:div>
        <w:div w:id="1785417007">
          <w:marLeft w:val="0"/>
          <w:marRight w:val="0"/>
          <w:marTop w:val="0"/>
          <w:marBottom w:val="0"/>
          <w:divBdr>
            <w:top w:val="none" w:sz="0" w:space="0" w:color="auto"/>
            <w:left w:val="none" w:sz="0" w:space="0" w:color="auto"/>
            <w:bottom w:val="none" w:sz="0" w:space="0" w:color="auto"/>
            <w:right w:val="none" w:sz="0" w:space="0" w:color="auto"/>
          </w:divBdr>
        </w:div>
        <w:div w:id="1955206244">
          <w:marLeft w:val="0"/>
          <w:marRight w:val="0"/>
          <w:marTop w:val="0"/>
          <w:marBottom w:val="0"/>
          <w:divBdr>
            <w:top w:val="none" w:sz="0" w:space="0" w:color="auto"/>
            <w:left w:val="none" w:sz="0" w:space="0" w:color="auto"/>
            <w:bottom w:val="none" w:sz="0" w:space="0" w:color="auto"/>
            <w:right w:val="none" w:sz="0" w:space="0" w:color="auto"/>
          </w:divBdr>
        </w:div>
        <w:div w:id="1377779126">
          <w:marLeft w:val="0"/>
          <w:marRight w:val="0"/>
          <w:marTop w:val="0"/>
          <w:marBottom w:val="0"/>
          <w:divBdr>
            <w:top w:val="none" w:sz="0" w:space="0" w:color="auto"/>
            <w:left w:val="none" w:sz="0" w:space="0" w:color="auto"/>
            <w:bottom w:val="none" w:sz="0" w:space="0" w:color="auto"/>
            <w:right w:val="none" w:sz="0" w:space="0" w:color="auto"/>
          </w:divBdr>
        </w:div>
        <w:div w:id="112215471">
          <w:marLeft w:val="0"/>
          <w:marRight w:val="0"/>
          <w:marTop w:val="0"/>
          <w:marBottom w:val="0"/>
          <w:divBdr>
            <w:top w:val="none" w:sz="0" w:space="0" w:color="auto"/>
            <w:left w:val="none" w:sz="0" w:space="0" w:color="auto"/>
            <w:bottom w:val="none" w:sz="0" w:space="0" w:color="auto"/>
            <w:right w:val="none" w:sz="0" w:space="0" w:color="auto"/>
          </w:divBdr>
        </w:div>
        <w:div w:id="1662268776">
          <w:marLeft w:val="0"/>
          <w:marRight w:val="0"/>
          <w:marTop w:val="0"/>
          <w:marBottom w:val="0"/>
          <w:divBdr>
            <w:top w:val="none" w:sz="0" w:space="0" w:color="auto"/>
            <w:left w:val="none" w:sz="0" w:space="0" w:color="auto"/>
            <w:bottom w:val="none" w:sz="0" w:space="0" w:color="auto"/>
            <w:right w:val="none" w:sz="0" w:space="0" w:color="auto"/>
          </w:divBdr>
        </w:div>
        <w:div w:id="1805542087">
          <w:marLeft w:val="0"/>
          <w:marRight w:val="0"/>
          <w:marTop w:val="0"/>
          <w:marBottom w:val="0"/>
          <w:divBdr>
            <w:top w:val="none" w:sz="0" w:space="0" w:color="auto"/>
            <w:left w:val="none" w:sz="0" w:space="0" w:color="auto"/>
            <w:bottom w:val="none" w:sz="0" w:space="0" w:color="auto"/>
            <w:right w:val="none" w:sz="0" w:space="0" w:color="auto"/>
          </w:divBdr>
        </w:div>
        <w:div w:id="2014987686">
          <w:marLeft w:val="0"/>
          <w:marRight w:val="0"/>
          <w:marTop w:val="0"/>
          <w:marBottom w:val="0"/>
          <w:divBdr>
            <w:top w:val="none" w:sz="0" w:space="0" w:color="auto"/>
            <w:left w:val="none" w:sz="0" w:space="0" w:color="auto"/>
            <w:bottom w:val="none" w:sz="0" w:space="0" w:color="auto"/>
            <w:right w:val="none" w:sz="0" w:space="0" w:color="auto"/>
          </w:divBdr>
        </w:div>
        <w:div w:id="473714636">
          <w:marLeft w:val="0"/>
          <w:marRight w:val="0"/>
          <w:marTop w:val="0"/>
          <w:marBottom w:val="0"/>
          <w:divBdr>
            <w:top w:val="none" w:sz="0" w:space="0" w:color="auto"/>
            <w:left w:val="none" w:sz="0" w:space="0" w:color="auto"/>
            <w:bottom w:val="none" w:sz="0" w:space="0" w:color="auto"/>
            <w:right w:val="none" w:sz="0" w:space="0" w:color="auto"/>
          </w:divBdr>
        </w:div>
        <w:div w:id="811557495">
          <w:marLeft w:val="0"/>
          <w:marRight w:val="0"/>
          <w:marTop w:val="0"/>
          <w:marBottom w:val="0"/>
          <w:divBdr>
            <w:top w:val="none" w:sz="0" w:space="0" w:color="auto"/>
            <w:left w:val="none" w:sz="0" w:space="0" w:color="auto"/>
            <w:bottom w:val="none" w:sz="0" w:space="0" w:color="auto"/>
            <w:right w:val="none" w:sz="0" w:space="0" w:color="auto"/>
          </w:divBdr>
        </w:div>
        <w:div w:id="653797118">
          <w:marLeft w:val="0"/>
          <w:marRight w:val="0"/>
          <w:marTop w:val="0"/>
          <w:marBottom w:val="0"/>
          <w:divBdr>
            <w:top w:val="none" w:sz="0" w:space="0" w:color="auto"/>
            <w:left w:val="none" w:sz="0" w:space="0" w:color="auto"/>
            <w:bottom w:val="none" w:sz="0" w:space="0" w:color="auto"/>
            <w:right w:val="none" w:sz="0" w:space="0" w:color="auto"/>
          </w:divBdr>
        </w:div>
        <w:div w:id="55513751">
          <w:marLeft w:val="0"/>
          <w:marRight w:val="0"/>
          <w:marTop w:val="0"/>
          <w:marBottom w:val="0"/>
          <w:divBdr>
            <w:top w:val="none" w:sz="0" w:space="0" w:color="auto"/>
            <w:left w:val="none" w:sz="0" w:space="0" w:color="auto"/>
            <w:bottom w:val="none" w:sz="0" w:space="0" w:color="auto"/>
            <w:right w:val="none" w:sz="0" w:space="0" w:color="auto"/>
          </w:divBdr>
        </w:div>
        <w:div w:id="867840633">
          <w:marLeft w:val="0"/>
          <w:marRight w:val="0"/>
          <w:marTop w:val="0"/>
          <w:marBottom w:val="0"/>
          <w:divBdr>
            <w:top w:val="none" w:sz="0" w:space="0" w:color="auto"/>
            <w:left w:val="none" w:sz="0" w:space="0" w:color="auto"/>
            <w:bottom w:val="none" w:sz="0" w:space="0" w:color="auto"/>
            <w:right w:val="none" w:sz="0" w:space="0" w:color="auto"/>
          </w:divBdr>
        </w:div>
        <w:div w:id="1752000680">
          <w:marLeft w:val="0"/>
          <w:marRight w:val="0"/>
          <w:marTop w:val="0"/>
          <w:marBottom w:val="0"/>
          <w:divBdr>
            <w:top w:val="none" w:sz="0" w:space="0" w:color="auto"/>
            <w:left w:val="none" w:sz="0" w:space="0" w:color="auto"/>
            <w:bottom w:val="none" w:sz="0" w:space="0" w:color="auto"/>
            <w:right w:val="none" w:sz="0" w:space="0" w:color="auto"/>
          </w:divBdr>
        </w:div>
        <w:div w:id="618341604">
          <w:marLeft w:val="0"/>
          <w:marRight w:val="0"/>
          <w:marTop w:val="0"/>
          <w:marBottom w:val="0"/>
          <w:divBdr>
            <w:top w:val="none" w:sz="0" w:space="0" w:color="auto"/>
            <w:left w:val="none" w:sz="0" w:space="0" w:color="auto"/>
            <w:bottom w:val="none" w:sz="0" w:space="0" w:color="auto"/>
            <w:right w:val="none" w:sz="0" w:space="0" w:color="auto"/>
          </w:divBdr>
        </w:div>
        <w:div w:id="1194149708">
          <w:marLeft w:val="0"/>
          <w:marRight w:val="0"/>
          <w:marTop w:val="0"/>
          <w:marBottom w:val="0"/>
          <w:divBdr>
            <w:top w:val="none" w:sz="0" w:space="0" w:color="auto"/>
            <w:left w:val="none" w:sz="0" w:space="0" w:color="auto"/>
            <w:bottom w:val="none" w:sz="0" w:space="0" w:color="auto"/>
            <w:right w:val="none" w:sz="0" w:space="0" w:color="auto"/>
          </w:divBdr>
        </w:div>
        <w:div w:id="71242007">
          <w:marLeft w:val="0"/>
          <w:marRight w:val="0"/>
          <w:marTop w:val="0"/>
          <w:marBottom w:val="0"/>
          <w:divBdr>
            <w:top w:val="none" w:sz="0" w:space="0" w:color="auto"/>
            <w:left w:val="none" w:sz="0" w:space="0" w:color="auto"/>
            <w:bottom w:val="none" w:sz="0" w:space="0" w:color="auto"/>
            <w:right w:val="none" w:sz="0" w:space="0" w:color="auto"/>
          </w:divBdr>
        </w:div>
      </w:divsChild>
    </w:div>
    <w:div w:id="887834603">
      <w:bodyDiv w:val="1"/>
      <w:marLeft w:val="0"/>
      <w:marRight w:val="0"/>
      <w:marTop w:val="0"/>
      <w:marBottom w:val="0"/>
      <w:divBdr>
        <w:top w:val="none" w:sz="0" w:space="0" w:color="auto"/>
        <w:left w:val="none" w:sz="0" w:space="0" w:color="auto"/>
        <w:bottom w:val="none" w:sz="0" w:space="0" w:color="auto"/>
        <w:right w:val="none" w:sz="0" w:space="0" w:color="auto"/>
      </w:divBdr>
    </w:div>
    <w:div w:id="1001736040">
      <w:bodyDiv w:val="1"/>
      <w:marLeft w:val="0"/>
      <w:marRight w:val="0"/>
      <w:marTop w:val="0"/>
      <w:marBottom w:val="0"/>
      <w:divBdr>
        <w:top w:val="none" w:sz="0" w:space="0" w:color="auto"/>
        <w:left w:val="none" w:sz="0" w:space="0" w:color="auto"/>
        <w:bottom w:val="none" w:sz="0" w:space="0" w:color="auto"/>
        <w:right w:val="none" w:sz="0" w:space="0" w:color="auto"/>
      </w:divBdr>
      <w:divsChild>
        <w:div w:id="61562658">
          <w:marLeft w:val="0"/>
          <w:marRight w:val="0"/>
          <w:marTop w:val="0"/>
          <w:marBottom w:val="0"/>
          <w:divBdr>
            <w:top w:val="none" w:sz="0" w:space="0" w:color="auto"/>
            <w:left w:val="none" w:sz="0" w:space="0" w:color="auto"/>
            <w:bottom w:val="none" w:sz="0" w:space="0" w:color="auto"/>
            <w:right w:val="none" w:sz="0" w:space="0" w:color="auto"/>
          </w:divBdr>
        </w:div>
      </w:divsChild>
    </w:div>
    <w:div w:id="1094130546">
      <w:bodyDiv w:val="1"/>
      <w:marLeft w:val="0"/>
      <w:marRight w:val="0"/>
      <w:marTop w:val="0"/>
      <w:marBottom w:val="0"/>
      <w:divBdr>
        <w:top w:val="none" w:sz="0" w:space="0" w:color="auto"/>
        <w:left w:val="none" w:sz="0" w:space="0" w:color="auto"/>
        <w:bottom w:val="none" w:sz="0" w:space="0" w:color="auto"/>
        <w:right w:val="none" w:sz="0" w:space="0" w:color="auto"/>
      </w:divBdr>
    </w:div>
    <w:div w:id="1103301153">
      <w:bodyDiv w:val="1"/>
      <w:marLeft w:val="0"/>
      <w:marRight w:val="0"/>
      <w:marTop w:val="0"/>
      <w:marBottom w:val="0"/>
      <w:divBdr>
        <w:top w:val="none" w:sz="0" w:space="0" w:color="auto"/>
        <w:left w:val="none" w:sz="0" w:space="0" w:color="auto"/>
        <w:bottom w:val="none" w:sz="0" w:space="0" w:color="auto"/>
        <w:right w:val="none" w:sz="0" w:space="0" w:color="auto"/>
      </w:divBdr>
      <w:divsChild>
        <w:div w:id="627979374">
          <w:marLeft w:val="0"/>
          <w:marRight w:val="0"/>
          <w:marTop w:val="0"/>
          <w:marBottom w:val="0"/>
          <w:divBdr>
            <w:top w:val="none" w:sz="0" w:space="0" w:color="auto"/>
            <w:left w:val="none" w:sz="0" w:space="0" w:color="auto"/>
            <w:bottom w:val="none" w:sz="0" w:space="0" w:color="auto"/>
            <w:right w:val="none" w:sz="0" w:space="0" w:color="auto"/>
          </w:divBdr>
        </w:div>
        <w:div w:id="1983146930">
          <w:marLeft w:val="0"/>
          <w:marRight w:val="0"/>
          <w:marTop w:val="0"/>
          <w:marBottom w:val="0"/>
          <w:divBdr>
            <w:top w:val="none" w:sz="0" w:space="0" w:color="auto"/>
            <w:left w:val="none" w:sz="0" w:space="0" w:color="auto"/>
            <w:bottom w:val="none" w:sz="0" w:space="0" w:color="auto"/>
            <w:right w:val="none" w:sz="0" w:space="0" w:color="auto"/>
          </w:divBdr>
        </w:div>
        <w:div w:id="1067461014">
          <w:marLeft w:val="0"/>
          <w:marRight w:val="0"/>
          <w:marTop w:val="0"/>
          <w:marBottom w:val="0"/>
          <w:divBdr>
            <w:top w:val="none" w:sz="0" w:space="0" w:color="auto"/>
            <w:left w:val="none" w:sz="0" w:space="0" w:color="auto"/>
            <w:bottom w:val="none" w:sz="0" w:space="0" w:color="auto"/>
            <w:right w:val="none" w:sz="0" w:space="0" w:color="auto"/>
          </w:divBdr>
        </w:div>
      </w:divsChild>
    </w:div>
    <w:div w:id="1103840524">
      <w:bodyDiv w:val="1"/>
      <w:marLeft w:val="0"/>
      <w:marRight w:val="0"/>
      <w:marTop w:val="0"/>
      <w:marBottom w:val="0"/>
      <w:divBdr>
        <w:top w:val="none" w:sz="0" w:space="0" w:color="auto"/>
        <w:left w:val="none" w:sz="0" w:space="0" w:color="auto"/>
        <w:bottom w:val="none" w:sz="0" w:space="0" w:color="auto"/>
        <w:right w:val="none" w:sz="0" w:space="0" w:color="auto"/>
      </w:divBdr>
    </w:div>
    <w:div w:id="1134565741">
      <w:bodyDiv w:val="1"/>
      <w:marLeft w:val="0"/>
      <w:marRight w:val="0"/>
      <w:marTop w:val="0"/>
      <w:marBottom w:val="0"/>
      <w:divBdr>
        <w:top w:val="none" w:sz="0" w:space="0" w:color="auto"/>
        <w:left w:val="none" w:sz="0" w:space="0" w:color="auto"/>
        <w:bottom w:val="none" w:sz="0" w:space="0" w:color="auto"/>
        <w:right w:val="none" w:sz="0" w:space="0" w:color="auto"/>
      </w:divBdr>
    </w:div>
    <w:div w:id="1145587723">
      <w:bodyDiv w:val="1"/>
      <w:marLeft w:val="0"/>
      <w:marRight w:val="0"/>
      <w:marTop w:val="0"/>
      <w:marBottom w:val="0"/>
      <w:divBdr>
        <w:top w:val="none" w:sz="0" w:space="0" w:color="auto"/>
        <w:left w:val="none" w:sz="0" w:space="0" w:color="auto"/>
        <w:bottom w:val="none" w:sz="0" w:space="0" w:color="auto"/>
        <w:right w:val="none" w:sz="0" w:space="0" w:color="auto"/>
      </w:divBdr>
    </w:div>
    <w:div w:id="1154029526">
      <w:bodyDiv w:val="1"/>
      <w:marLeft w:val="0"/>
      <w:marRight w:val="0"/>
      <w:marTop w:val="0"/>
      <w:marBottom w:val="0"/>
      <w:divBdr>
        <w:top w:val="none" w:sz="0" w:space="0" w:color="auto"/>
        <w:left w:val="none" w:sz="0" w:space="0" w:color="auto"/>
        <w:bottom w:val="none" w:sz="0" w:space="0" w:color="auto"/>
        <w:right w:val="none" w:sz="0" w:space="0" w:color="auto"/>
      </w:divBdr>
    </w:div>
    <w:div w:id="1206673420">
      <w:bodyDiv w:val="1"/>
      <w:marLeft w:val="0"/>
      <w:marRight w:val="0"/>
      <w:marTop w:val="0"/>
      <w:marBottom w:val="0"/>
      <w:divBdr>
        <w:top w:val="none" w:sz="0" w:space="0" w:color="auto"/>
        <w:left w:val="none" w:sz="0" w:space="0" w:color="auto"/>
        <w:bottom w:val="none" w:sz="0" w:space="0" w:color="auto"/>
        <w:right w:val="none" w:sz="0" w:space="0" w:color="auto"/>
      </w:divBdr>
    </w:div>
    <w:div w:id="1249582576">
      <w:bodyDiv w:val="1"/>
      <w:marLeft w:val="0"/>
      <w:marRight w:val="0"/>
      <w:marTop w:val="0"/>
      <w:marBottom w:val="0"/>
      <w:divBdr>
        <w:top w:val="none" w:sz="0" w:space="0" w:color="auto"/>
        <w:left w:val="none" w:sz="0" w:space="0" w:color="auto"/>
        <w:bottom w:val="none" w:sz="0" w:space="0" w:color="auto"/>
        <w:right w:val="none" w:sz="0" w:space="0" w:color="auto"/>
      </w:divBdr>
    </w:div>
    <w:div w:id="1256211636">
      <w:bodyDiv w:val="1"/>
      <w:marLeft w:val="0"/>
      <w:marRight w:val="0"/>
      <w:marTop w:val="0"/>
      <w:marBottom w:val="0"/>
      <w:divBdr>
        <w:top w:val="none" w:sz="0" w:space="0" w:color="auto"/>
        <w:left w:val="none" w:sz="0" w:space="0" w:color="auto"/>
        <w:bottom w:val="none" w:sz="0" w:space="0" w:color="auto"/>
        <w:right w:val="none" w:sz="0" w:space="0" w:color="auto"/>
      </w:divBdr>
    </w:div>
    <w:div w:id="1298031638">
      <w:bodyDiv w:val="1"/>
      <w:marLeft w:val="0"/>
      <w:marRight w:val="0"/>
      <w:marTop w:val="0"/>
      <w:marBottom w:val="0"/>
      <w:divBdr>
        <w:top w:val="none" w:sz="0" w:space="0" w:color="auto"/>
        <w:left w:val="none" w:sz="0" w:space="0" w:color="auto"/>
        <w:bottom w:val="none" w:sz="0" w:space="0" w:color="auto"/>
        <w:right w:val="none" w:sz="0" w:space="0" w:color="auto"/>
      </w:divBdr>
    </w:div>
    <w:div w:id="1370030284">
      <w:bodyDiv w:val="1"/>
      <w:marLeft w:val="0"/>
      <w:marRight w:val="0"/>
      <w:marTop w:val="0"/>
      <w:marBottom w:val="0"/>
      <w:divBdr>
        <w:top w:val="none" w:sz="0" w:space="0" w:color="auto"/>
        <w:left w:val="none" w:sz="0" w:space="0" w:color="auto"/>
        <w:bottom w:val="none" w:sz="0" w:space="0" w:color="auto"/>
        <w:right w:val="none" w:sz="0" w:space="0" w:color="auto"/>
      </w:divBdr>
    </w:div>
    <w:div w:id="1459880588">
      <w:bodyDiv w:val="1"/>
      <w:marLeft w:val="0"/>
      <w:marRight w:val="0"/>
      <w:marTop w:val="0"/>
      <w:marBottom w:val="0"/>
      <w:divBdr>
        <w:top w:val="none" w:sz="0" w:space="0" w:color="auto"/>
        <w:left w:val="none" w:sz="0" w:space="0" w:color="auto"/>
        <w:bottom w:val="none" w:sz="0" w:space="0" w:color="auto"/>
        <w:right w:val="none" w:sz="0" w:space="0" w:color="auto"/>
      </w:divBdr>
    </w:div>
    <w:div w:id="1484083546">
      <w:bodyDiv w:val="1"/>
      <w:marLeft w:val="0"/>
      <w:marRight w:val="0"/>
      <w:marTop w:val="0"/>
      <w:marBottom w:val="0"/>
      <w:divBdr>
        <w:top w:val="none" w:sz="0" w:space="0" w:color="auto"/>
        <w:left w:val="none" w:sz="0" w:space="0" w:color="auto"/>
        <w:bottom w:val="none" w:sz="0" w:space="0" w:color="auto"/>
        <w:right w:val="none" w:sz="0" w:space="0" w:color="auto"/>
      </w:divBdr>
    </w:div>
    <w:div w:id="1604418857">
      <w:bodyDiv w:val="1"/>
      <w:marLeft w:val="0"/>
      <w:marRight w:val="0"/>
      <w:marTop w:val="0"/>
      <w:marBottom w:val="0"/>
      <w:divBdr>
        <w:top w:val="none" w:sz="0" w:space="0" w:color="auto"/>
        <w:left w:val="none" w:sz="0" w:space="0" w:color="auto"/>
        <w:bottom w:val="none" w:sz="0" w:space="0" w:color="auto"/>
        <w:right w:val="none" w:sz="0" w:space="0" w:color="auto"/>
      </w:divBdr>
    </w:div>
    <w:div w:id="1628966887">
      <w:bodyDiv w:val="1"/>
      <w:marLeft w:val="0"/>
      <w:marRight w:val="0"/>
      <w:marTop w:val="0"/>
      <w:marBottom w:val="0"/>
      <w:divBdr>
        <w:top w:val="none" w:sz="0" w:space="0" w:color="auto"/>
        <w:left w:val="none" w:sz="0" w:space="0" w:color="auto"/>
        <w:bottom w:val="none" w:sz="0" w:space="0" w:color="auto"/>
        <w:right w:val="none" w:sz="0" w:space="0" w:color="auto"/>
      </w:divBdr>
      <w:divsChild>
        <w:div w:id="1266883359">
          <w:marLeft w:val="0"/>
          <w:marRight w:val="0"/>
          <w:marTop w:val="0"/>
          <w:marBottom w:val="0"/>
          <w:divBdr>
            <w:top w:val="none" w:sz="0" w:space="0" w:color="auto"/>
            <w:left w:val="none" w:sz="0" w:space="0" w:color="auto"/>
            <w:bottom w:val="none" w:sz="0" w:space="0" w:color="auto"/>
            <w:right w:val="none" w:sz="0" w:space="0" w:color="auto"/>
          </w:divBdr>
        </w:div>
        <w:div w:id="74405142">
          <w:marLeft w:val="0"/>
          <w:marRight w:val="0"/>
          <w:marTop w:val="0"/>
          <w:marBottom w:val="0"/>
          <w:divBdr>
            <w:top w:val="none" w:sz="0" w:space="0" w:color="auto"/>
            <w:left w:val="none" w:sz="0" w:space="0" w:color="auto"/>
            <w:bottom w:val="none" w:sz="0" w:space="0" w:color="auto"/>
            <w:right w:val="none" w:sz="0" w:space="0" w:color="auto"/>
          </w:divBdr>
        </w:div>
      </w:divsChild>
    </w:div>
    <w:div w:id="1631546898">
      <w:bodyDiv w:val="1"/>
      <w:marLeft w:val="0"/>
      <w:marRight w:val="0"/>
      <w:marTop w:val="0"/>
      <w:marBottom w:val="0"/>
      <w:divBdr>
        <w:top w:val="none" w:sz="0" w:space="0" w:color="auto"/>
        <w:left w:val="none" w:sz="0" w:space="0" w:color="auto"/>
        <w:bottom w:val="none" w:sz="0" w:space="0" w:color="auto"/>
        <w:right w:val="none" w:sz="0" w:space="0" w:color="auto"/>
      </w:divBdr>
    </w:div>
    <w:div w:id="1635407317">
      <w:bodyDiv w:val="1"/>
      <w:marLeft w:val="0"/>
      <w:marRight w:val="0"/>
      <w:marTop w:val="0"/>
      <w:marBottom w:val="0"/>
      <w:divBdr>
        <w:top w:val="none" w:sz="0" w:space="0" w:color="auto"/>
        <w:left w:val="none" w:sz="0" w:space="0" w:color="auto"/>
        <w:bottom w:val="none" w:sz="0" w:space="0" w:color="auto"/>
        <w:right w:val="none" w:sz="0" w:space="0" w:color="auto"/>
      </w:divBdr>
    </w:div>
    <w:div w:id="1723794443">
      <w:bodyDiv w:val="1"/>
      <w:marLeft w:val="0"/>
      <w:marRight w:val="0"/>
      <w:marTop w:val="0"/>
      <w:marBottom w:val="0"/>
      <w:divBdr>
        <w:top w:val="none" w:sz="0" w:space="0" w:color="auto"/>
        <w:left w:val="none" w:sz="0" w:space="0" w:color="auto"/>
        <w:bottom w:val="none" w:sz="0" w:space="0" w:color="auto"/>
        <w:right w:val="none" w:sz="0" w:space="0" w:color="auto"/>
      </w:divBdr>
    </w:div>
    <w:div w:id="1741715000">
      <w:bodyDiv w:val="1"/>
      <w:marLeft w:val="0"/>
      <w:marRight w:val="0"/>
      <w:marTop w:val="0"/>
      <w:marBottom w:val="0"/>
      <w:divBdr>
        <w:top w:val="none" w:sz="0" w:space="0" w:color="auto"/>
        <w:left w:val="none" w:sz="0" w:space="0" w:color="auto"/>
        <w:bottom w:val="none" w:sz="0" w:space="0" w:color="auto"/>
        <w:right w:val="none" w:sz="0" w:space="0" w:color="auto"/>
      </w:divBdr>
    </w:div>
    <w:div w:id="1747801446">
      <w:bodyDiv w:val="1"/>
      <w:marLeft w:val="0"/>
      <w:marRight w:val="0"/>
      <w:marTop w:val="0"/>
      <w:marBottom w:val="0"/>
      <w:divBdr>
        <w:top w:val="none" w:sz="0" w:space="0" w:color="auto"/>
        <w:left w:val="none" w:sz="0" w:space="0" w:color="auto"/>
        <w:bottom w:val="none" w:sz="0" w:space="0" w:color="auto"/>
        <w:right w:val="none" w:sz="0" w:space="0" w:color="auto"/>
      </w:divBdr>
      <w:divsChild>
        <w:div w:id="993068207">
          <w:marLeft w:val="0"/>
          <w:marRight w:val="0"/>
          <w:marTop w:val="0"/>
          <w:marBottom w:val="0"/>
          <w:divBdr>
            <w:top w:val="none" w:sz="0" w:space="0" w:color="auto"/>
            <w:left w:val="none" w:sz="0" w:space="0" w:color="auto"/>
            <w:bottom w:val="none" w:sz="0" w:space="0" w:color="auto"/>
            <w:right w:val="none" w:sz="0" w:space="0" w:color="auto"/>
          </w:divBdr>
          <w:divsChild>
            <w:div w:id="1104498782">
              <w:marLeft w:val="0"/>
              <w:marRight w:val="0"/>
              <w:marTop w:val="0"/>
              <w:marBottom w:val="0"/>
              <w:divBdr>
                <w:top w:val="none" w:sz="0" w:space="0" w:color="auto"/>
                <w:left w:val="none" w:sz="0" w:space="0" w:color="auto"/>
                <w:bottom w:val="none" w:sz="0" w:space="0" w:color="auto"/>
                <w:right w:val="none" w:sz="0" w:space="0" w:color="auto"/>
              </w:divBdr>
            </w:div>
          </w:divsChild>
        </w:div>
        <w:div w:id="2017686654">
          <w:marLeft w:val="0"/>
          <w:marRight w:val="0"/>
          <w:marTop w:val="0"/>
          <w:marBottom w:val="0"/>
          <w:divBdr>
            <w:top w:val="none" w:sz="0" w:space="0" w:color="auto"/>
            <w:left w:val="none" w:sz="0" w:space="0" w:color="auto"/>
            <w:bottom w:val="none" w:sz="0" w:space="0" w:color="auto"/>
            <w:right w:val="none" w:sz="0" w:space="0" w:color="auto"/>
          </w:divBdr>
          <w:divsChild>
            <w:div w:id="978075138">
              <w:marLeft w:val="0"/>
              <w:marRight w:val="0"/>
              <w:marTop w:val="0"/>
              <w:marBottom w:val="0"/>
              <w:divBdr>
                <w:top w:val="none" w:sz="0" w:space="0" w:color="auto"/>
                <w:left w:val="none" w:sz="0" w:space="0" w:color="auto"/>
                <w:bottom w:val="none" w:sz="0" w:space="0" w:color="auto"/>
                <w:right w:val="none" w:sz="0" w:space="0" w:color="auto"/>
              </w:divBdr>
            </w:div>
          </w:divsChild>
        </w:div>
        <w:div w:id="2049453529">
          <w:marLeft w:val="0"/>
          <w:marRight w:val="0"/>
          <w:marTop w:val="0"/>
          <w:marBottom w:val="0"/>
          <w:divBdr>
            <w:top w:val="none" w:sz="0" w:space="0" w:color="auto"/>
            <w:left w:val="none" w:sz="0" w:space="0" w:color="auto"/>
            <w:bottom w:val="none" w:sz="0" w:space="0" w:color="auto"/>
            <w:right w:val="none" w:sz="0" w:space="0" w:color="auto"/>
          </w:divBdr>
          <w:divsChild>
            <w:div w:id="590818420">
              <w:marLeft w:val="0"/>
              <w:marRight w:val="0"/>
              <w:marTop w:val="0"/>
              <w:marBottom w:val="0"/>
              <w:divBdr>
                <w:top w:val="none" w:sz="0" w:space="0" w:color="auto"/>
                <w:left w:val="none" w:sz="0" w:space="0" w:color="auto"/>
                <w:bottom w:val="none" w:sz="0" w:space="0" w:color="auto"/>
                <w:right w:val="none" w:sz="0" w:space="0" w:color="auto"/>
              </w:divBdr>
            </w:div>
          </w:divsChild>
        </w:div>
        <w:div w:id="1664890937">
          <w:marLeft w:val="0"/>
          <w:marRight w:val="0"/>
          <w:marTop w:val="0"/>
          <w:marBottom w:val="0"/>
          <w:divBdr>
            <w:top w:val="none" w:sz="0" w:space="0" w:color="auto"/>
            <w:left w:val="none" w:sz="0" w:space="0" w:color="auto"/>
            <w:bottom w:val="none" w:sz="0" w:space="0" w:color="auto"/>
            <w:right w:val="none" w:sz="0" w:space="0" w:color="auto"/>
          </w:divBdr>
        </w:div>
        <w:div w:id="2117820895">
          <w:marLeft w:val="0"/>
          <w:marRight w:val="0"/>
          <w:marTop w:val="0"/>
          <w:marBottom w:val="0"/>
          <w:divBdr>
            <w:top w:val="none" w:sz="0" w:space="0" w:color="auto"/>
            <w:left w:val="none" w:sz="0" w:space="0" w:color="auto"/>
            <w:bottom w:val="none" w:sz="0" w:space="0" w:color="auto"/>
            <w:right w:val="none" w:sz="0" w:space="0" w:color="auto"/>
          </w:divBdr>
        </w:div>
        <w:div w:id="1385984161">
          <w:marLeft w:val="0"/>
          <w:marRight w:val="0"/>
          <w:marTop w:val="0"/>
          <w:marBottom w:val="0"/>
          <w:divBdr>
            <w:top w:val="none" w:sz="0" w:space="0" w:color="auto"/>
            <w:left w:val="none" w:sz="0" w:space="0" w:color="auto"/>
            <w:bottom w:val="none" w:sz="0" w:space="0" w:color="auto"/>
            <w:right w:val="none" w:sz="0" w:space="0" w:color="auto"/>
          </w:divBdr>
        </w:div>
        <w:div w:id="1946424054">
          <w:marLeft w:val="0"/>
          <w:marRight w:val="0"/>
          <w:marTop w:val="0"/>
          <w:marBottom w:val="0"/>
          <w:divBdr>
            <w:top w:val="none" w:sz="0" w:space="0" w:color="auto"/>
            <w:left w:val="none" w:sz="0" w:space="0" w:color="auto"/>
            <w:bottom w:val="none" w:sz="0" w:space="0" w:color="auto"/>
            <w:right w:val="none" w:sz="0" w:space="0" w:color="auto"/>
          </w:divBdr>
        </w:div>
        <w:div w:id="1752507782">
          <w:marLeft w:val="0"/>
          <w:marRight w:val="0"/>
          <w:marTop w:val="0"/>
          <w:marBottom w:val="0"/>
          <w:divBdr>
            <w:top w:val="none" w:sz="0" w:space="0" w:color="auto"/>
            <w:left w:val="none" w:sz="0" w:space="0" w:color="auto"/>
            <w:bottom w:val="none" w:sz="0" w:space="0" w:color="auto"/>
            <w:right w:val="none" w:sz="0" w:space="0" w:color="auto"/>
          </w:divBdr>
        </w:div>
        <w:div w:id="368725444">
          <w:marLeft w:val="0"/>
          <w:marRight w:val="0"/>
          <w:marTop w:val="0"/>
          <w:marBottom w:val="0"/>
          <w:divBdr>
            <w:top w:val="none" w:sz="0" w:space="0" w:color="auto"/>
            <w:left w:val="none" w:sz="0" w:space="0" w:color="auto"/>
            <w:bottom w:val="none" w:sz="0" w:space="0" w:color="auto"/>
            <w:right w:val="none" w:sz="0" w:space="0" w:color="auto"/>
          </w:divBdr>
        </w:div>
        <w:div w:id="1604067228">
          <w:marLeft w:val="0"/>
          <w:marRight w:val="0"/>
          <w:marTop w:val="0"/>
          <w:marBottom w:val="0"/>
          <w:divBdr>
            <w:top w:val="none" w:sz="0" w:space="0" w:color="auto"/>
            <w:left w:val="none" w:sz="0" w:space="0" w:color="auto"/>
            <w:bottom w:val="none" w:sz="0" w:space="0" w:color="auto"/>
            <w:right w:val="none" w:sz="0" w:space="0" w:color="auto"/>
          </w:divBdr>
          <w:divsChild>
            <w:div w:id="151677548">
              <w:marLeft w:val="0"/>
              <w:marRight w:val="0"/>
              <w:marTop w:val="0"/>
              <w:marBottom w:val="0"/>
              <w:divBdr>
                <w:top w:val="none" w:sz="0" w:space="0" w:color="auto"/>
                <w:left w:val="none" w:sz="0" w:space="0" w:color="auto"/>
                <w:bottom w:val="none" w:sz="0" w:space="0" w:color="auto"/>
                <w:right w:val="none" w:sz="0" w:space="0" w:color="auto"/>
              </w:divBdr>
            </w:div>
          </w:divsChild>
        </w:div>
        <w:div w:id="1130823721">
          <w:marLeft w:val="0"/>
          <w:marRight w:val="0"/>
          <w:marTop w:val="0"/>
          <w:marBottom w:val="0"/>
          <w:divBdr>
            <w:top w:val="none" w:sz="0" w:space="0" w:color="auto"/>
            <w:left w:val="none" w:sz="0" w:space="0" w:color="auto"/>
            <w:bottom w:val="none" w:sz="0" w:space="0" w:color="auto"/>
            <w:right w:val="none" w:sz="0" w:space="0" w:color="auto"/>
          </w:divBdr>
          <w:divsChild>
            <w:div w:id="817068409">
              <w:marLeft w:val="0"/>
              <w:marRight w:val="0"/>
              <w:marTop w:val="0"/>
              <w:marBottom w:val="0"/>
              <w:divBdr>
                <w:top w:val="none" w:sz="0" w:space="0" w:color="auto"/>
                <w:left w:val="none" w:sz="0" w:space="0" w:color="auto"/>
                <w:bottom w:val="none" w:sz="0" w:space="0" w:color="auto"/>
                <w:right w:val="none" w:sz="0" w:space="0" w:color="auto"/>
              </w:divBdr>
            </w:div>
          </w:divsChild>
        </w:div>
        <w:div w:id="419906819">
          <w:marLeft w:val="0"/>
          <w:marRight w:val="0"/>
          <w:marTop w:val="0"/>
          <w:marBottom w:val="0"/>
          <w:divBdr>
            <w:top w:val="none" w:sz="0" w:space="0" w:color="auto"/>
            <w:left w:val="none" w:sz="0" w:space="0" w:color="auto"/>
            <w:bottom w:val="none" w:sz="0" w:space="0" w:color="auto"/>
            <w:right w:val="none" w:sz="0" w:space="0" w:color="auto"/>
          </w:divBdr>
          <w:divsChild>
            <w:div w:id="9924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07">
      <w:bodyDiv w:val="1"/>
      <w:marLeft w:val="0"/>
      <w:marRight w:val="0"/>
      <w:marTop w:val="0"/>
      <w:marBottom w:val="0"/>
      <w:divBdr>
        <w:top w:val="none" w:sz="0" w:space="0" w:color="auto"/>
        <w:left w:val="none" w:sz="0" w:space="0" w:color="auto"/>
        <w:bottom w:val="none" w:sz="0" w:space="0" w:color="auto"/>
        <w:right w:val="none" w:sz="0" w:space="0" w:color="auto"/>
      </w:divBdr>
    </w:div>
    <w:div w:id="1804156804">
      <w:bodyDiv w:val="1"/>
      <w:marLeft w:val="0"/>
      <w:marRight w:val="0"/>
      <w:marTop w:val="0"/>
      <w:marBottom w:val="0"/>
      <w:divBdr>
        <w:top w:val="none" w:sz="0" w:space="0" w:color="auto"/>
        <w:left w:val="none" w:sz="0" w:space="0" w:color="auto"/>
        <w:bottom w:val="none" w:sz="0" w:space="0" w:color="auto"/>
        <w:right w:val="none" w:sz="0" w:space="0" w:color="auto"/>
      </w:divBdr>
    </w:div>
    <w:div w:id="1822623709">
      <w:bodyDiv w:val="1"/>
      <w:marLeft w:val="0"/>
      <w:marRight w:val="0"/>
      <w:marTop w:val="0"/>
      <w:marBottom w:val="0"/>
      <w:divBdr>
        <w:top w:val="none" w:sz="0" w:space="0" w:color="auto"/>
        <w:left w:val="none" w:sz="0" w:space="0" w:color="auto"/>
        <w:bottom w:val="none" w:sz="0" w:space="0" w:color="auto"/>
        <w:right w:val="none" w:sz="0" w:space="0" w:color="auto"/>
      </w:divBdr>
    </w:div>
    <w:div w:id="1827629256">
      <w:bodyDiv w:val="1"/>
      <w:marLeft w:val="0"/>
      <w:marRight w:val="0"/>
      <w:marTop w:val="0"/>
      <w:marBottom w:val="0"/>
      <w:divBdr>
        <w:top w:val="none" w:sz="0" w:space="0" w:color="auto"/>
        <w:left w:val="none" w:sz="0" w:space="0" w:color="auto"/>
        <w:bottom w:val="none" w:sz="0" w:space="0" w:color="auto"/>
        <w:right w:val="none" w:sz="0" w:space="0" w:color="auto"/>
      </w:divBdr>
    </w:div>
    <w:div w:id="1831095999">
      <w:bodyDiv w:val="1"/>
      <w:marLeft w:val="0"/>
      <w:marRight w:val="0"/>
      <w:marTop w:val="0"/>
      <w:marBottom w:val="0"/>
      <w:divBdr>
        <w:top w:val="none" w:sz="0" w:space="0" w:color="auto"/>
        <w:left w:val="none" w:sz="0" w:space="0" w:color="auto"/>
        <w:bottom w:val="none" w:sz="0" w:space="0" w:color="auto"/>
        <w:right w:val="none" w:sz="0" w:space="0" w:color="auto"/>
      </w:divBdr>
    </w:div>
    <w:div w:id="1837068714">
      <w:bodyDiv w:val="1"/>
      <w:marLeft w:val="0"/>
      <w:marRight w:val="0"/>
      <w:marTop w:val="0"/>
      <w:marBottom w:val="0"/>
      <w:divBdr>
        <w:top w:val="none" w:sz="0" w:space="0" w:color="auto"/>
        <w:left w:val="none" w:sz="0" w:space="0" w:color="auto"/>
        <w:bottom w:val="none" w:sz="0" w:space="0" w:color="auto"/>
        <w:right w:val="none" w:sz="0" w:space="0" w:color="auto"/>
      </w:divBdr>
    </w:div>
    <w:div w:id="1843624279">
      <w:bodyDiv w:val="1"/>
      <w:marLeft w:val="0"/>
      <w:marRight w:val="0"/>
      <w:marTop w:val="0"/>
      <w:marBottom w:val="0"/>
      <w:divBdr>
        <w:top w:val="none" w:sz="0" w:space="0" w:color="auto"/>
        <w:left w:val="none" w:sz="0" w:space="0" w:color="auto"/>
        <w:bottom w:val="none" w:sz="0" w:space="0" w:color="auto"/>
        <w:right w:val="none" w:sz="0" w:space="0" w:color="auto"/>
      </w:divBdr>
    </w:div>
    <w:div w:id="1857112385">
      <w:bodyDiv w:val="1"/>
      <w:marLeft w:val="0"/>
      <w:marRight w:val="0"/>
      <w:marTop w:val="0"/>
      <w:marBottom w:val="0"/>
      <w:divBdr>
        <w:top w:val="none" w:sz="0" w:space="0" w:color="auto"/>
        <w:left w:val="none" w:sz="0" w:space="0" w:color="auto"/>
        <w:bottom w:val="none" w:sz="0" w:space="0" w:color="auto"/>
        <w:right w:val="none" w:sz="0" w:space="0" w:color="auto"/>
      </w:divBdr>
    </w:div>
    <w:div w:id="1871382627">
      <w:bodyDiv w:val="1"/>
      <w:marLeft w:val="0"/>
      <w:marRight w:val="0"/>
      <w:marTop w:val="0"/>
      <w:marBottom w:val="0"/>
      <w:divBdr>
        <w:top w:val="none" w:sz="0" w:space="0" w:color="auto"/>
        <w:left w:val="none" w:sz="0" w:space="0" w:color="auto"/>
        <w:bottom w:val="none" w:sz="0" w:space="0" w:color="auto"/>
        <w:right w:val="none" w:sz="0" w:space="0" w:color="auto"/>
      </w:divBdr>
      <w:divsChild>
        <w:div w:id="1066684387">
          <w:marLeft w:val="0"/>
          <w:marRight w:val="0"/>
          <w:marTop w:val="0"/>
          <w:marBottom w:val="0"/>
          <w:divBdr>
            <w:top w:val="none" w:sz="0" w:space="0" w:color="auto"/>
            <w:left w:val="none" w:sz="0" w:space="0" w:color="auto"/>
            <w:bottom w:val="none" w:sz="0" w:space="0" w:color="auto"/>
            <w:right w:val="none" w:sz="0" w:space="0" w:color="auto"/>
          </w:divBdr>
        </w:div>
        <w:div w:id="1471554560">
          <w:marLeft w:val="0"/>
          <w:marRight w:val="0"/>
          <w:marTop w:val="0"/>
          <w:marBottom w:val="0"/>
          <w:divBdr>
            <w:top w:val="none" w:sz="0" w:space="0" w:color="auto"/>
            <w:left w:val="none" w:sz="0" w:space="0" w:color="auto"/>
            <w:bottom w:val="none" w:sz="0" w:space="0" w:color="auto"/>
            <w:right w:val="none" w:sz="0" w:space="0" w:color="auto"/>
          </w:divBdr>
        </w:div>
        <w:div w:id="385227704">
          <w:marLeft w:val="0"/>
          <w:marRight w:val="0"/>
          <w:marTop w:val="0"/>
          <w:marBottom w:val="0"/>
          <w:divBdr>
            <w:top w:val="none" w:sz="0" w:space="0" w:color="auto"/>
            <w:left w:val="none" w:sz="0" w:space="0" w:color="auto"/>
            <w:bottom w:val="none" w:sz="0" w:space="0" w:color="auto"/>
            <w:right w:val="none" w:sz="0" w:space="0" w:color="auto"/>
          </w:divBdr>
        </w:div>
        <w:div w:id="2109999953">
          <w:marLeft w:val="0"/>
          <w:marRight w:val="0"/>
          <w:marTop w:val="0"/>
          <w:marBottom w:val="0"/>
          <w:divBdr>
            <w:top w:val="none" w:sz="0" w:space="0" w:color="auto"/>
            <w:left w:val="none" w:sz="0" w:space="0" w:color="auto"/>
            <w:bottom w:val="none" w:sz="0" w:space="0" w:color="auto"/>
            <w:right w:val="none" w:sz="0" w:space="0" w:color="auto"/>
          </w:divBdr>
        </w:div>
        <w:div w:id="734425976">
          <w:marLeft w:val="0"/>
          <w:marRight w:val="0"/>
          <w:marTop w:val="0"/>
          <w:marBottom w:val="0"/>
          <w:divBdr>
            <w:top w:val="none" w:sz="0" w:space="0" w:color="auto"/>
            <w:left w:val="none" w:sz="0" w:space="0" w:color="auto"/>
            <w:bottom w:val="none" w:sz="0" w:space="0" w:color="auto"/>
            <w:right w:val="none" w:sz="0" w:space="0" w:color="auto"/>
          </w:divBdr>
        </w:div>
      </w:divsChild>
    </w:div>
    <w:div w:id="1886020043">
      <w:bodyDiv w:val="1"/>
      <w:marLeft w:val="0"/>
      <w:marRight w:val="0"/>
      <w:marTop w:val="0"/>
      <w:marBottom w:val="0"/>
      <w:divBdr>
        <w:top w:val="none" w:sz="0" w:space="0" w:color="auto"/>
        <w:left w:val="none" w:sz="0" w:space="0" w:color="auto"/>
        <w:bottom w:val="none" w:sz="0" w:space="0" w:color="auto"/>
        <w:right w:val="none" w:sz="0" w:space="0" w:color="auto"/>
      </w:divBdr>
      <w:divsChild>
        <w:div w:id="806049335">
          <w:marLeft w:val="0"/>
          <w:marRight w:val="0"/>
          <w:marTop w:val="0"/>
          <w:marBottom w:val="0"/>
          <w:divBdr>
            <w:top w:val="none" w:sz="0" w:space="0" w:color="auto"/>
            <w:left w:val="none" w:sz="0" w:space="0" w:color="auto"/>
            <w:bottom w:val="none" w:sz="0" w:space="0" w:color="auto"/>
            <w:right w:val="none" w:sz="0" w:space="0" w:color="auto"/>
          </w:divBdr>
          <w:divsChild>
            <w:div w:id="771510509">
              <w:marLeft w:val="0"/>
              <w:marRight w:val="0"/>
              <w:marTop w:val="0"/>
              <w:marBottom w:val="0"/>
              <w:divBdr>
                <w:top w:val="none" w:sz="0" w:space="0" w:color="auto"/>
                <w:left w:val="none" w:sz="0" w:space="0" w:color="auto"/>
                <w:bottom w:val="none" w:sz="0" w:space="0" w:color="auto"/>
                <w:right w:val="none" w:sz="0" w:space="0" w:color="auto"/>
              </w:divBdr>
            </w:div>
          </w:divsChild>
        </w:div>
        <w:div w:id="1226599706">
          <w:marLeft w:val="0"/>
          <w:marRight w:val="0"/>
          <w:marTop w:val="0"/>
          <w:marBottom w:val="0"/>
          <w:divBdr>
            <w:top w:val="none" w:sz="0" w:space="0" w:color="auto"/>
            <w:left w:val="none" w:sz="0" w:space="0" w:color="auto"/>
            <w:bottom w:val="none" w:sz="0" w:space="0" w:color="auto"/>
            <w:right w:val="none" w:sz="0" w:space="0" w:color="auto"/>
          </w:divBdr>
          <w:divsChild>
            <w:div w:id="426737368">
              <w:marLeft w:val="0"/>
              <w:marRight w:val="0"/>
              <w:marTop w:val="0"/>
              <w:marBottom w:val="0"/>
              <w:divBdr>
                <w:top w:val="none" w:sz="0" w:space="0" w:color="auto"/>
                <w:left w:val="none" w:sz="0" w:space="0" w:color="auto"/>
                <w:bottom w:val="none" w:sz="0" w:space="0" w:color="auto"/>
                <w:right w:val="none" w:sz="0" w:space="0" w:color="auto"/>
              </w:divBdr>
            </w:div>
          </w:divsChild>
        </w:div>
        <w:div w:id="2053844358">
          <w:marLeft w:val="0"/>
          <w:marRight w:val="0"/>
          <w:marTop w:val="0"/>
          <w:marBottom w:val="0"/>
          <w:divBdr>
            <w:top w:val="none" w:sz="0" w:space="0" w:color="auto"/>
            <w:left w:val="none" w:sz="0" w:space="0" w:color="auto"/>
            <w:bottom w:val="none" w:sz="0" w:space="0" w:color="auto"/>
            <w:right w:val="none" w:sz="0" w:space="0" w:color="auto"/>
          </w:divBdr>
          <w:divsChild>
            <w:div w:id="402030060">
              <w:marLeft w:val="0"/>
              <w:marRight w:val="0"/>
              <w:marTop w:val="0"/>
              <w:marBottom w:val="0"/>
              <w:divBdr>
                <w:top w:val="none" w:sz="0" w:space="0" w:color="auto"/>
                <w:left w:val="none" w:sz="0" w:space="0" w:color="auto"/>
                <w:bottom w:val="none" w:sz="0" w:space="0" w:color="auto"/>
                <w:right w:val="none" w:sz="0" w:space="0" w:color="auto"/>
              </w:divBdr>
            </w:div>
          </w:divsChild>
        </w:div>
        <w:div w:id="217518592">
          <w:marLeft w:val="0"/>
          <w:marRight w:val="0"/>
          <w:marTop w:val="0"/>
          <w:marBottom w:val="0"/>
          <w:divBdr>
            <w:top w:val="none" w:sz="0" w:space="0" w:color="auto"/>
            <w:left w:val="none" w:sz="0" w:space="0" w:color="auto"/>
            <w:bottom w:val="none" w:sz="0" w:space="0" w:color="auto"/>
            <w:right w:val="none" w:sz="0" w:space="0" w:color="auto"/>
          </w:divBdr>
        </w:div>
        <w:div w:id="679048610">
          <w:marLeft w:val="0"/>
          <w:marRight w:val="0"/>
          <w:marTop w:val="0"/>
          <w:marBottom w:val="0"/>
          <w:divBdr>
            <w:top w:val="none" w:sz="0" w:space="0" w:color="auto"/>
            <w:left w:val="none" w:sz="0" w:space="0" w:color="auto"/>
            <w:bottom w:val="none" w:sz="0" w:space="0" w:color="auto"/>
            <w:right w:val="none" w:sz="0" w:space="0" w:color="auto"/>
          </w:divBdr>
        </w:div>
        <w:div w:id="2111848200">
          <w:marLeft w:val="0"/>
          <w:marRight w:val="0"/>
          <w:marTop w:val="0"/>
          <w:marBottom w:val="0"/>
          <w:divBdr>
            <w:top w:val="none" w:sz="0" w:space="0" w:color="auto"/>
            <w:left w:val="none" w:sz="0" w:space="0" w:color="auto"/>
            <w:bottom w:val="none" w:sz="0" w:space="0" w:color="auto"/>
            <w:right w:val="none" w:sz="0" w:space="0" w:color="auto"/>
          </w:divBdr>
        </w:div>
        <w:div w:id="656347363">
          <w:marLeft w:val="0"/>
          <w:marRight w:val="0"/>
          <w:marTop w:val="0"/>
          <w:marBottom w:val="0"/>
          <w:divBdr>
            <w:top w:val="none" w:sz="0" w:space="0" w:color="auto"/>
            <w:left w:val="none" w:sz="0" w:space="0" w:color="auto"/>
            <w:bottom w:val="none" w:sz="0" w:space="0" w:color="auto"/>
            <w:right w:val="none" w:sz="0" w:space="0" w:color="auto"/>
          </w:divBdr>
        </w:div>
        <w:div w:id="1857108703">
          <w:marLeft w:val="0"/>
          <w:marRight w:val="0"/>
          <w:marTop w:val="0"/>
          <w:marBottom w:val="0"/>
          <w:divBdr>
            <w:top w:val="none" w:sz="0" w:space="0" w:color="auto"/>
            <w:left w:val="none" w:sz="0" w:space="0" w:color="auto"/>
            <w:bottom w:val="none" w:sz="0" w:space="0" w:color="auto"/>
            <w:right w:val="none" w:sz="0" w:space="0" w:color="auto"/>
          </w:divBdr>
        </w:div>
        <w:div w:id="371420863">
          <w:marLeft w:val="0"/>
          <w:marRight w:val="0"/>
          <w:marTop w:val="0"/>
          <w:marBottom w:val="0"/>
          <w:divBdr>
            <w:top w:val="none" w:sz="0" w:space="0" w:color="auto"/>
            <w:left w:val="none" w:sz="0" w:space="0" w:color="auto"/>
            <w:bottom w:val="none" w:sz="0" w:space="0" w:color="auto"/>
            <w:right w:val="none" w:sz="0" w:space="0" w:color="auto"/>
          </w:divBdr>
        </w:div>
        <w:div w:id="2128310547">
          <w:marLeft w:val="0"/>
          <w:marRight w:val="0"/>
          <w:marTop w:val="0"/>
          <w:marBottom w:val="0"/>
          <w:divBdr>
            <w:top w:val="none" w:sz="0" w:space="0" w:color="auto"/>
            <w:left w:val="none" w:sz="0" w:space="0" w:color="auto"/>
            <w:bottom w:val="none" w:sz="0" w:space="0" w:color="auto"/>
            <w:right w:val="none" w:sz="0" w:space="0" w:color="auto"/>
          </w:divBdr>
          <w:divsChild>
            <w:div w:id="809205242">
              <w:marLeft w:val="0"/>
              <w:marRight w:val="0"/>
              <w:marTop w:val="0"/>
              <w:marBottom w:val="0"/>
              <w:divBdr>
                <w:top w:val="none" w:sz="0" w:space="0" w:color="auto"/>
                <w:left w:val="none" w:sz="0" w:space="0" w:color="auto"/>
                <w:bottom w:val="none" w:sz="0" w:space="0" w:color="auto"/>
                <w:right w:val="none" w:sz="0" w:space="0" w:color="auto"/>
              </w:divBdr>
            </w:div>
          </w:divsChild>
        </w:div>
        <w:div w:id="185947562">
          <w:marLeft w:val="0"/>
          <w:marRight w:val="0"/>
          <w:marTop w:val="0"/>
          <w:marBottom w:val="0"/>
          <w:divBdr>
            <w:top w:val="none" w:sz="0" w:space="0" w:color="auto"/>
            <w:left w:val="none" w:sz="0" w:space="0" w:color="auto"/>
            <w:bottom w:val="none" w:sz="0" w:space="0" w:color="auto"/>
            <w:right w:val="none" w:sz="0" w:space="0" w:color="auto"/>
          </w:divBdr>
          <w:divsChild>
            <w:div w:id="4421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0302">
      <w:bodyDiv w:val="1"/>
      <w:marLeft w:val="0"/>
      <w:marRight w:val="0"/>
      <w:marTop w:val="0"/>
      <w:marBottom w:val="0"/>
      <w:divBdr>
        <w:top w:val="none" w:sz="0" w:space="0" w:color="auto"/>
        <w:left w:val="none" w:sz="0" w:space="0" w:color="auto"/>
        <w:bottom w:val="none" w:sz="0" w:space="0" w:color="auto"/>
        <w:right w:val="none" w:sz="0" w:space="0" w:color="auto"/>
      </w:divBdr>
      <w:divsChild>
        <w:div w:id="554119579">
          <w:marLeft w:val="130"/>
          <w:marRight w:val="0"/>
          <w:marTop w:val="0"/>
          <w:marBottom w:val="0"/>
          <w:divBdr>
            <w:top w:val="none" w:sz="0" w:space="0" w:color="auto"/>
            <w:left w:val="none" w:sz="0" w:space="0" w:color="auto"/>
            <w:bottom w:val="none" w:sz="0" w:space="0" w:color="auto"/>
            <w:right w:val="none" w:sz="0" w:space="0" w:color="auto"/>
          </w:divBdr>
        </w:div>
        <w:div w:id="1859393584">
          <w:marLeft w:val="130"/>
          <w:marRight w:val="0"/>
          <w:marTop w:val="0"/>
          <w:marBottom w:val="0"/>
          <w:divBdr>
            <w:top w:val="none" w:sz="0" w:space="0" w:color="auto"/>
            <w:left w:val="none" w:sz="0" w:space="0" w:color="auto"/>
            <w:bottom w:val="none" w:sz="0" w:space="0" w:color="auto"/>
            <w:right w:val="none" w:sz="0" w:space="0" w:color="auto"/>
          </w:divBdr>
        </w:div>
        <w:div w:id="7754869">
          <w:marLeft w:val="130"/>
          <w:marRight w:val="0"/>
          <w:marTop w:val="0"/>
          <w:marBottom w:val="0"/>
          <w:divBdr>
            <w:top w:val="none" w:sz="0" w:space="0" w:color="auto"/>
            <w:left w:val="none" w:sz="0" w:space="0" w:color="auto"/>
            <w:bottom w:val="none" w:sz="0" w:space="0" w:color="auto"/>
            <w:right w:val="none" w:sz="0" w:space="0" w:color="auto"/>
          </w:divBdr>
        </w:div>
        <w:div w:id="587544944">
          <w:marLeft w:val="130"/>
          <w:marRight w:val="0"/>
          <w:marTop w:val="0"/>
          <w:marBottom w:val="0"/>
          <w:divBdr>
            <w:top w:val="none" w:sz="0" w:space="0" w:color="auto"/>
            <w:left w:val="none" w:sz="0" w:space="0" w:color="auto"/>
            <w:bottom w:val="none" w:sz="0" w:space="0" w:color="auto"/>
            <w:right w:val="none" w:sz="0" w:space="0" w:color="auto"/>
          </w:divBdr>
        </w:div>
        <w:div w:id="1779137698">
          <w:marLeft w:val="130"/>
          <w:marRight w:val="0"/>
          <w:marTop w:val="0"/>
          <w:marBottom w:val="0"/>
          <w:divBdr>
            <w:top w:val="none" w:sz="0" w:space="0" w:color="auto"/>
            <w:left w:val="none" w:sz="0" w:space="0" w:color="auto"/>
            <w:bottom w:val="none" w:sz="0" w:space="0" w:color="auto"/>
            <w:right w:val="none" w:sz="0" w:space="0" w:color="auto"/>
          </w:divBdr>
        </w:div>
        <w:div w:id="201599236">
          <w:marLeft w:val="130"/>
          <w:marRight w:val="0"/>
          <w:marTop w:val="0"/>
          <w:marBottom w:val="0"/>
          <w:divBdr>
            <w:top w:val="none" w:sz="0" w:space="0" w:color="auto"/>
            <w:left w:val="none" w:sz="0" w:space="0" w:color="auto"/>
            <w:bottom w:val="none" w:sz="0" w:space="0" w:color="auto"/>
            <w:right w:val="none" w:sz="0" w:space="0" w:color="auto"/>
          </w:divBdr>
        </w:div>
        <w:div w:id="1344895063">
          <w:marLeft w:val="130"/>
          <w:marRight w:val="0"/>
          <w:marTop w:val="0"/>
          <w:marBottom w:val="0"/>
          <w:divBdr>
            <w:top w:val="none" w:sz="0" w:space="0" w:color="auto"/>
            <w:left w:val="none" w:sz="0" w:space="0" w:color="auto"/>
            <w:bottom w:val="none" w:sz="0" w:space="0" w:color="auto"/>
            <w:right w:val="none" w:sz="0" w:space="0" w:color="auto"/>
          </w:divBdr>
        </w:div>
        <w:div w:id="704601132">
          <w:marLeft w:val="130"/>
          <w:marRight w:val="0"/>
          <w:marTop w:val="0"/>
          <w:marBottom w:val="0"/>
          <w:divBdr>
            <w:top w:val="none" w:sz="0" w:space="0" w:color="auto"/>
            <w:left w:val="none" w:sz="0" w:space="0" w:color="auto"/>
            <w:bottom w:val="none" w:sz="0" w:space="0" w:color="auto"/>
            <w:right w:val="none" w:sz="0" w:space="0" w:color="auto"/>
          </w:divBdr>
        </w:div>
        <w:div w:id="895317238">
          <w:marLeft w:val="130"/>
          <w:marRight w:val="0"/>
          <w:marTop w:val="0"/>
          <w:marBottom w:val="0"/>
          <w:divBdr>
            <w:top w:val="none" w:sz="0" w:space="0" w:color="auto"/>
            <w:left w:val="none" w:sz="0" w:space="0" w:color="auto"/>
            <w:bottom w:val="none" w:sz="0" w:space="0" w:color="auto"/>
            <w:right w:val="none" w:sz="0" w:space="0" w:color="auto"/>
          </w:divBdr>
        </w:div>
        <w:div w:id="556169035">
          <w:marLeft w:val="130"/>
          <w:marRight w:val="0"/>
          <w:marTop w:val="0"/>
          <w:marBottom w:val="0"/>
          <w:divBdr>
            <w:top w:val="none" w:sz="0" w:space="0" w:color="auto"/>
            <w:left w:val="none" w:sz="0" w:space="0" w:color="auto"/>
            <w:bottom w:val="none" w:sz="0" w:space="0" w:color="auto"/>
            <w:right w:val="none" w:sz="0" w:space="0" w:color="auto"/>
          </w:divBdr>
        </w:div>
        <w:div w:id="1968392345">
          <w:marLeft w:val="130"/>
          <w:marRight w:val="0"/>
          <w:marTop w:val="0"/>
          <w:marBottom w:val="0"/>
          <w:divBdr>
            <w:top w:val="none" w:sz="0" w:space="0" w:color="auto"/>
            <w:left w:val="none" w:sz="0" w:space="0" w:color="auto"/>
            <w:bottom w:val="none" w:sz="0" w:space="0" w:color="auto"/>
            <w:right w:val="none" w:sz="0" w:space="0" w:color="auto"/>
          </w:divBdr>
        </w:div>
        <w:div w:id="1701392684">
          <w:marLeft w:val="130"/>
          <w:marRight w:val="0"/>
          <w:marTop w:val="0"/>
          <w:marBottom w:val="0"/>
          <w:divBdr>
            <w:top w:val="none" w:sz="0" w:space="0" w:color="auto"/>
            <w:left w:val="none" w:sz="0" w:space="0" w:color="auto"/>
            <w:bottom w:val="none" w:sz="0" w:space="0" w:color="auto"/>
            <w:right w:val="none" w:sz="0" w:space="0" w:color="auto"/>
          </w:divBdr>
        </w:div>
        <w:div w:id="803230387">
          <w:marLeft w:val="130"/>
          <w:marRight w:val="0"/>
          <w:marTop w:val="0"/>
          <w:marBottom w:val="0"/>
          <w:divBdr>
            <w:top w:val="none" w:sz="0" w:space="0" w:color="auto"/>
            <w:left w:val="none" w:sz="0" w:space="0" w:color="auto"/>
            <w:bottom w:val="none" w:sz="0" w:space="0" w:color="auto"/>
            <w:right w:val="none" w:sz="0" w:space="0" w:color="auto"/>
          </w:divBdr>
        </w:div>
        <w:div w:id="677192050">
          <w:marLeft w:val="130"/>
          <w:marRight w:val="0"/>
          <w:marTop w:val="0"/>
          <w:marBottom w:val="0"/>
          <w:divBdr>
            <w:top w:val="none" w:sz="0" w:space="0" w:color="auto"/>
            <w:left w:val="none" w:sz="0" w:space="0" w:color="auto"/>
            <w:bottom w:val="none" w:sz="0" w:space="0" w:color="auto"/>
            <w:right w:val="none" w:sz="0" w:space="0" w:color="auto"/>
          </w:divBdr>
        </w:div>
        <w:div w:id="1225292142">
          <w:marLeft w:val="130"/>
          <w:marRight w:val="0"/>
          <w:marTop w:val="0"/>
          <w:marBottom w:val="0"/>
          <w:divBdr>
            <w:top w:val="none" w:sz="0" w:space="0" w:color="auto"/>
            <w:left w:val="none" w:sz="0" w:space="0" w:color="auto"/>
            <w:bottom w:val="none" w:sz="0" w:space="0" w:color="auto"/>
            <w:right w:val="none" w:sz="0" w:space="0" w:color="auto"/>
          </w:divBdr>
        </w:div>
      </w:divsChild>
    </w:div>
    <w:div w:id="1928728433">
      <w:bodyDiv w:val="1"/>
      <w:marLeft w:val="0"/>
      <w:marRight w:val="0"/>
      <w:marTop w:val="0"/>
      <w:marBottom w:val="0"/>
      <w:divBdr>
        <w:top w:val="none" w:sz="0" w:space="0" w:color="auto"/>
        <w:left w:val="none" w:sz="0" w:space="0" w:color="auto"/>
        <w:bottom w:val="none" w:sz="0" w:space="0" w:color="auto"/>
        <w:right w:val="none" w:sz="0" w:space="0" w:color="auto"/>
      </w:divBdr>
    </w:div>
    <w:div w:id="1956130182">
      <w:bodyDiv w:val="1"/>
      <w:marLeft w:val="0"/>
      <w:marRight w:val="0"/>
      <w:marTop w:val="0"/>
      <w:marBottom w:val="0"/>
      <w:divBdr>
        <w:top w:val="none" w:sz="0" w:space="0" w:color="auto"/>
        <w:left w:val="none" w:sz="0" w:space="0" w:color="auto"/>
        <w:bottom w:val="none" w:sz="0" w:space="0" w:color="auto"/>
        <w:right w:val="none" w:sz="0" w:space="0" w:color="auto"/>
      </w:divBdr>
    </w:div>
    <w:div w:id="2041776470">
      <w:bodyDiv w:val="1"/>
      <w:marLeft w:val="0"/>
      <w:marRight w:val="0"/>
      <w:marTop w:val="0"/>
      <w:marBottom w:val="0"/>
      <w:divBdr>
        <w:top w:val="none" w:sz="0" w:space="0" w:color="auto"/>
        <w:left w:val="none" w:sz="0" w:space="0" w:color="auto"/>
        <w:bottom w:val="none" w:sz="0" w:space="0" w:color="auto"/>
        <w:right w:val="none" w:sz="0" w:space="0" w:color="auto"/>
      </w:divBdr>
    </w:div>
    <w:div w:id="2047218506">
      <w:bodyDiv w:val="1"/>
      <w:marLeft w:val="0"/>
      <w:marRight w:val="0"/>
      <w:marTop w:val="0"/>
      <w:marBottom w:val="0"/>
      <w:divBdr>
        <w:top w:val="none" w:sz="0" w:space="0" w:color="auto"/>
        <w:left w:val="none" w:sz="0" w:space="0" w:color="auto"/>
        <w:bottom w:val="none" w:sz="0" w:space="0" w:color="auto"/>
        <w:right w:val="none" w:sz="0" w:space="0" w:color="auto"/>
      </w:divBdr>
    </w:div>
    <w:div w:id="214704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sinplatform.org/sites/default/files/resources/files/IPC_Technical_Manual_3_Final_French.pdf" TargetMode="External"/><Relationship Id="rId21" Type="http://schemas.openxmlformats.org/officeDocument/2006/relationships/footer" Target="footer3.xml"/><Relationship Id="rId42" Type="http://schemas.openxmlformats.org/officeDocument/2006/relationships/hyperlink" Target="https://www.nutritioncluster.net/sites/nutritioncluster.com/files/2021-06/NC_Directives%20pour%20l%27analyse%20des%20besoins%20humanitaires%20en%20matiere%20de%20nutrition_V2_0.pdf" TargetMode="External"/><Relationship Id="rId47" Type="http://schemas.openxmlformats.org/officeDocument/2006/relationships/hyperlink" Target="https://nutritioncluster.net/resources/gnc-handbook-final-gnc-january-2013/" TargetMode="External"/><Relationship Id="rId63" Type="http://schemas.openxmlformats.org/officeDocument/2006/relationships/hyperlink" Target="https://www.thelancet.com/pb/assets/raw/Lancet/stories/series/nutrition-eng.pdf" TargetMode="External"/><Relationship Id="rId68" Type="http://schemas.openxmlformats.org/officeDocument/2006/relationships/hyperlink" Target="https://www.who.int/fr/news-room/fact-sheets/detail/obesity-and-overweight" TargetMode="External"/><Relationship Id="rId16" Type="http://schemas.openxmlformats.org/officeDocument/2006/relationships/header" Target="header1.xml"/><Relationship Id="rId11" Type="http://schemas.openxmlformats.org/officeDocument/2006/relationships/image" Target="media/image1.png"/><Relationship Id="rId24" Type="http://schemas.openxmlformats.org/officeDocument/2006/relationships/hyperlink" Target="https://www.nutritioncluster.net/sites/nutritioncluster.com/files/2021-06/NC_Directives%20pour%20l%27analyse%20des%20besoins%20humanitaires%20en%20matiere%20de%20nutrition_V2_0.pdf" TargetMode="External"/><Relationship Id="rId32" Type="http://schemas.openxmlformats.org/officeDocument/2006/relationships/hyperlink" Target="https://www.ennonline.net/attachments/3128/Ops-G_French_04May2019_WEB.pdf" TargetMode="External"/><Relationship Id="rId37" Type="http://schemas.openxmlformats.org/officeDocument/2006/relationships/hyperlink" Target="https://smartmethodology.org/survey-planning-tools/smart-emergency-nutrition-assessment/" TargetMode="External"/><Relationship Id="rId40" Type="http://schemas.openxmlformats.org/officeDocument/2006/relationships/hyperlink" Target="https://www.nutritioncluster.net/sites/nutritioncluster.com/files/2021-06/NC_Directives%20pour%20l%27analyse%20des%20besoins%20humanitaires%20en%20matiere%20de%20nutrition_V2_0.pdf" TargetMode="External"/><Relationship Id="rId45" Type="http://schemas.openxmlformats.org/officeDocument/2006/relationships/hyperlink" Target="https://www.fantaproject.org/sites/default/files/resources/FANTA-Anthropometry-Guide-May2018.pdf" TargetMode="External"/><Relationship Id="rId53" Type="http://schemas.openxmlformats.org/officeDocument/2006/relationships/hyperlink" Target="https://www.humanitarianresponse.info/en/programme-cycle/space/document/humanitarian-profile-support-guidance" TargetMode="External"/><Relationship Id="rId58" Type="http://schemas.openxmlformats.org/officeDocument/2006/relationships/hyperlink" Target="https://www.ncbi.nlm.nih.gov/pmc/articles/PMC3667136/pdf/pone.0064636.pdf" TargetMode="External"/><Relationship Id="rId66" Type="http://schemas.openxmlformats.org/officeDocument/2006/relationships/hyperlink" Target="https://www.unhcr.org/45fa745b2.pdf" TargetMode="External"/><Relationship Id="rId74" Type="http://schemas.openxmlformats.org/officeDocument/2006/relationships/image" Target="media/image7.png"/><Relationship Id="rId5" Type="http://schemas.openxmlformats.org/officeDocument/2006/relationships/numbering" Target="numbering.xml"/><Relationship Id="rId61" Type="http://schemas.openxmlformats.org/officeDocument/2006/relationships/hyperlink" Target="https://www.spherestandards.org/wp-content/uploads/Le-manuel-Sphe%CC%80re-2018-FR.pdf" TargetMode="External"/><Relationship Id="rId1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https://www.nutritioncluster.net/sites/nutritioncluster.com/files/2021-06/NC_Directives%20pour%20l%27analyse%20des%20besoins%20humanitaires%20en%20matiere%20de%20nutrition_V2_0.pdf" TargetMode="External"/><Relationship Id="rId27" Type="http://schemas.openxmlformats.org/officeDocument/2006/relationships/hyperlink" Target="https://www.who.int/nutrition/team/prevalence-thresholds-wasting-overweight-stunting-children-paper.pdf" TargetMode="External"/><Relationship Id="rId30" Type="http://schemas.openxmlformats.org/officeDocument/2006/relationships/hyperlink" Target="https://www.fsinplatform.org/sites/default/files/resources/files/IPC_Technical_Manual_3_Final_French.pdf" TargetMode="External"/><Relationship Id="rId35" Type="http://schemas.openxmlformats.org/officeDocument/2006/relationships/hyperlink" Target="https://www.nutritioncluster.net/sites/nutritioncluster.com/files/2021-06/NC_Directives%20pour%20l%27analyse%20des%20besoins%20humanitaires%20en%20matiere%20de%20nutrition_V2_0.pdf" TargetMode="External"/><Relationship Id="rId43" Type="http://schemas.openxmlformats.org/officeDocument/2006/relationships/header" Target="header4.xml"/><Relationship Id="rId48" Type="http://schemas.openxmlformats.org/officeDocument/2006/relationships/hyperlink" Target="https://nutritioncluster.net/tips-nutrition-interventions-humanitarian-response-plan/" TargetMode="External"/><Relationship Id="rId56" Type="http://schemas.openxmlformats.org/officeDocument/2006/relationships/hyperlink" Target="https://www.humanitarianresponse.info/sites/www.humanitarianresponse.info/files/documents/files/hpc-stepbystep_v6.pdf" TargetMode="External"/><Relationship Id="rId64" Type="http://schemas.openxmlformats.org/officeDocument/2006/relationships/hyperlink" Target="https://reliefweb.int/sites/reliefweb.int/files/resources/Global%20SAM%20Management%20Update.pdf" TargetMode="External"/><Relationship Id="rId69" Type="http://schemas.openxmlformats.org/officeDocument/2006/relationships/hyperlink" Target="https://www.who.int/fr/news-room/fact-sheets/detail/obesity-and-overweight"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umanitarianresponse.info/sites/www.humanitarianresponse.info/files/documents/files/Operational-Guidance_vFrench_0.pdf" TargetMode="External"/><Relationship Id="rId72" Type="http://schemas.openxmlformats.org/officeDocument/2006/relationships/hyperlink" Target="https://www.humanitarianresponse.info/en/programme-cycle/space/document/humanitarian-profile-support-guidanc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fsinplatform.org/sites/default/files/resources/files/IPC_Technical_Manual_3_Final_French.pdf" TargetMode="External"/><Relationship Id="rId33" Type="http://schemas.openxmlformats.org/officeDocument/2006/relationships/hyperlink" Target="https://www.nutritioncluster.net/sites/nutritioncluster.com/files/2021-06/NC_Directives%20pour%20l%27analyse%20des%20besoins%20humanitaires%20en%20matiere%20de%20nutrition_V2_0.pdf" TargetMode="External"/><Relationship Id="rId38" Type="http://schemas.openxmlformats.org/officeDocument/2006/relationships/hyperlink" Target="https://www.nutritioncluster.net/sites/nutritioncluster.com/files/2021-06/NC_Directives%20pour%20l%27analyse%20des%20besoins%20humanitaires%20en%20matiere%20de%20nutrition_V2_0.pdf" TargetMode="External"/><Relationship Id="rId46" Type="http://schemas.openxmlformats.org/officeDocument/2006/relationships/hyperlink" Target="https://www.fantaproject.org/focus-areas/nutrition-emergencies-mam/cmam-training" TargetMode="External"/><Relationship Id="rId59" Type="http://schemas.openxmlformats.org/officeDocument/2006/relationships/hyperlink" Target="https://www.spherestandards.org/wp-content/uploads/Le-manuel-Sphe%CC%80re-2018-FR.pdf" TargetMode="External"/><Relationship Id="rId67" Type="http://schemas.openxmlformats.org/officeDocument/2006/relationships/hyperlink" Target="https://www.unhcr.org/45fa745b2.pdf" TargetMode="External"/><Relationship Id="rId20" Type="http://schemas.openxmlformats.org/officeDocument/2006/relationships/header" Target="header3.xml"/><Relationship Id="rId41" Type="http://schemas.openxmlformats.org/officeDocument/2006/relationships/hyperlink" Target="https://www.nutritioncluster.net/sites/nutritioncluster.com/files/2021-06/NC_Directives%20pour%20l%27analyse%20des%20besoins%20humanitaires%20en%20matiere%20de%20nutrition_V2_0.pdf" TargetMode="External"/><Relationship Id="rId54" Type="http://schemas.openxmlformats.org/officeDocument/2006/relationships/hyperlink" Target="https://www.fsinplatform.org/sites/default/files/resources/files/IPC_Technical_Manual_3_Final_French.pdf" TargetMode="External"/><Relationship Id="rId62" Type="http://schemas.openxmlformats.org/officeDocument/2006/relationships/hyperlink" Target="https://spherestandards.org/fr/manuel-2018/" TargetMode="External"/><Relationship Id="rId70" Type="http://schemas.openxmlformats.org/officeDocument/2006/relationships/hyperlink" Target="https://www.who.int/nutrition/publications/essential-nutrition-actions-2019/en/"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utritioncluster.net/sites/nutritioncluster.com/files/2021-06/NC_Directives%20pour%20l%27analyse%20des%20besoins%20humanitaires%20en%20matiere%20de%20nutrition_V2_0.pdf" TargetMode="External"/><Relationship Id="rId23" Type="http://schemas.openxmlformats.org/officeDocument/2006/relationships/image" Target="media/image5.png"/><Relationship Id="rId28" Type="http://schemas.openxmlformats.org/officeDocument/2006/relationships/hyperlink" Target="https://www.who.int/nutrition/team/prevalence-thresholds-wasting-overweight-stunting-children-paper.pdf" TargetMode="External"/><Relationship Id="rId36" Type="http://schemas.openxmlformats.org/officeDocument/2006/relationships/hyperlink" Target="https://www.nutritioncluster.net/sites/nutritioncluster.com/files/2021-06/NC_Directives%20pour%20l%27analyse%20des%20besoins%20humanitaires%20en%20matiere%20de%20nutrition_V2_0.pdf" TargetMode="External"/><Relationship Id="rId49" Type="http://schemas.openxmlformats.org/officeDocument/2006/relationships/hyperlink" Target="http://nutritioncluster.net/wp-content/uploads/sites/4/2013/12/Module23OlderPeopleALL.pdf" TargetMode="External"/><Relationship Id="rId57" Type="http://schemas.openxmlformats.org/officeDocument/2006/relationships/hyperlink" Target="https://www.ncbi.nlm.nih.gov/pmc/articles/PMC3667136/pdf/pone.0064636.pdf" TargetMode="External"/><Relationship Id="rId10" Type="http://schemas.openxmlformats.org/officeDocument/2006/relationships/endnotes" Target="endnotes.xml"/><Relationship Id="rId31" Type="http://schemas.openxmlformats.org/officeDocument/2006/relationships/hyperlink" Target="https://www.ennonline.net/attachments/3128/Ops-G_French_04May2019_WEB.pdf" TargetMode="External"/><Relationship Id="rId44" Type="http://schemas.openxmlformats.org/officeDocument/2006/relationships/hyperlink" Target="https://www.nutritioncluster.net/sites/nutritioncluster.com/files/2021-06/NC_Directives%20pour%20l%27analyse%20des%20besoins%20humanitaires%20en%20matiere%20de%20nutrition_V2_0.pdf" TargetMode="External"/><Relationship Id="rId52" Type="http://schemas.openxmlformats.org/officeDocument/2006/relationships/hyperlink" Target="https://www.humanitarianresponse.info/sites/www.humanitarianresponse.info/files/documents/files/20160225_hpc_reference_module.fr__0.pdf" TargetMode="External"/><Relationship Id="rId60" Type="http://schemas.openxmlformats.org/officeDocument/2006/relationships/hyperlink" Target="https://www.spherestandards.org/wp-content/uploads/Le-manuel-Sphe%CC%80re-2018-FR.pdf" TargetMode="External"/><Relationship Id="rId65" Type="http://schemas.openxmlformats.org/officeDocument/2006/relationships/hyperlink" Target="https://apps.who.int/iris/handle/10665/42035" TargetMode="External"/><Relationship Id="rId73" Type="http://schemas.openxmlformats.org/officeDocument/2006/relationships/hyperlink" Target="https://www.humanitarianresponse.info/sites/www.humanitarianresponse.info/files/documents/files/humanitarianprofilesupportguidance_final_may2016.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footer" Target="footer1.xml"/><Relationship Id="rId39" Type="http://schemas.openxmlformats.org/officeDocument/2006/relationships/hyperlink" Target="http://nutritioncluster.net/resources/hrp-tips/" TargetMode="External"/><Relationship Id="rId34" Type="http://schemas.openxmlformats.org/officeDocument/2006/relationships/hyperlink" Target="https://www.nutritioncluster.net/sites/nutritioncluster.com/files/2021-06/NC_Directives%20pour%20l%27analyse%20des%20besoins%20humanitaires%20en%20matiere%20de%20nutrition_V2_0.pdf" TargetMode="External"/><Relationship Id="rId50" Type="http://schemas.openxmlformats.org/officeDocument/2006/relationships/hyperlink" Target="http://nutritioncluster.net/wp-content/uploads/sites/4/2013/12/Module23OlderPeopleALL.pdf" TargetMode="External"/><Relationship Id="rId55" Type="http://schemas.openxmlformats.org/officeDocument/2006/relationships/hyperlink" Target="https://www.fsinplatform.org/sites/default/files/resources/files/IPC_Technical_Manual_3_Final_French.pdf"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6.png"/><Relationship Id="rId2" Type="http://schemas.openxmlformats.org/officeDocument/2006/relationships/customXml" Target="../customXml/item2.xml"/><Relationship Id="rId29" Type="http://schemas.openxmlformats.org/officeDocument/2006/relationships/hyperlink" Target="https://www.humanitarianresponse.info/en/topics/age/document/nutrition-interventions-older-people-emergenc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utritioncluster.net/node/4869" TargetMode="External"/><Relationship Id="rId2" Type="http://schemas.openxmlformats.org/officeDocument/2006/relationships/hyperlink" Target="https://www.fantaproject.org/sites/default/files/resources/FANTA-Anthropometry-Guide-May2018.pdf" TargetMode="External"/><Relationship Id="rId1" Type="http://schemas.openxmlformats.org/officeDocument/2006/relationships/hyperlink" Target="https://www.nutritioncluster.net/node/4869" TargetMode="External"/><Relationship Id="rId5" Type="http://schemas.openxmlformats.org/officeDocument/2006/relationships/hyperlink" Target="https://reliefweb.int/report/world/01-step-step-guide-humanitarian-programme-cycle-2022-may-2021" TargetMode="External"/><Relationship Id="rId4" Type="http://schemas.openxmlformats.org/officeDocument/2006/relationships/hyperlink" Target="https://www.nutritioncluster.net/sites/nutritioncluster.com/files/2021-06/NC_Directives%20pour%20l%27analyse%20des%20besoins%20humanitaires%20en%20matiere%20de%20nutrition_V2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qobati\Desktop\Jan\Style%20Guide\Word\UNICEF%20Design%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3C90B6-4D32-4326-A2B9-C9F3438FCAA5}">
  <ds:schemaRefs>
    <ds:schemaRef ds:uri="http://schemas.microsoft.com/sharepoint/v3/contenttype/forms"/>
  </ds:schemaRefs>
</ds:datastoreItem>
</file>

<file path=customXml/itemProps2.xml><?xml version="1.0" encoding="utf-8"?>
<ds:datastoreItem xmlns:ds="http://schemas.openxmlformats.org/officeDocument/2006/customXml" ds:itemID="{A0C66067-42F0-4F12-A579-8FE9078955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BDF4FD-57DA-4E60-8AEC-F0FC6AC3E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6BFE3-CB49-E74A-A528-AD654240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UNICEF Design Template Portrait</Template>
  <TotalTime>4</TotalTime>
  <Pages>21</Pages>
  <Words>9210</Words>
  <Characters>46696</Characters>
  <Application>Microsoft Office Word</Application>
  <DocSecurity>0</DocSecurity>
  <Lines>696</Lines>
  <Paragraphs>207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Danka Pantchova</cp:lastModifiedBy>
  <cp:revision>3</cp:revision>
  <cp:lastPrinted>2021-09-03T10:43:00Z</cp:lastPrinted>
  <dcterms:created xsi:type="dcterms:W3CDTF">2021-12-22T11:03:00Z</dcterms:created>
  <dcterms:modified xsi:type="dcterms:W3CDTF">2021-12-22T11:07:00Z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y fmtid="{D5CDD505-2E9C-101B-9397-08002B2CF9AE}" pid="3" name="OfficeDivision">
    <vt:lpwstr>3;#Office of Emergency Prog.-456F|98de697e-6403-48a0-9bce-654c90399d04</vt:lpwstr>
  </property>
  <property fmtid="{D5CDD505-2E9C-101B-9397-08002B2CF9AE}" pid="4" name="_dlc_DocIdItemGuid">
    <vt:lpwstr>44349839-c9ee-4b29-8670-15290aa08a6e</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