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83D54" w14:textId="01507670" w:rsidR="00180B0C" w:rsidRPr="004E35D4" w:rsidRDefault="00180B0C" w:rsidP="008E4927">
      <w:pPr>
        <w:pStyle w:val="Title"/>
        <w:rPr>
          <w:color w:val="4472C4" w:themeColor="accent1"/>
          <w:sz w:val="32"/>
          <w:rFonts w:asciiTheme="minorHAnsi" w:hAnsiTheme="minorHAnsi" w:cstheme="minorHAnsi"/>
        </w:rPr>
      </w:pPr>
      <w:r>
        <w:rPr>
          <w:color w:val="4472C4" w:themeColor="accent1"/>
          <w:sz w:val="32"/>
          <w:rFonts w:asciiTheme="minorHAnsi" w:hAnsiTheme="minorHAnsi"/>
        </w:rPr>
        <w:t xml:space="preserve">MARCO DE COMPETENCIAS DE TUTORÍA</w:t>
      </w:r>
    </w:p>
    <w:tbl>
      <w:tblPr>
        <w:tblStyle w:val="TableGrid"/>
        <w:tblpPr w:leftFromText="180" w:rightFromText="180" w:vertAnchor="page" w:horzAnchor="margin" w:tblpY="3438"/>
        <w:tblW w:w="0" w:type="auto"/>
        <w:tblLook w:val="04A0" w:firstRow="1" w:lastRow="0" w:firstColumn="1" w:lastColumn="0" w:noHBand="0" w:noVBand="1"/>
      </w:tblPr>
      <w:tblGrid>
        <w:gridCol w:w="3713"/>
        <w:gridCol w:w="945"/>
        <w:gridCol w:w="5078"/>
      </w:tblGrid>
      <w:tr w:rsidR="00180B0C" w:rsidRPr="004E35D4" w14:paraId="580E147E" w14:textId="77777777" w:rsidTr="003779FD">
        <w:tc>
          <w:tcPr>
            <w:tcW w:w="3713" w:type="dxa"/>
          </w:tcPr>
          <w:p w14:paraId="42D5C7A9" w14:textId="77777777" w:rsidR="00180B0C" w:rsidRPr="004E35D4" w:rsidRDefault="00180B0C" w:rsidP="003779FD">
            <w:pPr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Competencia:</w:t>
            </w:r>
            <w:r>
              <w:rPr>
                <w:b/>
                <w:sz w:val="22"/>
                <w:rFonts w:asciiTheme="minorHAnsi" w:hAnsiTheme="minorHAnsi"/>
              </w:rPr>
              <w:t xml:space="preserve"> </w:t>
            </w:r>
          </w:p>
          <w:p w14:paraId="1E5979E2" w14:textId="77777777" w:rsidR="00180B0C" w:rsidRPr="004E35D4" w:rsidRDefault="00180B0C" w:rsidP="003779FD">
            <w:pPr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En una relación de tutoría, podría...</w:t>
            </w:r>
          </w:p>
          <w:p w14:paraId="69A5A49F" w14:textId="77777777" w:rsidR="00180B0C" w:rsidRPr="004E35D4" w:rsidRDefault="00180B0C" w:rsidP="003779F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45" w:type="dxa"/>
          </w:tcPr>
          <w:p w14:paraId="12A95995" w14:textId="77777777" w:rsidR="00180B0C" w:rsidRPr="004E35D4" w:rsidRDefault="00180B0C" w:rsidP="003779FD">
            <w:pPr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Nivel</w:t>
            </w:r>
            <w:r>
              <w:rPr>
                <w:b/>
                <w:sz w:val="22"/>
                <w:rFonts w:asciiTheme="minorHAnsi" w:hAnsiTheme="minorHAnsi"/>
              </w:rPr>
              <w:t xml:space="preserve"> </w:t>
            </w:r>
          </w:p>
          <w:p w14:paraId="05DE593D" w14:textId="77777777" w:rsidR="00180B0C" w:rsidRPr="004E35D4" w:rsidRDefault="00180B0C" w:rsidP="003779FD">
            <w:pPr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(1-4)*</w:t>
            </w:r>
          </w:p>
        </w:tc>
        <w:tc>
          <w:tcPr>
            <w:tcW w:w="5078" w:type="dxa"/>
          </w:tcPr>
          <w:p w14:paraId="3E121DCD" w14:textId="77777777" w:rsidR="00180B0C" w:rsidRPr="004E35D4" w:rsidRDefault="00180B0C" w:rsidP="003779FD">
            <w:pPr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¿Qué puedo hacer para reforzar esta competencia?</w:t>
            </w:r>
          </w:p>
        </w:tc>
      </w:tr>
      <w:tr w:rsidR="00180B0C" w:rsidRPr="004E35D4" w14:paraId="62803594" w14:textId="77777777" w:rsidTr="003779FD">
        <w:tc>
          <w:tcPr>
            <w:tcW w:w="3713" w:type="dxa"/>
            <w:vAlign w:val="center"/>
          </w:tcPr>
          <w:p w14:paraId="2F350981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Escuchar de forma activa para obtener información y comprender cuál es el desempeño de la persona en relación con las competencias del CCN o IMO.</w:t>
            </w:r>
          </w:p>
          <w:p w14:paraId="20BA6AA3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2A99C1B6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67A93C6E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44DF34FB" w14:textId="77777777" w:rsidTr="003779FD">
        <w:tc>
          <w:tcPr>
            <w:tcW w:w="3713" w:type="dxa"/>
            <w:vAlign w:val="center"/>
          </w:tcPr>
          <w:p w14:paraId="6B946500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Evaluar el desempeño de la persona en relación con los niveles deseados o requeridos.</w:t>
            </w:r>
          </w:p>
          <w:p w14:paraId="36F3A2F8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14:paraId="3BBFC236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468A5B59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3802358A" w14:textId="77777777" w:rsidTr="003779FD">
        <w:tc>
          <w:tcPr>
            <w:tcW w:w="3713" w:type="dxa"/>
            <w:vAlign w:val="center"/>
          </w:tcPr>
          <w:p w14:paraId="42005E3F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Compartir experiencias y recursos relevantes y hacer hincapié en los puntos de aprendizaje clave que se aplican a la persona.</w:t>
            </w:r>
          </w:p>
          <w:p w14:paraId="232C614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89D3BE1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430F2B70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7069F207" w14:textId="77777777" w:rsidTr="003779FD">
        <w:tc>
          <w:tcPr>
            <w:tcW w:w="3713" w:type="dxa"/>
            <w:vAlign w:val="center"/>
          </w:tcPr>
          <w:p w14:paraId="47CCBE68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Identificar y recomendar posibles acciones para abordar problemas de desempeño ya identificados.</w:t>
            </w:r>
          </w:p>
          <w:p w14:paraId="14B17C5E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7FCDAC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3A6283E0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764F5CDC" w14:textId="77777777" w:rsidTr="003779FD">
        <w:tc>
          <w:tcPr>
            <w:tcW w:w="3713" w:type="dxa"/>
            <w:vAlign w:val="center"/>
          </w:tcPr>
          <w:p w14:paraId="2B76E597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Inspirar al tutorizado para que ponga en práctica las acciones acordadas.</w:t>
            </w:r>
          </w:p>
          <w:p w14:paraId="0B528CD4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F152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5CFB5AA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31D292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41CFC663" w14:textId="77777777" w:rsidTr="003779FD">
        <w:tc>
          <w:tcPr>
            <w:tcW w:w="3713" w:type="dxa"/>
            <w:vAlign w:val="center"/>
          </w:tcPr>
          <w:p w14:paraId="5DAA5D3B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Motivar la reflexión personal.</w:t>
            </w:r>
          </w:p>
          <w:p w14:paraId="6BC77D44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1D9BE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0DF3C79D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5C3D96D1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0B0C" w:rsidRPr="004E35D4" w14:paraId="5ED49763" w14:textId="77777777" w:rsidTr="003779FD">
        <w:trPr>
          <w:trHeight w:val="262"/>
        </w:trPr>
        <w:tc>
          <w:tcPr>
            <w:tcW w:w="3713" w:type="dxa"/>
            <w:vAlign w:val="center"/>
          </w:tcPr>
          <w:p w14:paraId="5AFAA479" w14:textId="77777777" w:rsidR="00180B0C" w:rsidRPr="004E35D4" w:rsidRDefault="00180B0C" w:rsidP="003779FD">
            <w:pPr>
              <w:rPr>
                <w:color w:val="000000"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color w:val="000000"/>
                <w:sz w:val="22"/>
                <w:rFonts w:asciiTheme="minorHAnsi" w:hAnsiTheme="minorHAnsi"/>
              </w:rPr>
              <w:t xml:space="preserve">Evaluar el progreso con la persona.</w:t>
            </w:r>
          </w:p>
          <w:p w14:paraId="5C848DFF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44859E2" w14:textId="77777777" w:rsidR="00180B0C" w:rsidRPr="004E35D4" w:rsidRDefault="00180B0C" w:rsidP="003779FD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</w:tcPr>
          <w:p w14:paraId="46AD22AB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7B17E5B7" w14:textId="77777777" w:rsidR="00180B0C" w:rsidRPr="004E35D4" w:rsidRDefault="00180B0C" w:rsidP="003779F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C09F30" w14:textId="77777777" w:rsidR="00180B0C" w:rsidRPr="004E35D4" w:rsidRDefault="00180B0C" w:rsidP="00180B0C">
      <w:pPr>
        <w:rPr>
          <w:rFonts w:cstheme="minorHAnsi"/>
        </w:rPr>
      </w:pPr>
      <w:r>
        <w:t xml:space="preserve"> </w:t>
      </w:r>
      <w:r>
        <w:t xml:space="preserve">Debe evaluarse en relación con cada una de las competencias de las tutorías utilizando los niveles descritos en la página siguiente.</w:t>
      </w:r>
      <w:r>
        <w:t xml:space="preserve"> </w:t>
      </w:r>
      <w:r>
        <w:t xml:space="preserve">Si se ha valorado en alguna competencia con un 1:</w:t>
      </w:r>
      <w:r>
        <w:t xml:space="preserve"> </w:t>
      </w:r>
      <w:r>
        <w:t xml:space="preserve">Informado, o con un 2:</w:t>
      </w:r>
      <w:r>
        <w:t xml:space="preserve"> </w:t>
      </w:r>
      <w:r>
        <w:t xml:space="preserve">Competente, indique qué podría hacer para mejorar su nivel.</w:t>
      </w:r>
    </w:p>
    <w:p w14:paraId="24A7AF55" w14:textId="77777777" w:rsidR="00180B0C" w:rsidRPr="004E35D4" w:rsidRDefault="00180B0C" w:rsidP="00180B0C">
      <w:pPr>
        <w:rPr>
          <w:rFonts w:cstheme="minorHAnsi"/>
          <w:sz w:val="22"/>
          <w:szCs w:val="22"/>
        </w:rPr>
      </w:pPr>
    </w:p>
    <w:p w14:paraId="4FFE20E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634018C6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2D03573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436D444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67A205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4638DD77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0E94E8F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01B8F657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  <w:sectPr w:rsidR="00180B0C" w:rsidRPr="004E35D4" w:rsidSect="00180B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FCF0F18" w14:textId="77777777" w:rsidR="00180B0C" w:rsidRPr="004E35D4" w:rsidRDefault="00180B0C" w:rsidP="00180B0C">
      <w:pPr>
        <w:pStyle w:val="Title"/>
        <w:jc w:val="left"/>
        <w:rPr>
          <w:color w:val="4472C4" w:themeColor="accent1"/>
          <w:sz w:val="32"/>
          <w:rFonts w:asciiTheme="minorHAnsi" w:hAnsiTheme="minorHAnsi" w:cstheme="minorHAnsi"/>
        </w:rPr>
      </w:pPr>
      <w:r>
        <w:rPr>
          <w:color w:val="4472C4" w:themeColor="accent1"/>
          <w:sz w:val="32"/>
          <w:rFonts w:asciiTheme="minorHAnsi" w:hAnsiTheme="minorHAnsi"/>
        </w:rPr>
        <w:t xml:space="preserve">DEFINICIONES DE LOS NIVELES DE COMPETENCIA</w:t>
      </w:r>
    </w:p>
    <w:p w14:paraId="3582DAFF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</w:p>
    <w:p w14:paraId="781839DB" w14:textId="77777777" w:rsidR="00180B0C" w:rsidRPr="004E35D4" w:rsidRDefault="00180B0C" w:rsidP="00180B0C">
      <w:pPr>
        <w:spacing w:before="120" w:after="160" w:line="259" w:lineRule="auto"/>
        <w:rPr>
          <w:b/>
          <w:sz w:val="22"/>
          <w:szCs w:val="22"/>
          <w:rFonts w:cstheme="minorHAnsi"/>
        </w:rPr>
      </w:pPr>
      <w:r>
        <w:rPr>
          <w:b/>
          <w:sz w:val="22"/>
        </w:rPr>
        <w:t xml:space="preserve">4.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Experto</w:t>
      </w:r>
    </w:p>
    <w:p w14:paraId="547082DD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Posee una experiencia amplia y profunda adquirida a través de la práctica y la formación.</w:t>
      </w:r>
    </w:p>
    <w:p w14:paraId="7B593F4F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Utiliza la competencia de forma constante y en su máxima expresión en una serie de funciones, organizaciones y situaciones, y a todos los niveles, también en situaciones que suponen retos.</w:t>
      </w:r>
    </w:p>
    <w:p w14:paraId="29DEB08A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Tiene la capacidad de recuperar y utilizar aspectos importantes de sus conocimientos/habilidades/técnicas sin gran esfuerzo.</w:t>
      </w:r>
    </w:p>
    <w:p w14:paraId="5F2754E7" w14:textId="77777777" w:rsidR="00180B0C" w:rsidRPr="004E35D4" w:rsidRDefault="00180B0C" w:rsidP="00180B0C">
      <w:pPr>
        <w:numPr>
          <w:ilvl w:val="0"/>
          <w:numId w:val="1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Es capaz de orientar y contribuir al desarrollo de los demás para que puedan alcanzar niveles especializados y ofrecer apoyo como compañero a otros expertos.</w:t>
      </w:r>
    </w:p>
    <w:p w14:paraId="02F119A8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7671FF8B" w14:textId="77777777" w:rsidR="00180B0C" w:rsidRPr="004E35D4" w:rsidRDefault="00180B0C" w:rsidP="00180B0C">
      <w:pPr>
        <w:spacing w:before="120" w:after="160" w:line="259" w:lineRule="auto"/>
        <w:rPr>
          <w:b/>
          <w:sz w:val="22"/>
          <w:szCs w:val="22"/>
          <w:rFonts w:cstheme="minorHAnsi"/>
        </w:rPr>
      </w:pPr>
      <w:r>
        <w:rPr>
          <w:b/>
          <w:sz w:val="22"/>
        </w:rPr>
        <w:t xml:space="preserve">3.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Cualificado</w:t>
      </w:r>
    </w:p>
    <w:p w14:paraId="0E657C93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Posee amplios conocimientos sobre una competencia adquiridos a través de la práctica y la formación.</w:t>
      </w:r>
    </w:p>
    <w:p w14:paraId="6668CE5E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Ha aplicado la competencia en profundidad en una o dos áreas clave.</w:t>
      </w:r>
      <w:r>
        <w:rPr>
          <w:sz w:val="22"/>
        </w:rPr>
        <w:t xml:space="preserve">  </w:t>
      </w:r>
    </w:p>
    <w:p w14:paraId="5DC1EA7A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Aplica la competencia de forma constante en una serie de funciones y a la mayoría de niveles dentro de la organización para generar los resultados deseados.</w:t>
      </w:r>
    </w:p>
    <w:p w14:paraId="734D2D99" w14:textId="77777777" w:rsidR="00180B0C" w:rsidRPr="004E35D4" w:rsidRDefault="00180B0C" w:rsidP="00180B0C">
      <w:pPr>
        <w:numPr>
          <w:ilvl w:val="0"/>
          <w:numId w:val="2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Es capaz de orientar y contribuir al desarrollo de los demás para alcanzar un nivel competente.</w:t>
      </w:r>
    </w:p>
    <w:p w14:paraId="72DB3A45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5F57544A" w14:textId="77777777" w:rsidR="00180B0C" w:rsidRPr="004E35D4" w:rsidRDefault="00180B0C" w:rsidP="00180B0C">
      <w:pPr>
        <w:spacing w:before="120" w:after="160" w:line="259" w:lineRule="auto"/>
        <w:rPr>
          <w:b/>
          <w:sz w:val="22"/>
          <w:szCs w:val="22"/>
          <w:rFonts w:cstheme="minorHAnsi"/>
        </w:rPr>
      </w:pPr>
      <w:r>
        <w:rPr>
          <w:b/>
          <w:sz w:val="22"/>
        </w:rPr>
        <w:t xml:space="preserve">2.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Competente</w:t>
      </w:r>
    </w:p>
    <w:p w14:paraId="34497207" w14:textId="77777777" w:rsidR="00180B0C" w:rsidRPr="004E35D4" w:rsidRDefault="00180B0C" w:rsidP="00180B0C">
      <w:pPr>
        <w:numPr>
          <w:ilvl w:val="0"/>
          <w:numId w:val="3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Posee buenos conocimientos prácticos sobre la competencia obtenidos a través de formaciones apropiadas o convenientes y de su uso habitual.</w:t>
      </w:r>
    </w:p>
    <w:p w14:paraId="00A8338A" w14:textId="77777777" w:rsidR="00180B0C" w:rsidRPr="004E35D4" w:rsidRDefault="00180B0C" w:rsidP="00180B0C">
      <w:pPr>
        <w:numPr>
          <w:ilvl w:val="0"/>
          <w:numId w:val="3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Es capaz o eficaz al aplicar la competencia de forma constante, y demuestra un uso adecuado y oportuno de la competencia para resolver o abordar distintas situaciones de trabajo dentro de su área de responsabilidad.</w:t>
      </w:r>
    </w:p>
    <w:p w14:paraId="4FCDE310" w14:textId="77777777" w:rsidR="00180B0C" w:rsidRPr="004E35D4" w:rsidRDefault="00180B0C" w:rsidP="00180B0C">
      <w:pPr>
        <w:spacing w:before="120" w:after="160" w:line="259" w:lineRule="auto"/>
        <w:rPr>
          <w:rFonts w:cstheme="minorHAnsi"/>
          <w:b/>
          <w:sz w:val="22"/>
          <w:szCs w:val="22"/>
        </w:rPr>
      </w:pPr>
    </w:p>
    <w:p w14:paraId="288CC3EB" w14:textId="77777777" w:rsidR="00180B0C" w:rsidRPr="004E35D4" w:rsidRDefault="00180B0C" w:rsidP="00180B0C">
      <w:pPr>
        <w:spacing w:before="120" w:after="160" w:line="259" w:lineRule="auto"/>
        <w:rPr>
          <w:b/>
          <w:sz w:val="22"/>
          <w:szCs w:val="22"/>
          <w:rFonts w:cstheme="minorHAnsi"/>
        </w:rPr>
      </w:pPr>
      <w:r>
        <w:rPr>
          <w:b/>
          <w:sz w:val="22"/>
        </w:rPr>
        <w:t xml:space="preserve">1.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Informado</w:t>
      </w:r>
    </w:p>
    <w:p w14:paraId="3B44CAEA" w14:textId="77777777" w:rsidR="00180B0C" w:rsidRPr="004E35D4" w:rsidRDefault="00180B0C" w:rsidP="00180B0C">
      <w:pPr>
        <w:numPr>
          <w:ilvl w:val="0"/>
          <w:numId w:val="4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Posee una experiencia o conocimientos prácticos limitados sobre la competencia, obtenidos a través de formaciones introductorias básicas o un número limitado de proyectos.</w:t>
      </w:r>
    </w:p>
    <w:p w14:paraId="592943DB" w14:textId="77777777" w:rsidR="00180B0C" w:rsidRPr="004E35D4" w:rsidRDefault="00180B0C" w:rsidP="00180B0C">
      <w:pPr>
        <w:numPr>
          <w:ilvl w:val="0"/>
          <w:numId w:val="4"/>
        </w:numPr>
        <w:spacing w:before="120" w:after="160" w:line="259" w:lineRule="auto"/>
        <w:rPr>
          <w:sz w:val="22"/>
          <w:szCs w:val="22"/>
          <w:rFonts w:cstheme="minorHAnsi"/>
        </w:rPr>
      </w:pPr>
      <w:r>
        <w:rPr>
          <w:sz w:val="22"/>
        </w:rPr>
        <w:t xml:space="preserve">Posee un conocimiento suficiente de la competencia que le permite ponerla en práctica con limitaciones, por lo que es posible que requiera ayuda u orientación.</w:t>
      </w:r>
    </w:p>
    <w:p w14:paraId="1F1D0206" w14:textId="77777777" w:rsidR="00180B0C" w:rsidRPr="004E35D4" w:rsidRDefault="00180B0C" w:rsidP="00180B0C">
      <w:pPr>
        <w:spacing w:before="120" w:after="160" w:line="259" w:lineRule="auto"/>
        <w:rPr>
          <w:rFonts w:cstheme="minorHAnsi"/>
          <w:sz w:val="22"/>
          <w:szCs w:val="22"/>
        </w:rPr>
      </w:pPr>
    </w:p>
    <w:p w14:paraId="6A85C944" w14:textId="024C1242" w:rsidR="00EB0CE7" w:rsidRPr="00180B0C" w:rsidRDefault="00623097">
      <w:pPr>
        <w:rPr>
          <w:rFonts w:cstheme="minorHAnsi"/>
          <w:sz w:val="22"/>
          <w:szCs w:val="22"/>
        </w:rPr>
      </w:pPr>
    </w:p>
    <w:sectPr w:rsidR="00EB0CE7" w:rsidRPr="00180B0C" w:rsidSect="00BA6C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77C5A" w14:textId="77777777" w:rsidR="00623097" w:rsidRDefault="00623097">
      <w:r>
        <w:separator/>
      </w:r>
    </w:p>
  </w:endnote>
  <w:endnote w:type="continuationSeparator" w:id="0">
    <w:p w14:paraId="135830A8" w14:textId="77777777" w:rsidR="00623097" w:rsidRDefault="0062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7A7B5" w14:textId="77777777" w:rsidR="008E4927" w:rsidRDefault="008E49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61921" w14:textId="77777777" w:rsidR="00EF1B8A" w:rsidRPr="00136CFD" w:rsidRDefault="00180B0C">
    <w:pPr>
      <w:pStyle w:val="Footer"/>
      <w:rPr>
        <w:color w:val="808080" w:themeColor="background1" w:themeShade="80"/>
        <w:sz w:val="18"/>
        <w:rFonts w:asciiTheme="minorHAnsi" w:hAnsiTheme="minorHAnsi" w:cstheme="minorHAnsi"/>
      </w:rPr>
    </w:pPr>
    <w:r>
      <w:rPr>
        <w:color w:val="808080" w:themeColor="background1" w:themeShade="80"/>
        <w:sz w:val="18"/>
        <w:rFonts w:asciiTheme="minorHAnsi" w:hAnsiTheme="minorHAnsi"/>
      </w:rPr>
      <w:tab/>
    </w:r>
    <w:r>
      <w:rPr>
        <w:color w:val="808080" w:themeColor="background1" w:themeShade="80"/>
        <w:sz w:val="18"/>
        <w:rFonts w:asciiTheme="minorHAnsi" w:hAnsiTheme="minorHAnsi"/>
      </w:rPr>
      <w:t xml:space="preserve">Página </w: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begin"/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instrText xml:space="preserve"> PAGE  \* Arabic  \* MERGEFORMAT </w:instrTex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separate"/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t>27</w: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end"/>
    </w:r>
    <w:r>
      <w:rPr>
        <w:color w:val="808080" w:themeColor="background1" w:themeShade="80"/>
        <w:sz w:val="18"/>
        <w:rFonts w:asciiTheme="minorHAnsi" w:hAnsiTheme="minorHAnsi"/>
      </w:rPr>
      <w:t xml:space="preserve"> de </w: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begin" w:dirty="true"/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instrText xml:space="preserve"> NUMPAGES  \* Arabic  \* MERGEFORMAT </w:instrTex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separate"/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t>28</w:t>
    </w:r>
    <w:r w:rsidRPr="00136CFD">
      <w:rPr>
        <w:color w:val="808080" w:themeColor="background1" w:themeShade="80"/>
        <w:sz w:val="18"/>
        <w:rFonts w:asciiTheme="minorHAnsi" w:hAnsiTheme="minorHAnsi"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473EE" w14:textId="77777777" w:rsidR="008E4927" w:rsidRDefault="008E49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2BF27" w14:textId="77777777" w:rsidR="00623097" w:rsidRDefault="00623097">
      <w:r>
        <w:separator/>
      </w:r>
    </w:p>
  </w:footnote>
  <w:footnote w:type="continuationSeparator" w:id="0">
    <w:p w14:paraId="2C8DF47E" w14:textId="77777777" w:rsidR="00623097" w:rsidRDefault="00623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91CF6" w14:textId="77777777" w:rsidR="008E4927" w:rsidRDefault="008E49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99809" w14:textId="0FA99A6E" w:rsidR="008E4927" w:rsidRPr="008E4927" w:rsidRDefault="008E4927" w:rsidP="008E4927">
    <w:pPr>
      <w:pStyle w:val="Title"/>
      <w:jc w:val="left"/>
      <w:rPr>
        <w:color w:val="000000" w:themeColor="text1"/>
        <w:sz w:val="32"/>
        <w:szCs w:val="32"/>
        <w:rFonts w:ascii="Century Gothic" w:hAnsi="Century Gothic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0C089F15" wp14:editId="31E56B7D">
          <wp:simplePos x="0" y="0"/>
          <wp:positionH relativeFrom="margin">
            <wp:posOffset>-556986</wp:posOffset>
          </wp:positionH>
          <wp:positionV relativeFrom="paragraph">
            <wp:posOffset>-398689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70C0"/>
        <w:sz w:val="52"/>
      </w:rPr>
      <w:t xml:space="preserve">        Clúster Global de Nutrición</w:t>
    </w:r>
  </w:p>
  <w:p w14:paraId="4F1AAB81" w14:textId="0FF06066" w:rsidR="00EF1B8A" w:rsidRPr="008E4927" w:rsidRDefault="008E4927" w:rsidP="008E4927">
    <w:pPr>
      <w:pStyle w:val="Title"/>
      <w:jc w:val="both"/>
      <w:rPr>
        <w:b/>
        <w:color w:val="2F5496" w:themeColor="accent1" w:themeShade="BF"/>
        <w:sz w:val="32"/>
        <w:szCs w:val="32"/>
        <w:rFonts w:ascii="Century Gothic" w:hAnsi="Century Gothic"/>
      </w:rPr>
    </w:pPr>
    <w:r>
      <w:rPr>
        <w:b/>
        <w:color w:val="2F5496" w:themeColor="accent1" w:themeShade="BF"/>
        <w:sz w:val="32"/>
        <w:rFonts w:ascii="Century Gothic" w:hAnsi="Century Gothic"/>
      </w:rPr>
      <w:t xml:space="preserve">                              </w:t>
    </w:r>
    <w:r>
      <w:rPr>
        <w:b/>
        <w:color w:val="2F5496" w:themeColor="accent1" w:themeShade="BF"/>
        <w:sz w:val="32"/>
        <w:rFonts w:ascii="Century Gothic" w:hAnsi="Century Gothic"/>
      </w:rPr>
      <w:t xml:space="preserve">Programa de tutoría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32BDC" w14:textId="77777777" w:rsidR="008E4927" w:rsidRDefault="008E49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B141D"/>
    <w:multiLevelType w:val="hybridMultilevel"/>
    <w:tmpl w:val="8B220EE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45C833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53F5F"/>
    <w:multiLevelType w:val="hybridMultilevel"/>
    <w:tmpl w:val="B964A2E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E614B"/>
    <w:multiLevelType w:val="hybridMultilevel"/>
    <w:tmpl w:val="85022E2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dirty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0C"/>
    <w:rsid w:val="00100401"/>
    <w:rsid w:val="00180B0C"/>
    <w:rsid w:val="002552F9"/>
    <w:rsid w:val="00462415"/>
    <w:rsid w:val="005871D3"/>
    <w:rsid w:val="005F1D84"/>
    <w:rsid w:val="00623097"/>
    <w:rsid w:val="00806B47"/>
    <w:rsid w:val="008E4927"/>
    <w:rsid w:val="00901331"/>
    <w:rsid w:val="009F391B"/>
    <w:rsid w:val="00A54E71"/>
    <w:rsid w:val="00BA6C76"/>
    <w:rsid w:val="00BD6F03"/>
    <w:rsid w:val="00F33F17"/>
    <w:rsid w:val="00F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AB8D6"/>
  <w14:defaultImageDpi w14:val="32767"/>
  <w15:chartTrackingRefBased/>
  <w15:docId w15:val="{FE6AEFBB-54E5-4847-A1C7-E5BBAEE1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B0C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180B0C"/>
    <w:pPr>
      <w:spacing w:after="240"/>
      <w:contextualSpacing/>
      <w:jc w:val="center"/>
    </w:pPr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180B0C"/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20" Type="http://schemas.openxmlformats.org/officeDocument/2006/relationships/customXml" Target="../customXml/item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EMOPSGCCU-1435067120-37962</_dlc_DocId>
    <_dlc_DocIdUrl xmlns="5858627f-d058-4b92-9b52-677b5fd7d454">
      <Url>https://unicef.sharepoint.com/teams/EMOPS-GCCU/_layouts/15/DocIdRedir.aspx?ID=EMOPSGCCU-1435067120-37962</Url>
      <Description>EMOPSGCCU-1435067120-37962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39EC3A3-70AC-41C9-8F42-B27179EEF85A}"/>
</file>

<file path=customXml/itemProps2.xml><?xml version="1.0" encoding="utf-8"?>
<ds:datastoreItem xmlns:ds="http://schemas.openxmlformats.org/officeDocument/2006/customXml" ds:itemID="{012A2322-557D-4504-A175-8D00B41F997C}"/>
</file>

<file path=customXml/itemProps3.xml><?xml version="1.0" encoding="utf-8"?>
<ds:datastoreItem xmlns:ds="http://schemas.openxmlformats.org/officeDocument/2006/customXml" ds:itemID="{702A9C87-17AB-43BB-BBA8-457A027EE0B6}"/>
</file>

<file path=customXml/itemProps4.xml><?xml version="1.0" encoding="utf-8"?>
<ds:datastoreItem xmlns:ds="http://schemas.openxmlformats.org/officeDocument/2006/customXml" ds:itemID="{9F1D092B-A5DE-4130-829B-D347E164262F}"/>
</file>

<file path=customXml/itemProps5.xml><?xml version="1.0" encoding="utf-8"?>
<ds:datastoreItem xmlns:ds="http://schemas.openxmlformats.org/officeDocument/2006/customXml" ds:itemID="{91D3B90C-FAE8-423F-A3AC-14C36CB23709}"/>
</file>

<file path=customXml/itemProps6.xml><?xml version="1.0" encoding="utf-8"?>
<ds:datastoreItem xmlns:ds="http://schemas.openxmlformats.org/officeDocument/2006/customXml" ds:itemID="{E744C4EF-637F-4133-B367-C33A0DAF36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2019-06-28T13:38:00Z</dcterms:created>
  <dcterms:modified xsi:type="dcterms:W3CDTF">2019-06-28T14:04:00Z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495d1241-bb59-408c-bf26-da6faa679656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