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9DFA" w14:textId="77777777" w:rsidR="005972E2" w:rsidRDefault="005972E2" w:rsidP="005972E2">
      <w:pPr>
        <w:pStyle w:val="Heading1"/>
        <w:spacing w:before="0" w:line="240" w:lineRule="auto"/>
        <w:jc w:val="center"/>
        <w:rPr>
          <w:b/>
          <w:color w:val="9BBB59" w:themeColor="accent3"/>
        </w:rPr>
      </w:pPr>
      <w:bookmarkStart w:id="0" w:name="_GoBack"/>
      <w:bookmarkEnd w:id="0"/>
    </w:p>
    <w:p w14:paraId="4D56FDC9" w14:textId="556D9FD5" w:rsidR="003E28BC" w:rsidRDefault="005972E2" w:rsidP="005972E2">
      <w:pPr>
        <w:pStyle w:val="Heading1"/>
        <w:spacing w:before="0" w:line="240" w:lineRule="auto"/>
        <w:jc w:val="center"/>
        <w:rPr>
          <w:b/>
          <w:color w:val="9BBB59" w:themeColor="accent3"/>
        </w:rPr>
      </w:pPr>
      <w:r>
        <w:rPr>
          <w:b/>
          <w:color w:val="9BBB59" w:themeColor="accent3"/>
        </w:rPr>
        <w:t xml:space="preserve">Nutrition </w:t>
      </w:r>
      <w:r w:rsidR="00AE2977">
        <w:rPr>
          <w:b/>
          <w:color w:val="9BBB59" w:themeColor="accent3"/>
        </w:rPr>
        <w:t>in Emergencies C</w:t>
      </w:r>
      <w:r w:rsidR="001D57CE" w:rsidRPr="001A693E">
        <w:rPr>
          <w:b/>
          <w:color w:val="9BBB59" w:themeColor="accent3"/>
        </w:rPr>
        <w:t xml:space="preserve">hecklist for </w:t>
      </w:r>
      <w:r w:rsidR="00AE2977">
        <w:rPr>
          <w:b/>
          <w:color w:val="9BBB59" w:themeColor="accent3"/>
        </w:rPr>
        <w:t xml:space="preserve">the </w:t>
      </w:r>
      <w:r w:rsidR="00637E98" w:rsidRPr="001A693E">
        <w:rPr>
          <w:b/>
          <w:color w:val="9BBB59" w:themeColor="accent3"/>
        </w:rPr>
        <w:t>Nutrition Cluster</w:t>
      </w:r>
    </w:p>
    <w:p w14:paraId="69F74687" w14:textId="2081C16B" w:rsidR="00AE2977" w:rsidRPr="0097103D" w:rsidRDefault="001B78FE" w:rsidP="005972E2">
      <w:pPr>
        <w:pStyle w:val="Heading1"/>
        <w:spacing w:before="0" w:line="240" w:lineRule="auto"/>
        <w:jc w:val="center"/>
        <w:rPr>
          <w:b/>
          <w:color w:val="E36C0A" w:themeColor="accent6" w:themeShade="BF"/>
        </w:rPr>
      </w:pPr>
      <w:r>
        <w:rPr>
          <w:b/>
          <w:color w:val="E36C0A" w:themeColor="accent6" w:themeShade="BF"/>
        </w:rPr>
        <w:t xml:space="preserve">Part III: </w:t>
      </w:r>
      <w:r w:rsidR="00AE2977" w:rsidRPr="0097103D">
        <w:rPr>
          <w:b/>
          <w:color w:val="E36C0A" w:themeColor="accent6" w:themeShade="BF"/>
        </w:rPr>
        <w:t>Nutrition Information System (NIS)</w:t>
      </w:r>
    </w:p>
    <w:p w14:paraId="5B697C78" w14:textId="77777777" w:rsidR="005E5EC1" w:rsidRDefault="005E5EC1" w:rsidP="00A8691B">
      <w:pPr>
        <w:pStyle w:val="Footer"/>
        <w:jc w:val="both"/>
        <w:rPr>
          <w:rFonts w:ascii="Arial" w:hAnsi="Arial" w:cs="Arial"/>
          <w:b/>
          <w:i/>
          <w:sz w:val="24"/>
          <w:szCs w:val="24"/>
          <w:lang w:val="en-CA"/>
        </w:rPr>
      </w:pPr>
    </w:p>
    <w:p w14:paraId="63FC98D6" w14:textId="46760EEA" w:rsidR="0001381F" w:rsidRDefault="0001381F" w:rsidP="0001381F">
      <w:pPr>
        <w:pStyle w:val="Footer"/>
        <w:jc w:val="both"/>
        <w:rPr>
          <w:rFonts w:ascii="Arial" w:hAnsi="Arial" w:cs="Arial"/>
          <w:sz w:val="18"/>
          <w:szCs w:val="18"/>
        </w:rPr>
      </w:pPr>
      <w:r w:rsidRPr="00D73CA5">
        <w:rPr>
          <w:rFonts w:ascii="Arial" w:hAnsi="Arial" w:cs="Arial"/>
          <w:sz w:val="18"/>
          <w:szCs w:val="18"/>
        </w:rPr>
        <w:t>The</w:t>
      </w:r>
      <w:r>
        <w:rPr>
          <w:rFonts w:ascii="Arial" w:hAnsi="Arial" w:cs="Arial"/>
          <w:sz w:val="18"/>
          <w:szCs w:val="18"/>
        </w:rPr>
        <w:t xml:space="preserve"> nutrition cluster </w:t>
      </w:r>
      <w:r w:rsidRPr="00D73CA5">
        <w:rPr>
          <w:rFonts w:ascii="Arial" w:hAnsi="Arial" w:cs="Arial"/>
          <w:sz w:val="18"/>
          <w:szCs w:val="18"/>
        </w:rPr>
        <w:t>checklist</w:t>
      </w:r>
      <w:r>
        <w:rPr>
          <w:rFonts w:ascii="Arial" w:hAnsi="Arial" w:cs="Arial"/>
          <w:sz w:val="18"/>
          <w:szCs w:val="18"/>
        </w:rPr>
        <w:t>s</w:t>
      </w:r>
      <w:r w:rsidRPr="00D73CA5">
        <w:rPr>
          <w:rFonts w:ascii="Arial" w:hAnsi="Arial" w:cs="Arial"/>
          <w:sz w:val="18"/>
          <w:szCs w:val="18"/>
        </w:rPr>
        <w:t xml:space="preserve"> </w:t>
      </w:r>
      <w:r>
        <w:rPr>
          <w:rFonts w:ascii="Arial" w:hAnsi="Arial" w:cs="Arial"/>
          <w:sz w:val="18"/>
          <w:szCs w:val="18"/>
        </w:rPr>
        <w:t>are</w:t>
      </w:r>
      <w:r w:rsidRPr="00D73CA5">
        <w:rPr>
          <w:rFonts w:ascii="Arial" w:hAnsi="Arial" w:cs="Arial"/>
          <w:sz w:val="18"/>
          <w:szCs w:val="18"/>
        </w:rPr>
        <w:t xml:space="preserve"> organized by nutrition in emergency themes</w:t>
      </w:r>
      <w:r>
        <w:rPr>
          <w:rFonts w:ascii="Arial" w:hAnsi="Arial" w:cs="Arial"/>
          <w:sz w:val="18"/>
          <w:szCs w:val="18"/>
        </w:rPr>
        <w:t>. T</w:t>
      </w:r>
      <w:r w:rsidRPr="00D73CA5">
        <w:rPr>
          <w:rFonts w:ascii="Arial" w:hAnsi="Arial" w:cs="Arial"/>
          <w:sz w:val="18"/>
          <w:szCs w:val="18"/>
        </w:rPr>
        <w:t xml:space="preserve">he </w:t>
      </w:r>
      <w:r w:rsidR="00C51883">
        <w:rPr>
          <w:rFonts w:ascii="Arial" w:hAnsi="Arial" w:cs="Arial"/>
          <w:sz w:val="18"/>
          <w:szCs w:val="18"/>
        </w:rPr>
        <w:t>six</w:t>
      </w:r>
      <w:r w:rsidR="00C51883" w:rsidRPr="00D73CA5">
        <w:rPr>
          <w:rFonts w:ascii="Arial" w:hAnsi="Arial" w:cs="Arial"/>
          <w:sz w:val="18"/>
          <w:szCs w:val="18"/>
        </w:rPr>
        <w:t xml:space="preserve"> </w:t>
      </w:r>
      <w:r w:rsidRPr="00D73CA5">
        <w:rPr>
          <w:rFonts w:ascii="Arial" w:hAnsi="Arial" w:cs="Arial"/>
          <w:sz w:val="18"/>
          <w:szCs w:val="18"/>
        </w:rPr>
        <w:t xml:space="preserve">main themes are Part I. Infant and Young Child Feeding in Emergencies, Part II. </w:t>
      </w:r>
      <w:r w:rsidRPr="00DE1BBC">
        <w:rPr>
          <w:rFonts w:ascii="Arial" w:hAnsi="Arial" w:cs="Arial"/>
          <w:sz w:val="18"/>
          <w:szCs w:val="18"/>
          <w:lang w:val="en-CA"/>
        </w:rPr>
        <w:t xml:space="preserve">Acute Malnutrition Management, Part III. Nutrition Information Systems </w:t>
      </w:r>
      <w:r w:rsidR="009739EB">
        <w:rPr>
          <w:rFonts w:ascii="Arial" w:hAnsi="Arial" w:cs="Arial"/>
          <w:sz w:val="18"/>
          <w:szCs w:val="18"/>
          <w:lang w:val="en-CA"/>
        </w:rPr>
        <w:t>(NIS)</w:t>
      </w:r>
      <w:r w:rsidR="00C51883">
        <w:rPr>
          <w:rFonts w:ascii="Arial" w:hAnsi="Arial" w:cs="Arial"/>
          <w:sz w:val="18"/>
          <w:szCs w:val="18"/>
          <w:lang w:val="en-CA"/>
        </w:rPr>
        <w:t xml:space="preserve">, </w:t>
      </w:r>
      <w:r w:rsidRPr="00DE1BBC">
        <w:rPr>
          <w:rFonts w:ascii="Arial" w:hAnsi="Arial" w:cs="Arial"/>
          <w:sz w:val="18"/>
          <w:szCs w:val="18"/>
          <w:lang w:val="en-CA"/>
        </w:rPr>
        <w:t>Part IV. Micronutrient Supplementation</w:t>
      </w:r>
      <w:r w:rsidR="00C51883">
        <w:rPr>
          <w:rFonts w:ascii="Arial" w:hAnsi="Arial" w:cs="Arial"/>
          <w:sz w:val="18"/>
          <w:szCs w:val="18"/>
          <w:lang w:val="en-CA"/>
        </w:rPr>
        <w:t>, Part V. Nutrition Coordination and Part VI. Information Management</w:t>
      </w:r>
      <w:r w:rsidRPr="00DE1BBC">
        <w:rPr>
          <w:rFonts w:ascii="Arial" w:hAnsi="Arial" w:cs="Arial"/>
          <w:sz w:val="18"/>
          <w:szCs w:val="18"/>
          <w:lang w:val="en-CA"/>
        </w:rPr>
        <w:t xml:space="preserve">. </w:t>
      </w:r>
      <w:r w:rsidRPr="00D73CA5">
        <w:rPr>
          <w:rFonts w:ascii="Arial" w:hAnsi="Arial" w:cs="Arial"/>
          <w:sz w:val="18"/>
          <w:szCs w:val="18"/>
        </w:rPr>
        <w:t xml:space="preserve">Under each theme, a set of questions are asked in the left column to prompt reflection, elements of the answer and examples from other countries are under the right-hand column. The questions under each theme span the humanitarian program cycle. </w:t>
      </w:r>
    </w:p>
    <w:p w14:paraId="5A7DE2DA" w14:textId="76AA03C6" w:rsidR="002B296F" w:rsidRDefault="002B296F" w:rsidP="0001381F">
      <w:pPr>
        <w:pStyle w:val="Footer"/>
        <w:jc w:val="both"/>
        <w:rPr>
          <w:rFonts w:ascii="Arial" w:hAnsi="Arial" w:cs="Arial"/>
          <w:sz w:val="18"/>
          <w:szCs w:val="18"/>
        </w:rPr>
      </w:pPr>
    </w:p>
    <w:p w14:paraId="735FC6CD" w14:textId="3A26F78E" w:rsidR="002B296F" w:rsidRDefault="002B296F" w:rsidP="0001381F">
      <w:pPr>
        <w:pStyle w:val="Footer"/>
        <w:jc w:val="both"/>
        <w:rPr>
          <w:rFonts w:ascii="Arial" w:hAnsi="Arial" w:cs="Arial"/>
          <w:sz w:val="18"/>
          <w:szCs w:val="18"/>
        </w:rPr>
      </w:pPr>
      <w:r w:rsidRPr="00D73CA5">
        <w:rPr>
          <w:rFonts w:ascii="Arial" w:hAnsi="Arial" w:cs="Arial"/>
          <w:sz w:val="18"/>
          <w:szCs w:val="18"/>
        </w:rPr>
        <w:t>This NIS checklist is a tool designed to help each nutrition country cluster</w:t>
      </w:r>
      <w:r w:rsidR="00C51883">
        <w:rPr>
          <w:rFonts w:ascii="Arial" w:hAnsi="Arial" w:cs="Arial"/>
          <w:sz w:val="18"/>
          <w:szCs w:val="18"/>
        </w:rPr>
        <w:t xml:space="preserve"> or sectorial coordination mechanism</w:t>
      </w:r>
      <w:r w:rsidRPr="00D73CA5">
        <w:rPr>
          <w:rFonts w:ascii="Arial" w:hAnsi="Arial" w:cs="Arial"/>
          <w:sz w:val="18"/>
          <w:szCs w:val="18"/>
        </w:rPr>
        <w:t xml:space="preserve"> review and reflect on the collection and interpretation of nutrition-related data before, during and/or after a </w:t>
      </w:r>
      <w:r>
        <w:rPr>
          <w:rFonts w:ascii="Arial" w:hAnsi="Arial" w:cs="Arial"/>
          <w:sz w:val="18"/>
          <w:szCs w:val="18"/>
        </w:rPr>
        <w:t xml:space="preserve">humanitarian </w:t>
      </w:r>
      <w:r w:rsidRPr="00D73CA5">
        <w:rPr>
          <w:rFonts w:ascii="Arial" w:hAnsi="Arial" w:cs="Arial"/>
          <w:sz w:val="18"/>
          <w:szCs w:val="18"/>
        </w:rPr>
        <w:t xml:space="preserve">crisis. The checklist is to be used at least once a year by the </w:t>
      </w:r>
      <w:r>
        <w:rPr>
          <w:rFonts w:ascii="Arial" w:hAnsi="Arial" w:cs="Arial"/>
          <w:sz w:val="18"/>
          <w:szCs w:val="18"/>
        </w:rPr>
        <w:t>N</w:t>
      </w:r>
      <w:r w:rsidRPr="00D73CA5">
        <w:rPr>
          <w:rFonts w:ascii="Arial" w:hAnsi="Arial" w:cs="Arial"/>
          <w:sz w:val="18"/>
          <w:szCs w:val="18"/>
        </w:rPr>
        <w:t xml:space="preserve">utrition </w:t>
      </w:r>
      <w:r>
        <w:rPr>
          <w:rFonts w:ascii="Arial" w:hAnsi="Arial" w:cs="Arial"/>
          <w:sz w:val="18"/>
          <w:szCs w:val="18"/>
        </w:rPr>
        <w:t>C</w:t>
      </w:r>
      <w:r w:rsidRPr="00D73CA5">
        <w:rPr>
          <w:rFonts w:ascii="Arial" w:hAnsi="Arial" w:cs="Arial"/>
          <w:sz w:val="18"/>
          <w:szCs w:val="18"/>
        </w:rPr>
        <w:t>luster</w:t>
      </w:r>
      <w:r w:rsidR="00C51883">
        <w:rPr>
          <w:rFonts w:ascii="Arial" w:hAnsi="Arial" w:cs="Arial"/>
          <w:sz w:val="18"/>
          <w:szCs w:val="18"/>
        </w:rPr>
        <w:t>/Sector</w:t>
      </w:r>
      <w:r w:rsidRPr="00D73CA5">
        <w:rPr>
          <w:rFonts w:ascii="Arial" w:hAnsi="Arial" w:cs="Arial"/>
          <w:sz w:val="18"/>
          <w:szCs w:val="18"/>
        </w:rPr>
        <w:t xml:space="preserve"> coordination team – or any in-country nutrition in emergency mechanism- to self-assess the quality of the information systems about the nutritional status of populations. </w:t>
      </w:r>
    </w:p>
    <w:p w14:paraId="72BE7F18" w14:textId="4D748228" w:rsidR="009739EB" w:rsidRDefault="009739EB" w:rsidP="0001381F">
      <w:pPr>
        <w:pStyle w:val="Footer"/>
        <w:jc w:val="both"/>
        <w:rPr>
          <w:rFonts w:ascii="Arial" w:hAnsi="Arial" w:cs="Arial"/>
          <w:sz w:val="18"/>
          <w:szCs w:val="18"/>
        </w:rPr>
      </w:pPr>
    </w:p>
    <w:p w14:paraId="09B20B2E" w14:textId="206437BB" w:rsidR="009739EB" w:rsidRDefault="009739EB" w:rsidP="0001381F">
      <w:pPr>
        <w:pStyle w:val="Footer"/>
        <w:jc w:val="both"/>
        <w:rPr>
          <w:rFonts w:ascii="Arial" w:hAnsi="Arial" w:cs="Arial"/>
          <w:sz w:val="18"/>
          <w:szCs w:val="18"/>
        </w:rPr>
      </w:pPr>
      <w:r w:rsidRPr="00D73CA5">
        <w:rPr>
          <w:rFonts w:ascii="Arial" w:hAnsi="Arial" w:cs="Arial"/>
          <w:sz w:val="18"/>
          <w:szCs w:val="18"/>
        </w:rPr>
        <w:t>A</w:t>
      </w:r>
      <w:r>
        <w:rPr>
          <w:rFonts w:ascii="Arial" w:hAnsi="Arial" w:cs="Arial"/>
          <w:sz w:val="18"/>
          <w:szCs w:val="18"/>
        </w:rPr>
        <w:t>n</w:t>
      </w:r>
      <w:r w:rsidRPr="00D73CA5">
        <w:rPr>
          <w:rFonts w:ascii="Arial" w:hAnsi="Arial" w:cs="Arial"/>
          <w:sz w:val="18"/>
          <w:szCs w:val="18"/>
        </w:rPr>
        <w:t xml:space="preserve"> NIS is an integrated and centrally coordinated set of processes to continuously collect, analyze and interpret nutrition-related data, transform it into information and disseminate it for making timely and effective decisions to improve the nutritional health of the population. Data can be nutrition-specific (i.e.</w:t>
      </w:r>
      <w:r>
        <w:rPr>
          <w:rFonts w:ascii="Arial" w:hAnsi="Arial" w:cs="Arial"/>
          <w:sz w:val="18"/>
          <w:szCs w:val="18"/>
        </w:rPr>
        <w:t>,</w:t>
      </w:r>
      <w:r w:rsidRPr="00D73CA5">
        <w:rPr>
          <w:rFonts w:ascii="Arial" w:hAnsi="Arial" w:cs="Arial"/>
          <w:sz w:val="18"/>
          <w:szCs w:val="18"/>
        </w:rPr>
        <w:t xml:space="preserve"> anthropometric</w:t>
      </w:r>
      <w:r w:rsidR="002B296F">
        <w:rPr>
          <w:rFonts w:ascii="Arial" w:hAnsi="Arial" w:cs="Arial"/>
          <w:sz w:val="18"/>
          <w:szCs w:val="18"/>
        </w:rPr>
        <w:t>, or infant and young child feeding practices</w:t>
      </w:r>
      <w:r w:rsidRPr="00D73CA5">
        <w:rPr>
          <w:rFonts w:ascii="Arial" w:hAnsi="Arial" w:cs="Arial"/>
          <w:sz w:val="18"/>
          <w:szCs w:val="18"/>
        </w:rPr>
        <w:t>) in nature, or nutrition-sensitive (i.e.</w:t>
      </w:r>
      <w:r>
        <w:rPr>
          <w:rFonts w:ascii="Arial" w:hAnsi="Arial" w:cs="Arial"/>
          <w:sz w:val="18"/>
          <w:szCs w:val="18"/>
        </w:rPr>
        <w:t>,</w:t>
      </w:r>
      <w:r w:rsidRPr="00D73CA5">
        <w:rPr>
          <w:rFonts w:ascii="Arial" w:hAnsi="Arial" w:cs="Arial"/>
          <w:sz w:val="18"/>
          <w:szCs w:val="18"/>
        </w:rPr>
        <w:t xml:space="preserve"> risk factors): food security; </w:t>
      </w:r>
      <w:r w:rsidRPr="00653199">
        <w:rPr>
          <w:rStyle w:val="normaltextrun"/>
          <w:rFonts w:ascii="Arial" w:eastAsiaTheme="majorEastAsia" w:hAnsi="Arial" w:cs="Arial"/>
          <w:sz w:val="18"/>
          <w:szCs w:val="18"/>
          <w:lang w:val="en-GB"/>
        </w:rPr>
        <w:t>WASH (water, sanitation and hygiene</w:t>
      </w:r>
      <w:r w:rsidRPr="00D73CA5">
        <w:rPr>
          <w:rFonts w:ascii="Arial" w:hAnsi="Arial" w:cs="Arial"/>
          <w:sz w:val="18"/>
          <w:szCs w:val="18"/>
        </w:rPr>
        <w:t xml:space="preserve">); or health-related </w:t>
      </w:r>
      <w:r w:rsidR="002B296F">
        <w:rPr>
          <w:rFonts w:ascii="Arial" w:hAnsi="Arial" w:cs="Arial"/>
          <w:sz w:val="18"/>
          <w:szCs w:val="18"/>
        </w:rPr>
        <w:t xml:space="preserve">factors </w:t>
      </w:r>
      <w:r w:rsidRPr="00D73CA5">
        <w:rPr>
          <w:rFonts w:ascii="Arial" w:hAnsi="Arial" w:cs="Arial"/>
          <w:sz w:val="18"/>
          <w:szCs w:val="18"/>
        </w:rPr>
        <w:t>to name a few. Common sources</w:t>
      </w:r>
      <w:r>
        <w:rPr>
          <w:rFonts w:ascii="Arial" w:hAnsi="Arial" w:cs="Arial"/>
          <w:sz w:val="18"/>
          <w:szCs w:val="18"/>
        </w:rPr>
        <w:t xml:space="preserve"> of data</w:t>
      </w:r>
      <w:r w:rsidRPr="00D73CA5">
        <w:rPr>
          <w:rFonts w:ascii="Arial" w:hAnsi="Arial" w:cs="Arial"/>
          <w:sz w:val="18"/>
          <w:szCs w:val="18"/>
        </w:rPr>
        <w:t xml:space="preserve"> include population representative surveys: </w:t>
      </w:r>
      <w:hyperlink r:id="rId14" w:tgtFrame="_blank" w:history="1">
        <w:r w:rsidRPr="00572A88">
          <w:rPr>
            <w:rStyle w:val="normaltextrun"/>
            <w:rFonts w:ascii="Arial" w:eastAsiaTheme="majorEastAsia" w:hAnsi="Arial" w:cs="Arial"/>
            <w:color w:val="0563C1"/>
            <w:sz w:val="18"/>
            <w:szCs w:val="18"/>
            <w:u w:val="single"/>
          </w:rPr>
          <w:t>SMART methodology</w:t>
        </w:r>
      </w:hyperlink>
      <w:r w:rsidRPr="00D73CA5">
        <w:rPr>
          <w:rFonts w:ascii="Arial" w:hAnsi="Arial" w:cs="Arial"/>
          <w:sz w:val="18"/>
          <w:szCs w:val="18"/>
        </w:rPr>
        <w:t xml:space="preserve"> (Standardized Monitoring and Assessment in Relief and Transitions) and </w:t>
      </w:r>
      <w:hyperlink r:id="rId15" w:tgtFrame="_blank" w:history="1">
        <w:r w:rsidRPr="00653199">
          <w:rPr>
            <w:rStyle w:val="normaltextrun"/>
            <w:rFonts w:ascii="Arial" w:eastAsiaTheme="majorEastAsia" w:hAnsi="Arial" w:cs="Arial"/>
            <w:color w:val="0563C1"/>
            <w:sz w:val="18"/>
            <w:szCs w:val="18"/>
            <w:u w:val="single"/>
            <w:lang w:val="en-GB"/>
          </w:rPr>
          <w:t>R</w:t>
        </w:r>
        <w:r w:rsidRPr="00653199">
          <w:rPr>
            <w:rStyle w:val="normaltextrun"/>
            <w:rFonts w:ascii="Arial" w:eastAsiaTheme="majorEastAsia" w:hAnsi="Arial" w:cs="Arial"/>
            <w:color w:val="0563C1"/>
            <w:sz w:val="18"/>
            <w:szCs w:val="18"/>
            <w:u w:val="single"/>
          </w:rPr>
          <w:t>a</w:t>
        </w:r>
        <w:r w:rsidRPr="00653199">
          <w:rPr>
            <w:rStyle w:val="normaltextrun"/>
            <w:rFonts w:ascii="Arial" w:eastAsiaTheme="majorEastAsia" w:hAnsi="Arial" w:cs="Arial"/>
            <w:color w:val="0563C1"/>
            <w:sz w:val="18"/>
            <w:szCs w:val="18"/>
            <w:u w:val="single"/>
            <w:lang w:val="en-GB"/>
          </w:rPr>
          <w:t>pid SMART</w:t>
        </w:r>
      </w:hyperlink>
      <w:r>
        <w:rPr>
          <w:rFonts w:ascii="Arial" w:hAnsi="Arial" w:cs="Arial"/>
          <w:sz w:val="18"/>
          <w:szCs w:val="18"/>
        </w:rPr>
        <w:t xml:space="preserve"> </w:t>
      </w:r>
      <w:r w:rsidRPr="0036643F">
        <w:rPr>
          <w:rFonts w:ascii="Arial" w:hAnsi="Arial" w:cs="Arial"/>
          <w:sz w:val="18"/>
          <w:szCs w:val="18"/>
        </w:rPr>
        <w:t>su</w:t>
      </w:r>
      <w:r w:rsidRPr="00D73CA5">
        <w:rPr>
          <w:rFonts w:ascii="Arial" w:hAnsi="Arial" w:cs="Arial"/>
          <w:sz w:val="18"/>
          <w:szCs w:val="18"/>
        </w:rPr>
        <w:t xml:space="preserve">rveys, UNHCR’s </w:t>
      </w:r>
      <w:hyperlink r:id="rId16" w:history="1">
        <w:r w:rsidRPr="00AC6A05">
          <w:rPr>
            <w:rStyle w:val="Hyperlink"/>
            <w:rFonts w:ascii="Arial" w:hAnsi="Arial" w:cs="Arial"/>
            <w:sz w:val="18"/>
            <w:szCs w:val="18"/>
          </w:rPr>
          <w:t>SENS</w:t>
        </w:r>
      </w:hyperlink>
      <w:r w:rsidRPr="00D73CA5">
        <w:rPr>
          <w:rFonts w:ascii="Arial" w:hAnsi="Arial" w:cs="Arial"/>
          <w:sz w:val="18"/>
          <w:szCs w:val="18"/>
        </w:rPr>
        <w:t xml:space="preserve"> (Standardized Expanded Nutrition Surveys), National Nutrition Surveys,</w:t>
      </w:r>
      <w:r>
        <w:rPr>
          <w:rFonts w:ascii="Arial" w:hAnsi="Arial" w:cs="Arial"/>
          <w:sz w:val="18"/>
          <w:szCs w:val="18"/>
        </w:rPr>
        <w:t xml:space="preserve"> </w:t>
      </w:r>
      <w:hyperlink r:id="rId17" w:tgtFrame="_blank" w:history="1">
        <w:r w:rsidRPr="005273A8">
          <w:rPr>
            <w:rStyle w:val="normaltextrun"/>
            <w:rFonts w:ascii="Arial" w:eastAsiaTheme="majorEastAsia" w:hAnsi="Arial" w:cs="Arial"/>
            <w:color w:val="0563C1"/>
            <w:sz w:val="18"/>
            <w:szCs w:val="18"/>
            <w:u w:val="single"/>
            <w:lang w:val="en-GB"/>
          </w:rPr>
          <w:t>UNICEF MICS (</w:t>
        </w:r>
        <w:r>
          <w:rPr>
            <w:rStyle w:val="normaltextrun"/>
            <w:rFonts w:ascii="Arial" w:eastAsiaTheme="majorEastAsia" w:hAnsi="Arial" w:cs="Arial"/>
            <w:color w:val="0563C1"/>
            <w:sz w:val="18"/>
            <w:szCs w:val="18"/>
            <w:u w:val="single"/>
            <w:lang w:val="en-GB"/>
          </w:rPr>
          <w:t>M</w:t>
        </w:r>
        <w:r w:rsidRPr="005273A8">
          <w:rPr>
            <w:rStyle w:val="normaltextrun"/>
            <w:rFonts w:ascii="Arial" w:eastAsiaTheme="majorEastAsia" w:hAnsi="Arial" w:cs="Arial"/>
            <w:color w:val="0563C1"/>
            <w:sz w:val="18"/>
            <w:szCs w:val="18"/>
            <w:u w:val="single"/>
            <w:lang w:val="en-GB"/>
          </w:rPr>
          <w:t>ultiple </w:t>
        </w:r>
        <w:r>
          <w:rPr>
            <w:rStyle w:val="normaltextrun"/>
            <w:rFonts w:ascii="Arial" w:eastAsiaTheme="majorEastAsia" w:hAnsi="Arial" w:cs="Arial"/>
            <w:color w:val="0563C1"/>
            <w:sz w:val="18"/>
            <w:szCs w:val="18"/>
            <w:u w:val="single"/>
            <w:lang w:val="en-GB"/>
          </w:rPr>
          <w:t>I</w:t>
        </w:r>
        <w:r w:rsidRPr="005273A8">
          <w:rPr>
            <w:rStyle w:val="normaltextrun"/>
            <w:rFonts w:ascii="Arial" w:eastAsiaTheme="majorEastAsia" w:hAnsi="Arial" w:cs="Arial"/>
            <w:color w:val="0563C1"/>
            <w:sz w:val="18"/>
            <w:szCs w:val="18"/>
            <w:u w:val="single"/>
            <w:lang w:val="en-GB"/>
          </w:rPr>
          <w:t>ndicator </w:t>
        </w:r>
        <w:r>
          <w:rPr>
            <w:rStyle w:val="normaltextrun"/>
            <w:rFonts w:ascii="Arial" w:eastAsiaTheme="majorEastAsia" w:hAnsi="Arial" w:cs="Arial"/>
            <w:color w:val="0563C1"/>
            <w:sz w:val="18"/>
            <w:szCs w:val="18"/>
            <w:u w:val="single"/>
            <w:lang w:val="en-GB"/>
          </w:rPr>
          <w:t>C</w:t>
        </w:r>
        <w:r w:rsidRPr="005273A8">
          <w:rPr>
            <w:rStyle w:val="normaltextrun"/>
            <w:rFonts w:ascii="Arial" w:eastAsiaTheme="majorEastAsia" w:hAnsi="Arial" w:cs="Arial"/>
            <w:color w:val="0563C1"/>
            <w:sz w:val="18"/>
            <w:szCs w:val="18"/>
            <w:u w:val="single"/>
            <w:lang w:val="en-GB"/>
          </w:rPr>
          <w:t>luster </w:t>
        </w:r>
        <w:r>
          <w:rPr>
            <w:rStyle w:val="normaltextrun"/>
            <w:rFonts w:ascii="Arial" w:eastAsiaTheme="majorEastAsia" w:hAnsi="Arial" w:cs="Arial"/>
            <w:color w:val="0563C1"/>
            <w:sz w:val="18"/>
            <w:szCs w:val="18"/>
            <w:u w:val="single"/>
            <w:lang w:val="en-GB"/>
          </w:rPr>
          <w:t>S</w:t>
        </w:r>
        <w:r w:rsidRPr="005273A8">
          <w:rPr>
            <w:rStyle w:val="normaltextrun"/>
            <w:rFonts w:ascii="Arial" w:eastAsiaTheme="majorEastAsia" w:hAnsi="Arial" w:cs="Arial"/>
            <w:color w:val="0563C1"/>
            <w:sz w:val="18"/>
            <w:szCs w:val="18"/>
            <w:u w:val="single"/>
            <w:lang w:val="en-GB"/>
          </w:rPr>
          <w:t>urvey)</w:t>
        </w:r>
      </w:hyperlink>
      <w:r w:rsidRPr="005273A8">
        <w:rPr>
          <w:rStyle w:val="normaltextrun"/>
          <w:rFonts w:ascii="Arial" w:eastAsiaTheme="majorEastAsia" w:hAnsi="Arial" w:cs="Arial"/>
          <w:sz w:val="18"/>
          <w:szCs w:val="18"/>
          <w:lang w:val="en-GB"/>
        </w:rPr>
        <w:t>, </w:t>
      </w:r>
      <w:hyperlink r:id="rId18" w:tgtFrame="_blank" w:history="1">
        <w:r w:rsidRPr="005273A8">
          <w:rPr>
            <w:rStyle w:val="normaltextrun"/>
            <w:rFonts w:ascii="Arial" w:eastAsiaTheme="majorEastAsia" w:hAnsi="Arial" w:cs="Arial"/>
            <w:color w:val="0563C1"/>
            <w:sz w:val="18"/>
            <w:szCs w:val="18"/>
            <w:u w:val="single"/>
            <w:lang w:val="en-GB"/>
          </w:rPr>
          <w:t>DHS (</w:t>
        </w:r>
        <w:r>
          <w:rPr>
            <w:rStyle w:val="normaltextrun"/>
            <w:rFonts w:ascii="Arial" w:eastAsiaTheme="majorEastAsia" w:hAnsi="Arial" w:cs="Arial"/>
            <w:color w:val="0563C1"/>
            <w:sz w:val="18"/>
            <w:szCs w:val="18"/>
            <w:u w:val="single"/>
            <w:lang w:val="en-GB"/>
          </w:rPr>
          <w:t>D</w:t>
        </w:r>
        <w:r w:rsidRPr="005273A8">
          <w:rPr>
            <w:rStyle w:val="normaltextrun"/>
            <w:rFonts w:ascii="Arial" w:eastAsiaTheme="majorEastAsia" w:hAnsi="Arial" w:cs="Arial"/>
            <w:color w:val="0563C1"/>
            <w:sz w:val="18"/>
            <w:szCs w:val="18"/>
            <w:u w:val="single"/>
            <w:lang w:val="en-GB"/>
          </w:rPr>
          <w:t xml:space="preserve">emographic and </w:t>
        </w:r>
        <w:r>
          <w:rPr>
            <w:rStyle w:val="normaltextrun"/>
            <w:rFonts w:ascii="Arial" w:eastAsiaTheme="majorEastAsia" w:hAnsi="Arial" w:cs="Arial"/>
            <w:color w:val="0563C1"/>
            <w:sz w:val="18"/>
            <w:szCs w:val="18"/>
            <w:u w:val="single"/>
            <w:lang w:val="en-GB"/>
          </w:rPr>
          <w:t>H</w:t>
        </w:r>
        <w:r w:rsidRPr="005273A8">
          <w:rPr>
            <w:rStyle w:val="normaltextrun"/>
            <w:rFonts w:ascii="Arial" w:eastAsiaTheme="majorEastAsia" w:hAnsi="Arial" w:cs="Arial"/>
            <w:color w:val="0563C1"/>
            <w:sz w:val="18"/>
            <w:szCs w:val="18"/>
            <w:u w:val="single"/>
            <w:lang w:val="en-GB"/>
          </w:rPr>
          <w:t xml:space="preserve">ealth </w:t>
        </w:r>
        <w:r>
          <w:rPr>
            <w:rStyle w:val="normaltextrun"/>
            <w:rFonts w:ascii="Arial" w:eastAsiaTheme="majorEastAsia" w:hAnsi="Arial" w:cs="Arial"/>
            <w:color w:val="0563C1"/>
            <w:sz w:val="18"/>
            <w:szCs w:val="18"/>
            <w:u w:val="single"/>
            <w:lang w:val="en-GB"/>
          </w:rPr>
          <w:t>S</w:t>
        </w:r>
        <w:r w:rsidRPr="005273A8">
          <w:rPr>
            <w:rStyle w:val="normaltextrun"/>
            <w:rFonts w:ascii="Arial" w:eastAsiaTheme="majorEastAsia" w:hAnsi="Arial" w:cs="Arial"/>
            <w:color w:val="0563C1"/>
            <w:sz w:val="18"/>
            <w:szCs w:val="18"/>
            <w:u w:val="single"/>
            <w:lang w:val="en-GB"/>
          </w:rPr>
          <w:t>urvey)</w:t>
        </w:r>
      </w:hyperlink>
      <w:r w:rsidRPr="00D73CA5">
        <w:rPr>
          <w:rFonts w:ascii="Arial" w:hAnsi="Arial" w:cs="Arial"/>
          <w:sz w:val="18"/>
          <w:szCs w:val="18"/>
        </w:rPr>
        <w:t xml:space="preserve">; coverage surveys </w:t>
      </w:r>
      <w:r>
        <w:rPr>
          <w:rFonts w:ascii="Arial" w:hAnsi="Arial" w:cs="Arial"/>
          <w:sz w:val="18"/>
          <w:szCs w:val="18"/>
        </w:rPr>
        <w:t xml:space="preserve">like </w:t>
      </w:r>
      <w:hyperlink r:id="rId19" w:tgtFrame="_blank" w:history="1">
        <w:r w:rsidRPr="00653199">
          <w:rPr>
            <w:rFonts w:ascii="Arial" w:eastAsia="Times New Roman" w:hAnsi="Arial" w:cs="Arial"/>
            <w:color w:val="0563C1"/>
            <w:sz w:val="18"/>
            <w:szCs w:val="18"/>
            <w:u w:val="single"/>
            <w:lang w:eastAsia="fr-FR"/>
          </w:rPr>
          <w:t>SQUEAC (semi-quantitative evaluation of access and coverage), SLEAC (simplified lot quality assurance sampling evaluation of access and coverage)</w:t>
        </w:r>
      </w:hyperlink>
      <w:r w:rsidRPr="00653199">
        <w:rPr>
          <w:rFonts w:ascii="Trebuchet MS" w:eastAsia="Times New Roman" w:hAnsi="Trebuchet MS" w:cs="Segoe UI"/>
          <w:sz w:val="18"/>
          <w:szCs w:val="18"/>
          <w:lang w:eastAsia="fr-FR"/>
        </w:rPr>
        <w:t> </w:t>
      </w:r>
      <w:r w:rsidRPr="00D73CA5">
        <w:rPr>
          <w:rFonts w:ascii="Arial" w:hAnsi="Arial" w:cs="Arial"/>
          <w:sz w:val="18"/>
          <w:szCs w:val="18"/>
        </w:rPr>
        <w:t>or nutrition surveillance (sentinel sites, administrative data). Nutrition surveillance refers to a continuous longitudinal process of collecting information at specific time intervals which then feeds into the wider NIS</w:t>
      </w:r>
      <w:r>
        <w:rPr>
          <w:rStyle w:val="FootnoteReference"/>
          <w:rFonts w:ascii="Arial" w:hAnsi="Arial" w:cs="Arial"/>
          <w:sz w:val="18"/>
          <w:szCs w:val="18"/>
        </w:rPr>
        <w:footnoteReference w:id="1"/>
      </w:r>
      <w:r w:rsidRPr="00D73CA5">
        <w:rPr>
          <w:rFonts w:ascii="Arial" w:hAnsi="Arial" w:cs="Arial"/>
          <w:sz w:val="18"/>
          <w:szCs w:val="18"/>
        </w:rPr>
        <w:t xml:space="preserve">. </w:t>
      </w:r>
      <w:r>
        <w:rPr>
          <w:rFonts w:ascii="Arial" w:hAnsi="Arial" w:cs="Arial"/>
          <w:sz w:val="18"/>
          <w:szCs w:val="18"/>
        </w:rPr>
        <w:t xml:space="preserve">Nutrition mass screening campaigns or community screening campaigns </w:t>
      </w:r>
      <w:r w:rsidR="00401EC2" w:rsidRPr="00401EC2">
        <w:rPr>
          <w:rFonts w:ascii="Arial" w:hAnsi="Arial" w:cs="Arial"/>
          <w:sz w:val="18"/>
          <w:szCs w:val="18"/>
        </w:rPr>
        <w:t xml:space="preserve">(e.g. </w:t>
      </w:r>
      <w:hyperlink r:id="rId20" w:history="1">
        <w:r w:rsidR="00401EC2">
          <w:rPr>
            <w:rStyle w:val="Hyperlink"/>
            <w:rFonts w:ascii="Arial" w:hAnsi="Arial" w:cs="Arial"/>
            <w:sz w:val="18"/>
            <w:szCs w:val="18"/>
          </w:rPr>
          <w:t xml:space="preserve">MUAC data collection </w:t>
        </w:r>
        <w:r w:rsidRPr="00401EC2">
          <w:rPr>
            <w:rStyle w:val="Hyperlink"/>
            <w:rFonts w:ascii="Arial" w:hAnsi="Arial" w:cs="Arial"/>
            <w:sz w:val="18"/>
            <w:szCs w:val="18"/>
          </w:rPr>
          <w:t>tool</w:t>
        </w:r>
      </w:hyperlink>
      <w:r w:rsidRPr="00401EC2">
        <w:rPr>
          <w:rFonts w:ascii="Arial" w:hAnsi="Arial" w:cs="Arial"/>
          <w:sz w:val="18"/>
          <w:szCs w:val="18"/>
        </w:rPr>
        <w:t>)</w:t>
      </w:r>
      <w:r w:rsidR="00401EC2">
        <w:rPr>
          <w:rFonts w:ascii="Arial" w:hAnsi="Arial" w:cs="Arial"/>
          <w:sz w:val="18"/>
          <w:szCs w:val="18"/>
        </w:rPr>
        <w:t>.</w:t>
      </w:r>
    </w:p>
    <w:p w14:paraId="127969F0" w14:textId="77777777" w:rsidR="005C0C49" w:rsidRDefault="005C0C49" w:rsidP="00A8691B">
      <w:pPr>
        <w:pStyle w:val="Footer"/>
        <w:jc w:val="both"/>
        <w:rPr>
          <w:rFonts w:ascii="Arial" w:hAnsi="Arial" w:cs="Arial"/>
          <w:sz w:val="18"/>
          <w:szCs w:val="18"/>
        </w:rPr>
      </w:pPr>
    </w:p>
    <w:p w14:paraId="56E1C6BF" w14:textId="75906468" w:rsidR="005C0C49" w:rsidRDefault="005C0C49" w:rsidP="00A8691B">
      <w:pPr>
        <w:pStyle w:val="Footer"/>
        <w:jc w:val="both"/>
        <w:rPr>
          <w:rFonts w:ascii="Arial" w:hAnsi="Arial" w:cs="Arial"/>
          <w:bCs/>
          <w:sz w:val="18"/>
          <w:szCs w:val="18"/>
        </w:rPr>
      </w:pPr>
      <w:r>
        <w:rPr>
          <w:rFonts w:ascii="Arial" w:hAnsi="Arial" w:cs="Arial"/>
          <w:sz w:val="18"/>
          <w:szCs w:val="18"/>
        </w:rPr>
        <w:t>This NIS checklist is organized by t</w:t>
      </w:r>
      <w:r w:rsidRPr="005C0C49">
        <w:rPr>
          <w:rFonts w:ascii="Arial" w:hAnsi="Arial" w:cs="Arial"/>
          <w:sz w:val="18"/>
          <w:szCs w:val="18"/>
        </w:rPr>
        <w:t>he three core components of a</w:t>
      </w:r>
      <w:r w:rsidR="001B78FE">
        <w:rPr>
          <w:rFonts w:ascii="Arial" w:hAnsi="Arial" w:cs="Arial"/>
          <w:sz w:val="18"/>
          <w:szCs w:val="18"/>
        </w:rPr>
        <w:t>n</w:t>
      </w:r>
      <w:r w:rsidRPr="005C0C49">
        <w:rPr>
          <w:rFonts w:ascii="Arial" w:hAnsi="Arial" w:cs="Arial"/>
          <w:sz w:val="18"/>
          <w:szCs w:val="18"/>
        </w:rPr>
        <w:t xml:space="preserve"> NIS</w:t>
      </w:r>
      <w:r>
        <w:rPr>
          <w:rFonts w:ascii="Arial" w:hAnsi="Arial" w:cs="Arial"/>
          <w:sz w:val="18"/>
          <w:szCs w:val="18"/>
        </w:rPr>
        <w:t xml:space="preserve">: </w:t>
      </w:r>
      <w:r w:rsidR="009739EB">
        <w:rPr>
          <w:rFonts w:ascii="Arial" w:hAnsi="Arial" w:cs="Arial"/>
          <w:sz w:val="18"/>
          <w:szCs w:val="18"/>
        </w:rPr>
        <w:t>A</w:t>
      </w:r>
      <w:r>
        <w:rPr>
          <w:rFonts w:ascii="Arial" w:hAnsi="Arial" w:cs="Arial"/>
          <w:sz w:val="18"/>
          <w:szCs w:val="18"/>
        </w:rPr>
        <w:t xml:space="preserve">) </w:t>
      </w:r>
      <w:r w:rsidRPr="005C0C49">
        <w:rPr>
          <w:rFonts w:ascii="Arial" w:hAnsi="Arial" w:cs="Arial"/>
          <w:b/>
          <w:sz w:val="18"/>
          <w:szCs w:val="18"/>
        </w:rPr>
        <w:t>data prioritization and planning</w:t>
      </w:r>
      <w:r w:rsidRPr="005C0C49">
        <w:rPr>
          <w:rFonts w:ascii="Arial" w:hAnsi="Arial" w:cs="Arial"/>
          <w:sz w:val="18"/>
          <w:szCs w:val="18"/>
        </w:rPr>
        <w:t xml:space="preserve">, </w:t>
      </w:r>
      <w:r w:rsidR="009739EB">
        <w:rPr>
          <w:rFonts w:ascii="Arial" w:hAnsi="Arial" w:cs="Arial"/>
          <w:sz w:val="18"/>
          <w:szCs w:val="18"/>
        </w:rPr>
        <w:t>B</w:t>
      </w:r>
      <w:r>
        <w:rPr>
          <w:rFonts w:ascii="Arial" w:hAnsi="Arial" w:cs="Arial"/>
          <w:sz w:val="18"/>
          <w:szCs w:val="18"/>
        </w:rPr>
        <w:t xml:space="preserve">) </w:t>
      </w:r>
      <w:r w:rsidRPr="005C0C49">
        <w:rPr>
          <w:rFonts w:ascii="Arial" w:hAnsi="Arial" w:cs="Arial"/>
          <w:b/>
          <w:sz w:val="18"/>
          <w:szCs w:val="18"/>
        </w:rPr>
        <w:t>data generation and supply</w:t>
      </w:r>
      <w:r w:rsidRPr="005C0C49">
        <w:rPr>
          <w:rFonts w:ascii="Arial" w:hAnsi="Arial" w:cs="Arial"/>
          <w:sz w:val="18"/>
          <w:szCs w:val="18"/>
        </w:rPr>
        <w:t xml:space="preserve"> and </w:t>
      </w:r>
      <w:r w:rsidR="009739EB">
        <w:rPr>
          <w:rFonts w:ascii="Arial" w:hAnsi="Arial" w:cs="Arial"/>
          <w:sz w:val="18"/>
          <w:szCs w:val="18"/>
        </w:rPr>
        <w:t>C</w:t>
      </w:r>
      <w:r>
        <w:rPr>
          <w:rFonts w:ascii="Arial" w:hAnsi="Arial" w:cs="Arial"/>
          <w:sz w:val="18"/>
          <w:szCs w:val="18"/>
        </w:rPr>
        <w:t xml:space="preserve">) </w:t>
      </w:r>
      <w:r w:rsidRPr="005C0C49">
        <w:rPr>
          <w:rFonts w:ascii="Arial" w:hAnsi="Arial" w:cs="Arial"/>
          <w:b/>
          <w:sz w:val="18"/>
          <w:szCs w:val="18"/>
        </w:rPr>
        <w:t>data use- analysis, dissemination</w:t>
      </w:r>
      <w:r w:rsidR="009739EB">
        <w:rPr>
          <w:rFonts w:ascii="Arial" w:hAnsi="Arial" w:cs="Arial"/>
          <w:b/>
          <w:sz w:val="18"/>
          <w:szCs w:val="18"/>
        </w:rPr>
        <w:t>,</w:t>
      </w:r>
      <w:r w:rsidRPr="005C0C49">
        <w:rPr>
          <w:rFonts w:ascii="Arial" w:hAnsi="Arial" w:cs="Arial"/>
          <w:b/>
          <w:sz w:val="18"/>
          <w:szCs w:val="18"/>
        </w:rPr>
        <w:t xml:space="preserve"> and communication</w:t>
      </w:r>
      <w:r>
        <w:rPr>
          <w:rFonts w:ascii="Arial" w:hAnsi="Arial" w:cs="Arial"/>
          <w:sz w:val="18"/>
          <w:szCs w:val="18"/>
        </w:rPr>
        <w:t xml:space="preserve">. In addition, the checklist also </w:t>
      </w:r>
      <w:r w:rsidR="009739EB">
        <w:rPr>
          <w:rFonts w:ascii="Arial" w:hAnsi="Arial" w:cs="Arial"/>
          <w:sz w:val="18"/>
          <w:szCs w:val="18"/>
        </w:rPr>
        <w:t>includes</w:t>
      </w:r>
      <w:r w:rsidR="009739EB" w:rsidRPr="005C0C49">
        <w:rPr>
          <w:rFonts w:ascii="Arial" w:hAnsi="Arial" w:cs="Arial"/>
          <w:sz w:val="18"/>
          <w:szCs w:val="18"/>
        </w:rPr>
        <w:t xml:space="preserve"> </w:t>
      </w:r>
      <w:r w:rsidR="009739EB">
        <w:rPr>
          <w:rFonts w:ascii="Arial" w:hAnsi="Arial" w:cs="Arial"/>
          <w:sz w:val="18"/>
          <w:szCs w:val="18"/>
        </w:rPr>
        <w:t xml:space="preserve">D) </w:t>
      </w:r>
      <w:r w:rsidRPr="005C0C49">
        <w:rPr>
          <w:rFonts w:ascii="Arial" w:hAnsi="Arial" w:cs="Arial"/>
          <w:sz w:val="18"/>
          <w:szCs w:val="18"/>
        </w:rPr>
        <w:t xml:space="preserve">an </w:t>
      </w:r>
      <w:r w:rsidRPr="005C0C49">
        <w:rPr>
          <w:rFonts w:ascii="Arial" w:hAnsi="Arial" w:cs="Arial"/>
          <w:b/>
          <w:sz w:val="18"/>
          <w:szCs w:val="18"/>
        </w:rPr>
        <w:t>enabling environment</w:t>
      </w:r>
      <w:r w:rsidRPr="005C0C49">
        <w:rPr>
          <w:rFonts w:ascii="Arial" w:hAnsi="Arial" w:cs="Arial"/>
          <w:sz w:val="18"/>
          <w:szCs w:val="18"/>
        </w:rPr>
        <w:t xml:space="preserve"> </w:t>
      </w:r>
      <w:r w:rsidR="009739EB">
        <w:rPr>
          <w:rFonts w:ascii="Arial" w:hAnsi="Arial" w:cs="Arial"/>
          <w:sz w:val="18"/>
          <w:szCs w:val="18"/>
        </w:rPr>
        <w:t>component that addresses</w:t>
      </w:r>
      <w:r w:rsidRPr="005C0C49">
        <w:rPr>
          <w:rFonts w:ascii="Arial" w:hAnsi="Arial" w:cs="Arial"/>
          <w:sz w:val="18"/>
          <w:szCs w:val="18"/>
        </w:rPr>
        <w:t xml:space="preserve"> </w:t>
      </w:r>
      <w:r w:rsidRPr="0068350A">
        <w:rPr>
          <w:rFonts w:ascii="Arial" w:hAnsi="Arial" w:cs="Arial"/>
          <w:bCs/>
          <w:sz w:val="18"/>
          <w:szCs w:val="18"/>
        </w:rPr>
        <w:t>efficient leadership and coordination</w:t>
      </w:r>
      <w:r w:rsidRPr="009739EB">
        <w:rPr>
          <w:rFonts w:ascii="Arial" w:hAnsi="Arial" w:cs="Arial"/>
          <w:bCs/>
          <w:sz w:val="18"/>
          <w:szCs w:val="18"/>
        </w:rPr>
        <w:t xml:space="preserve">, </w:t>
      </w:r>
      <w:r w:rsidRPr="0068350A">
        <w:rPr>
          <w:rFonts w:ascii="Arial" w:hAnsi="Arial" w:cs="Arial"/>
          <w:bCs/>
          <w:sz w:val="18"/>
          <w:szCs w:val="18"/>
        </w:rPr>
        <w:t>continuous capacity building and adequate resources.</w:t>
      </w:r>
      <w:r w:rsidR="009739EB">
        <w:rPr>
          <w:rFonts w:ascii="Arial" w:hAnsi="Arial" w:cs="Arial"/>
          <w:bCs/>
          <w:sz w:val="18"/>
          <w:szCs w:val="18"/>
        </w:rPr>
        <w:t xml:space="preserve"> The core components are subdivided into the following sections:</w:t>
      </w:r>
    </w:p>
    <w:p w14:paraId="65702349" w14:textId="1A068735" w:rsidR="009739EB" w:rsidRDefault="009739EB" w:rsidP="00A8691B">
      <w:pPr>
        <w:pStyle w:val="Footer"/>
        <w:jc w:val="both"/>
        <w:rPr>
          <w:rFonts w:ascii="Arial" w:hAnsi="Arial" w:cs="Arial"/>
          <w:bCs/>
          <w:sz w:val="18"/>
          <w:szCs w:val="18"/>
        </w:rPr>
      </w:pPr>
    </w:p>
    <w:tbl>
      <w:tblPr>
        <w:tblStyle w:val="TableGrid"/>
        <w:tblW w:w="0" w:type="auto"/>
        <w:tblLook w:val="04A0" w:firstRow="1" w:lastRow="0" w:firstColumn="1" w:lastColumn="0" w:noHBand="0" w:noVBand="1"/>
      </w:tblPr>
      <w:tblGrid>
        <w:gridCol w:w="3703"/>
        <w:gridCol w:w="3703"/>
        <w:gridCol w:w="3703"/>
        <w:gridCol w:w="3703"/>
      </w:tblGrid>
      <w:tr w:rsidR="009739EB" w14:paraId="26DBB1C8" w14:textId="77777777" w:rsidTr="009739EB">
        <w:tc>
          <w:tcPr>
            <w:tcW w:w="3703" w:type="dxa"/>
          </w:tcPr>
          <w:p w14:paraId="0538F8CE" w14:textId="68C96DEB" w:rsidR="009739EB" w:rsidRPr="0068350A" w:rsidRDefault="00C4577F" w:rsidP="00A8691B">
            <w:pPr>
              <w:pStyle w:val="Footer"/>
              <w:jc w:val="both"/>
              <w:rPr>
                <w:rFonts w:ascii="Arial" w:hAnsi="Arial" w:cs="Arial"/>
                <w:b/>
                <w:sz w:val="18"/>
                <w:szCs w:val="18"/>
                <w:lang w:val="en-CA"/>
              </w:rPr>
            </w:pPr>
            <w:r>
              <w:rPr>
                <w:rFonts w:ascii="Arial" w:hAnsi="Arial" w:cs="Arial"/>
                <w:b/>
                <w:sz w:val="18"/>
                <w:szCs w:val="18"/>
                <w:lang w:val="en-CA"/>
              </w:rPr>
              <w:t xml:space="preserve">A. </w:t>
            </w:r>
            <w:r>
              <w:rPr>
                <w:rFonts w:ascii="Arial" w:hAnsi="Arial" w:cs="Arial"/>
                <w:b/>
                <w:sz w:val="18"/>
                <w:szCs w:val="18"/>
                <w:lang w:val="en-CA"/>
              </w:rPr>
              <w:fldChar w:fldCharType="begin"/>
            </w:r>
            <w:r>
              <w:rPr>
                <w:rFonts w:ascii="Arial" w:hAnsi="Arial" w:cs="Arial"/>
                <w:b/>
                <w:sz w:val="18"/>
                <w:szCs w:val="18"/>
                <w:lang w:val="en-CA"/>
              </w:rPr>
              <w:instrText xml:space="preserve"> REF _Ref86075575 \h </w:instrText>
            </w:r>
            <w:r>
              <w:rPr>
                <w:rFonts w:ascii="Arial" w:hAnsi="Arial" w:cs="Arial"/>
                <w:b/>
                <w:sz w:val="18"/>
                <w:szCs w:val="18"/>
                <w:lang w:val="en-CA"/>
              </w:rPr>
            </w:r>
            <w:r>
              <w:rPr>
                <w:rFonts w:ascii="Arial" w:hAnsi="Arial" w:cs="Arial"/>
                <w:b/>
                <w:sz w:val="18"/>
                <w:szCs w:val="18"/>
                <w:lang w:val="en-CA"/>
              </w:rPr>
              <w:fldChar w:fldCharType="separate"/>
            </w:r>
            <w:r w:rsidRPr="00AF0D44">
              <w:rPr>
                <w:rFonts w:ascii="Arial" w:hAnsi="Arial" w:cs="Arial"/>
                <w:b/>
                <w:bCs/>
                <w:color w:val="000000" w:themeColor="text1"/>
                <w:sz w:val="18"/>
                <w:szCs w:val="18"/>
                <w:u w:color="E36C0A"/>
              </w:rPr>
              <w:t>Data Prioritization and Planning</w:t>
            </w:r>
            <w:r>
              <w:rPr>
                <w:rFonts w:ascii="Arial" w:hAnsi="Arial" w:cs="Arial"/>
                <w:b/>
                <w:sz w:val="18"/>
                <w:szCs w:val="18"/>
                <w:lang w:val="en-CA"/>
              </w:rPr>
              <w:fldChar w:fldCharType="end"/>
            </w:r>
          </w:p>
        </w:tc>
        <w:tc>
          <w:tcPr>
            <w:tcW w:w="3703" w:type="dxa"/>
          </w:tcPr>
          <w:p w14:paraId="75ADB732" w14:textId="00842FEE" w:rsidR="005B2176" w:rsidRPr="0068350A" w:rsidRDefault="009739EB" w:rsidP="00A52F79">
            <w:pPr>
              <w:pStyle w:val="Footer"/>
              <w:jc w:val="both"/>
              <w:rPr>
                <w:rFonts w:ascii="Arial" w:hAnsi="Arial" w:cs="Arial"/>
                <w:b/>
                <w:sz w:val="18"/>
                <w:szCs w:val="18"/>
                <w:lang w:val="en-CA"/>
              </w:rPr>
            </w:pPr>
            <w:r w:rsidRPr="009739EB">
              <w:rPr>
                <w:rFonts w:ascii="Arial" w:hAnsi="Arial" w:cs="Arial"/>
                <w:b/>
                <w:sz w:val="18"/>
                <w:szCs w:val="18"/>
                <w:lang w:val="en-CA"/>
              </w:rPr>
              <w:t xml:space="preserve">B. </w:t>
            </w:r>
            <w:r w:rsidR="00C4577F">
              <w:rPr>
                <w:rFonts w:ascii="Arial" w:hAnsi="Arial" w:cs="Arial"/>
                <w:b/>
                <w:sz w:val="18"/>
                <w:szCs w:val="18"/>
                <w:lang w:val="en-CA"/>
              </w:rPr>
              <w:fldChar w:fldCharType="begin"/>
            </w:r>
            <w:r w:rsidR="00C4577F">
              <w:rPr>
                <w:rFonts w:ascii="Arial" w:hAnsi="Arial" w:cs="Arial"/>
                <w:b/>
                <w:sz w:val="18"/>
                <w:szCs w:val="18"/>
                <w:lang w:val="en-CA"/>
              </w:rPr>
              <w:instrText xml:space="preserve"> REF _Ref86075621 \h </w:instrText>
            </w:r>
            <w:r w:rsidR="00C4577F">
              <w:rPr>
                <w:rFonts w:ascii="Arial" w:hAnsi="Arial" w:cs="Arial"/>
                <w:b/>
                <w:sz w:val="18"/>
                <w:szCs w:val="18"/>
                <w:lang w:val="en-CA"/>
              </w:rPr>
            </w:r>
            <w:r w:rsidR="00C4577F">
              <w:rPr>
                <w:rFonts w:ascii="Arial" w:hAnsi="Arial" w:cs="Arial"/>
                <w:b/>
                <w:sz w:val="18"/>
                <w:szCs w:val="18"/>
                <w:lang w:val="en-CA"/>
              </w:rPr>
              <w:fldChar w:fldCharType="separate"/>
            </w:r>
            <w:r w:rsidR="005B2176">
              <w:rPr>
                <w:rFonts w:ascii="Arial" w:hAnsi="Arial" w:cs="Arial"/>
                <w:b/>
                <w:bCs/>
                <w:color w:val="000000" w:themeColor="text1"/>
                <w:sz w:val="18"/>
                <w:szCs w:val="18"/>
                <w:u w:color="E36C0A"/>
              </w:rPr>
              <w:t>Data Generation</w:t>
            </w:r>
            <w:r w:rsidR="00C4577F">
              <w:rPr>
                <w:rFonts w:ascii="Arial" w:hAnsi="Arial" w:cs="Arial"/>
                <w:b/>
                <w:sz w:val="18"/>
                <w:szCs w:val="18"/>
                <w:lang w:val="en-CA"/>
              </w:rPr>
              <w:fldChar w:fldCharType="end"/>
            </w:r>
          </w:p>
        </w:tc>
        <w:tc>
          <w:tcPr>
            <w:tcW w:w="3703" w:type="dxa"/>
          </w:tcPr>
          <w:p w14:paraId="2459FA7E" w14:textId="28417FBA" w:rsidR="009739EB" w:rsidRPr="0068350A" w:rsidRDefault="009739EB" w:rsidP="00A8691B">
            <w:pPr>
              <w:pStyle w:val="Footer"/>
              <w:jc w:val="both"/>
              <w:rPr>
                <w:rFonts w:ascii="Arial" w:hAnsi="Arial" w:cs="Arial"/>
                <w:b/>
                <w:sz w:val="18"/>
                <w:szCs w:val="18"/>
                <w:lang w:val="en-CA"/>
              </w:rPr>
            </w:pPr>
            <w:r w:rsidRPr="009739EB">
              <w:rPr>
                <w:rFonts w:ascii="Arial" w:hAnsi="Arial" w:cs="Arial"/>
                <w:b/>
                <w:sz w:val="18"/>
                <w:szCs w:val="18"/>
                <w:lang w:val="en-CA"/>
              </w:rPr>
              <w:t xml:space="preserve">C. </w:t>
            </w:r>
            <w:r w:rsidR="00C4577F">
              <w:rPr>
                <w:rFonts w:ascii="Arial" w:hAnsi="Arial" w:cs="Arial"/>
                <w:b/>
                <w:sz w:val="18"/>
                <w:szCs w:val="18"/>
                <w:lang w:val="en-CA"/>
              </w:rPr>
              <w:fldChar w:fldCharType="begin"/>
            </w:r>
            <w:r w:rsidR="00C4577F">
              <w:rPr>
                <w:rFonts w:ascii="Arial" w:hAnsi="Arial" w:cs="Arial"/>
                <w:b/>
                <w:sz w:val="18"/>
                <w:szCs w:val="18"/>
                <w:lang w:val="en-CA"/>
              </w:rPr>
              <w:instrText xml:space="preserve"> REF _Ref86075638 \h </w:instrText>
            </w:r>
            <w:r w:rsidR="00C4577F">
              <w:rPr>
                <w:rFonts w:ascii="Arial" w:hAnsi="Arial" w:cs="Arial"/>
                <w:b/>
                <w:sz w:val="18"/>
                <w:szCs w:val="18"/>
                <w:lang w:val="en-CA"/>
              </w:rPr>
            </w:r>
            <w:r w:rsidR="00C4577F">
              <w:rPr>
                <w:rFonts w:ascii="Arial" w:hAnsi="Arial" w:cs="Arial"/>
                <w:b/>
                <w:sz w:val="18"/>
                <w:szCs w:val="18"/>
                <w:lang w:val="en-CA"/>
              </w:rPr>
              <w:fldChar w:fldCharType="separate"/>
            </w:r>
            <w:r w:rsidR="00C4577F" w:rsidRPr="003A4799">
              <w:rPr>
                <w:rFonts w:ascii="Arial" w:hAnsi="Arial" w:cs="Arial"/>
                <w:b/>
                <w:bCs/>
                <w:color w:val="000000" w:themeColor="text1"/>
                <w:sz w:val="18"/>
                <w:szCs w:val="18"/>
                <w:u w:color="E36C0A"/>
              </w:rPr>
              <w:t>Data Use- Analysis, Dissemination and Communication</w:t>
            </w:r>
            <w:r w:rsidR="00C4577F">
              <w:rPr>
                <w:rFonts w:ascii="Arial" w:hAnsi="Arial" w:cs="Arial"/>
                <w:b/>
                <w:sz w:val="18"/>
                <w:szCs w:val="18"/>
                <w:lang w:val="en-CA"/>
              </w:rPr>
              <w:fldChar w:fldCharType="end"/>
            </w:r>
          </w:p>
        </w:tc>
        <w:tc>
          <w:tcPr>
            <w:tcW w:w="3703" w:type="dxa"/>
          </w:tcPr>
          <w:p w14:paraId="4A8F641E" w14:textId="23CE774D"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 xml:space="preserve">D. </w:t>
            </w:r>
            <w:r w:rsidR="00C4577F">
              <w:rPr>
                <w:rFonts w:ascii="Arial" w:hAnsi="Arial" w:cs="Arial"/>
                <w:b/>
                <w:sz w:val="18"/>
                <w:szCs w:val="18"/>
                <w:lang w:val="en-CA"/>
              </w:rPr>
              <w:fldChar w:fldCharType="begin"/>
            </w:r>
            <w:r w:rsidR="00C4577F">
              <w:rPr>
                <w:rFonts w:ascii="Arial" w:hAnsi="Arial" w:cs="Arial"/>
                <w:b/>
                <w:sz w:val="18"/>
                <w:szCs w:val="18"/>
                <w:lang w:val="en-CA"/>
              </w:rPr>
              <w:instrText xml:space="preserve"> REF _Ref86075648 \h </w:instrText>
            </w:r>
            <w:r w:rsidR="00C4577F">
              <w:rPr>
                <w:rFonts w:ascii="Arial" w:hAnsi="Arial" w:cs="Arial"/>
                <w:b/>
                <w:sz w:val="18"/>
                <w:szCs w:val="18"/>
                <w:lang w:val="en-CA"/>
              </w:rPr>
            </w:r>
            <w:r w:rsidR="00C4577F">
              <w:rPr>
                <w:rFonts w:ascii="Arial" w:hAnsi="Arial" w:cs="Arial"/>
                <w:b/>
                <w:sz w:val="18"/>
                <w:szCs w:val="18"/>
                <w:lang w:val="en-CA"/>
              </w:rPr>
              <w:fldChar w:fldCharType="separate"/>
            </w:r>
            <w:r w:rsidR="00C4577F" w:rsidRPr="003A4799">
              <w:rPr>
                <w:rFonts w:ascii="Arial" w:hAnsi="Arial" w:cs="Arial"/>
                <w:b/>
                <w:bCs/>
                <w:color w:val="000000" w:themeColor="text1"/>
                <w:sz w:val="18"/>
                <w:szCs w:val="18"/>
                <w:u w:color="E36C0A"/>
              </w:rPr>
              <w:t>Enabling Environment</w:t>
            </w:r>
            <w:r w:rsidR="00C4577F">
              <w:rPr>
                <w:rFonts w:ascii="Arial" w:hAnsi="Arial" w:cs="Arial"/>
                <w:b/>
                <w:sz w:val="18"/>
                <w:szCs w:val="18"/>
                <w:lang w:val="en-CA"/>
              </w:rPr>
              <w:fldChar w:fldCharType="end"/>
            </w:r>
          </w:p>
          <w:p w14:paraId="2AEB7B08" w14:textId="77777777" w:rsidR="009739EB" w:rsidRDefault="009739EB" w:rsidP="00A8691B">
            <w:pPr>
              <w:pStyle w:val="Footer"/>
              <w:jc w:val="both"/>
              <w:rPr>
                <w:rFonts w:ascii="Arial" w:hAnsi="Arial" w:cs="Arial"/>
                <w:bCs/>
                <w:sz w:val="18"/>
                <w:szCs w:val="18"/>
              </w:rPr>
            </w:pPr>
          </w:p>
        </w:tc>
      </w:tr>
      <w:tr w:rsidR="009739EB" w14:paraId="325A4646" w14:textId="77777777" w:rsidTr="009739EB">
        <w:tc>
          <w:tcPr>
            <w:tcW w:w="3703" w:type="dxa"/>
          </w:tcPr>
          <w:p w14:paraId="5DC78550" w14:textId="2D5B877E" w:rsidR="009739EB" w:rsidRPr="009739EB" w:rsidRDefault="009739EB" w:rsidP="0068350A">
            <w:pPr>
              <w:pStyle w:val="Footer"/>
              <w:rPr>
                <w:rFonts w:ascii="Arial" w:hAnsi="Arial" w:cs="Arial"/>
                <w:b/>
                <w:sz w:val="18"/>
                <w:szCs w:val="18"/>
                <w:lang w:val="en-CA"/>
              </w:rPr>
            </w:pPr>
            <w:r w:rsidRPr="009739EB">
              <w:rPr>
                <w:rFonts w:ascii="Arial" w:hAnsi="Arial" w:cs="Arial"/>
                <w:b/>
                <w:sz w:val="18"/>
                <w:szCs w:val="18"/>
                <w:lang w:val="en-CA"/>
              </w:rPr>
              <w:t>A.1.</w:t>
            </w:r>
            <w:r>
              <w:rPr>
                <w:rFonts w:ascii="Arial" w:hAnsi="Arial" w:cs="Arial"/>
                <w:b/>
                <w:sz w:val="18"/>
                <w:szCs w:val="18"/>
                <w:lang w:val="en-CA"/>
              </w:rPr>
              <w:t xml:space="preserve"> </w:t>
            </w:r>
            <w:r w:rsidRPr="009739EB">
              <w:rPr>
                <w:rFonts w:ascii="Arial" w:hAnsi="Arial" w:cs="Arial"/>
                <w:b/>
                <w:sz w:val="18"/>
                <w:szCs w:val="18"/>
                <w:lang w:val="en-CA"/>
              </w:rPr>
              <w:t>Guidelines and operational processes</w:t>
            </w:r>
          </w:p>
          <w:p w14:paraId="4A5241C0"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A.2 Assessment plans</w:t>
            </w:r>
          </w:p>
          <w:p w14:paraId="50B14DF9"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A.3 Contingency plan</w:t>
            </w:r>
          </w:p>
          <w:p w14:paraId="3D092086"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A.4 Strategic planning</w:t>
            </w:r>
          </w:p>
          <w:p w14:paraId="55401142" w14:textId="77777777" w:rsidR="009739EB" w:rsidRDefault="009739EB" w:rsidP="00A8691B">
            <w:pPr>
              <w:pStyle w:val="Footer"/>
              <w:jc w:val="both"/>
              <w:rPr>
                <w:rFonts w:ascii="Arial" w:hAnsi="Arial" w:cs="Arial"/>
                <w:bCs/>
                <w:sz w:val="18"/>
                <w:szCs w:val="18"/>
              </w:rPr>
            </w:pPr>
          </w:p>
        </w:tc>
        <w:tc>
          <w:tcPr>
            <w:tcW w:w="3703" w:type="dxa"/>
          </w:tcPr>
          <w:p w14:paraId="5685D181"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B.1 Data</w:t>
            </w:r>
          </w:p>
          <w:p w14:paraId="66C3133C"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B.2 Interface with other sectors</w:t>
            </w:r>
          </w:p>
          <w:p w14:paraId="15E2F562" w14:textId="77777777" w:rsidR="009739EB" w:rsidRDefault="009739EB" w:rsidP="00A8691B">
            <w:pPr>
              <w:pStyle w:val="Footer"/>
              <w:jc w:val="both"/>
              <w:rPr>
                <w:rFonts w:ascii="Arial" w:hAnsi="Arial" w:cs="Arial"/>
                <w:bCs/>
                <w:sz w:val="18"/>
                <w:szCs w:val="18"/>
              </w:rPr>
            </w:pPr>
          </w:p>
        </w:tc>
        <w:tc>
          <w:tcPr>
            <w:tcW w:w="3703" w:type="dxa"/>
          </w:tcPr>
          <w:p w14:paraId="7612F71A" w14:textId="5B69D0EA"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C.1. Data use</w:t>
            </w:r>
            <w:r w:rsidR="00294360">
              <w:rPr>
                <w:rFonts w:ascii="Arial" w:hAnsi="Arial" w:cs="Arial"/>
                <w:b/>
                <w:sz w:val="18"/>
                <w:szCs w:val="18"/>
                <w:lang w:val="en-CA"/>
              </w:rPr>
              <w:t xml:space="preserve"> and </w:t>
            </w:r>
            <w:r w:rsidRPr="009739EB">
              <w:rPr>
                <w:rFonts w:ascii="Arial" w:hAnsi="Arial" w:cs="Arial"/>
                <w:b/>
                <w:sz w:val="18"/>
                <w:szCs w:val="18"/>
                <w:lang w:val="en-CA"/>
              </w:rPr>
              <w:t>analyses</w:t>
            </w:r>
          </w:p>
          <w:p w14:paraId="509EA285" w14:textId="759FF9E0"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C.</w:t>
            </w:r>
            <w:r w:rsidR="007C1B2E">
              <w:rPr>
                <w:rFonts w:ascii="Arial" w:hAnsi="Arial" w:cs="Arial"/>
                <w:b/>
                <w:sz w:val="18"/>
                <w:szCs w:val="18"/>
                <w:lang w:val="en-CA"/>
              </w:rPr>
              <w:t>2</w:t>
            </w:r>
            <w:r w:rsidRPr="009739EB">
              <w:rPr>
                <w:rFonts w:ascii="Arial" w:hAnsi="Arial" w:cs="Arial"/>
                <w:b/>
                <w:sz w:val="18"/>
                <w:szCs w:val="18"/>
                <w:lang w:val="en-CA"/>
              </w:rPr>
              <w:t xml:space="preserve"> Dissemination and communication</w:t>
            </w:r>
          </w:p>
          <w:p w14:paraId="3EEC735D" w14:textId="77777777" w:rsidR="009739EB" w:rsidRDefault="009739EB" w:rsidP="00A8691B">
            <w:pPr>
              <w:pStyle w:val="Footer"/>
              <w:jc w:val="both"/>
              <w:rPr>
                <w:rFonts w:ascii="Arial" w:hAnsi="Arial" w:cs="Arial"/>
                <w:bCs/>
                <w:sz w:val="18"/>
                <w:szCs w:val="18"/>
              </w:rPr>
            </w:pPr>
          </w:p>
        </w:tc>
        <w:tc>
          <w:tcPr>
            <w:tcW w:w="3703" w:type="dxa"/>
          </w:tcPr>
          <w:p w14:paraId="5B19C38B"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D.1. Leadership and coordination</w:t>
            </w:r>
          </w:p>
          <w:p w14:paraId="066FA4A9"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D.2 Capacity building</w:t>
            </w:r>
          </w:p>
          <w:p w14:paraId="040C8FDC" w14:textId="77777777" w:rsidR="009739EB" w:rsidRPr="009739EB" w:rsidRDefault="009739EB" w:rsidP="009739EB">
            <w:pPr>
              <w:pStyle w:val="Footer"/>
              <w:jc w:val="both"/>
              <w:rPr>
                <w:rFonts w:ascii="Arial" w:hAnsi="Arial" w:cs="Arial"/>
                <w:b/>
                <w:sz w:val="18"/>
                <w:szCs w:val="18"/>
                <w:lang w:val="en-CA"/>
              </w:rPr>
            </w:pPr>
            <w:r w:rsidRPr="009739EB">
              <w:rPr>
                <w:rFonts w:ascii="Arial" w:hAnsi="Arial" w:cs="Arial"/>
                <w:b/>
                <w:sz w:val="18"/>
                <w:szCs w:val="18"/>
                <w:lang w:val="en-CA"/>
              </w:rPr>
              <w:t>D.3 Resource mobilisation</w:t>
            </w:r>
          </w:p>
          <w:p w14:paraId="10128A8F" w14:textId="77777777" w:rsidR="009739EB" w:rsidRDefault="009739EB" w:rsidP="00A8691B">
            <w:pPr>
              <w:pStyle w:val="Footer"/>
              <w:jc w:val="both"/>
              <w:rPr>
                <w:rFonts w:ascii="Arial" w:hAnsi="Arial" w:cs="Arial"/>
                <w:bCs/>
                <w:sz w:val="18"/>
                <w:szCs w:val="18"/>
              </w:rPr>
            </w:pPr>
          </w:p>
        </w:tc>
      </w:tr>
    </w:tbl>
    <w:p w14:paraId="077DAE03" w14:textId="77777777" w:rsidR="009739EB" w:rsidRDefault="009739EB" w:rsidP="00A8691B">
      <w:pPr>
        <w:pStyle w:val="Footer"/>
        <w:jc w:val="both"/>
        <w:rPr>
          <w:rFonts w:ascii="Arial" w:hAnsi="Arial" w:cs="Arial"/>
          <w:bCs/>
          <w:sz w:val="18"/>
          <w:szCs w:val="18"/>
        </w:rPr>
      </w:pPr>
    </w:p>
    <w:p w14:paraId="407E6628" w14:textId="4C21E519" w:rsidR="009739EB" w:rsidRDefault="009739EB" w:rsidP="00A8691B">
      <w:pPr>
        <w:pStyle w:val="Footer"/>
        <w:jc w:val="both"/>
        <w:rPr>
          <w:rFonts w:ascii="Arial" w:hAnsi="Arial" w:cs="Arial"/>
          <w:bCs/>
          <w:sz w:val="18"/>
          <w:szCs w:val="18"/>
        </w:rPr>
      </w:pPr>
    </w:p>
    <w:p w14:paraId="484CE343" w14:textId="77777777" w:rsidR="009739EB" w:rsidRPr="009739EB" w:rsidRDefault="009739EB" w:rsidP="009739EB">
      <w:pPr>
        <w:pStyle w:val="Footer"/>
        <w:jc w:val="both"/>
        <w:rPr>
          <w:rFonts w:ascii="Arial" w:hAnsi="Arial" w:cs="Arial"/>
          <w:b/>
          <w:sz w:val="18"/>
          <w:szCs w:val="18"/>
          <w:lang w:val="en-CA"/>
        </w:rPr>
      </w:pPr>
    </w:p>
    <w:p w14:paraId="2FFA3D83" w14:textId="77777777" w:rsidR="009739EB" w:rsidRPr="009739EB" w:rsidRDefault="009739EB" w:rsidP="009739EB">
      <w:pPr>
        <w:pStyle w:val="Footer"/>
        <w:jc w:val="both"/>
        <w:rPr>
          <w:rFonts w:ascii="Arial" w:hAnsi="Arial" w:cs="Arial"/>
          <w:b/>
          <w:sz w:val="18"/>
          <w:szCs w:val="18"/>
          <w:lang w:val="en-CA"/>
        </w:rPr>
      </w:pPr>
    </w:p>
    <w:p w14:paraId="4B5EBE62" w14:textId="77777777" w:rsidR="009739EB" w:rsidRPr="005C0C49" w:rsidRDefault="009739EB" w:rsidP="00A8691B">
      <w:pPr>
        <w:pStyle w:val="Footer"/>
        <w:jc w:val="both"/>
        <w:rPr>
          <w:rFonts w:ascii="Arial" w:hAnsi="Arial" w:cs="Arial"/>
          <w:b/>
          <w:sz w:val="18"/>
          <w:szCs w:val="18"/>
        </w:rPr>
      </w:pPr>
    </w:p>
    <w:p w14:paraId="47E9ABC9" w14:textId="6A700B1E" w:rsidR="0017566F" w:rsidRPr="00D73CA5" w:rsidRDefault="0017566F" w:rsidP="00A8691B">
      <w:pPr>
        <w:pStyle w:val="Footer"/>
        <w:jc w:val="both"/>
        <w:rPr>
          <w:rFonts w:ascii="Arial" w:hAnsi="Arial" w:cs="Arial"/>
          <w:sz w:val="18"/>
          <w:szCs w:val="18"/>
        </w:rPr>
      </w:pPr>
    </w:p>
    <w:tbl>
      <w:tblPr>
        <w:tblStyle w:val="TableGridLight"/>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39"/>
        <w:gridCol w:w="11340"/>
      </w:tblGrid>
      <w:tr w:rsidR="00121C10" w:rsidRPr="00D73CA5" w14:paraId="46A8506D" w14:textId="77777777" w:rsidTr="00EC5D21">
        <w:trPr>
          <w:trHeight w:val="228"/>
        </w:trPr>
        <w:tc>
          <w:tcPr>
            <w:tcW w:w="14879" w:type="dxa"/>
            <w:gridSpan w:val="2"/>
            <w:shd w:val="clear" w:color="auto" w:fill="D9D9D9" w:themeFill="background1" w:themeFillShade="D9"/>
          </w:tcPr>
          <w:p w14:paraId="07D66333" w14:textId="7F9ACF83" w:rsidR="00121C10" w:rsidRPr="00D73CA5" w:rsidRDefault="00121C10" w:rsidP="00CD489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sidRPr="00D73CA5">
              <w:rPr>
                <w:rFonts w:ascii="Arial" w:hAnsi="Arial" w:cs="Arial"/>
                <w:b/>
                <w:bCs/>
                <w:color w:val="91C93D"/>
                <w:sz w:val="18"/>
                <w:szCs w:val="18"/>
                <w:u w:color="E36C0A"/>
              </w:rPr>
              <w:t xml:space="preserve">Nutrition Information Systems </w:t>
            </w:r>
            <w:r w:rsidR="009739EB">
              <w:rPr>
                <w:rFonts w:ascii="Arial" w:hAnsi="Arial" w:cs="Arial"/>
                <w:b/>
                <w:bCs/>
                <w:color w:val="91C93D"/>
                <w:sz w:val="18"/>
                <w:szCs w:val="18"/>
                <w:u w:color="E36C0A"/>
              </w:rPr>
              <w:t>Checklist</w:t>
            </w:r>
          </w:p>
        </w:tc>
      </w:tr>
      <w:tr w:rsidR="0032223F" w:rsidRPr="0032223F" w14:paraId="51CCACE6" w14:textId="77777777" w:rsidTr="00F74DBA">
        <w:tc>
          <w:tcPr>
            <w:tcW w:w="14879" w:type="dxa"/>
            <w:gridSpan w:val="2"/>
            <w:shd w:val="clear" w:color="auto" w:fill="D9D9D9" w:themeFill="background1" w:themeFillShade="D9"/>
          </w:tcPr>
          <w:p w14:paraId="4C82D25A" w14:textId="63E6163A" w:rsidR="00121C10" w:rsidRPr="0032223F" w:rsidRDefault="00655FDB" w:rsidP="002C63B4">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1" w:name="_Ref86075575"/>
            <w:r w:rsidRPr="00AF0D44">
              <w:rPr>
                <w:rFonts w:ascii="Arial" w:hAnsi="Arial" w:cs="Arial"/>
                <w:b/>
                <w:bCs/>
                <w:color w:val="000000" w:themeColor="text1"/>
                <w:sz w:val="18"/>
                <w:szCs w:val="18"/>
                <w:u w:color="E36C0A"/>
              </w:rPr>
              <w:t>Data Prioritization and Planning</w:t>
            </w:r>
            <w:bookmarkEnd w:id="1"/>
          </w:p>
        </w:tc>
      </w:tr>
      <w:tr w:rsidR="00D65F7F" w:rsidRPr="00D73CA5" w14:paraId="5C6526E2" w14:textId="77777777" w:rsidTr="0068350A">
        <w:tc>
          <w:tcPr>
            <w:tcW w:w="3539" w:type="dxa"/>
            <w:shd w:val="clear" w:color="auto" w:fill="auto"/>
          </w:tcPr>
          <w:p w14:paraId="630E350A" w14:textId="77777777" w:rsidR="00D65F7F" w:rsidRPr="002C63B4" w:rsidRDefault="00D65F7F" w:rsidP="002C63B4">
            <w:pPr>
              <w:jc w:val="both"/>
              <w:rPr>
                <w:rFonts w:ascii="Arial" w:eastAsia="Times New Roman" w:hAnsi="Arial" w:cs="Arial"/>
                <w:iCs/>
                <w:sz w:val="18"/>
                <w:szCs w:val="18"/>
                <w:lang w:eastAsia="fr-FR"/>
              </w:rPr>
            </w:pPr>
            <w:r w:rsidRPr="002C63B4">
              <w:rPr>
                <w:rFonts w:ascii="Arial" w:hAnsi="Arial" w:cs="Arial"/>
                <w:b/>
                <w:bCs/>
                <w:sz w:val="18"/>
                <w:szCs w:val="18"/>
              </w:rPr>
              <w:t>A.1 Guidelines and operational processes</w:t>
            </w:r>
          </w:p>
        </w:tc>
        <w:tc>
          <w:tcPr>
            <w:tcW w:w="11340" w:type="dxa"/>
            <w:shd w:val="clear" w:color="auto" w:fill="auto"/>
          </w:tcPr>
          <w:p w14:paraId="128D93A0" w14:textId="33FF7444" w:rsidR="00D65F7F" w:rsidRPr="0068350A" w:rsidRDefault="00D65F7F" w:rsidP="002C63B4">
            <w:pPr>
              <w:jc w:val="both"/>
              <w:rPr>
                <w:rFonts w:ascii="Arial" w:eastAsia="Times New Roman" w:hAnsi="Arial" w:cs="Arial"/>
                <w:b/>
                <w:bCs/>
                <w:iCs/>
                <w:sz w:val="18"/>
                <w:szCs w:val="18"/>
                <w:lang w:eastAsia="fr-FR"/>
              </w:rPr>
            </w:pPr>
            <w:r w:rsidRPr="0068350A">
              <w:rPr>
                <w:rFonts w:ascii="Arial" w:eastAsia="Times New Roman" w:hAnsi="Arial" w:cs="Arial"/>
                <w:b/>
                <w:bCs/>
                <w:iCs/>
                <w:sz w:val="18"/>
                <w:szCs w:val="18"/>
                <w:lang w:eastAsia="fr-FR"/>
              </w:rPr>
              <w:t>DESCRIPTION</w:t>
            </w:r>
          </w:p>
        </w:tc>
      </w:tr>
      <w:tr w:rsidR="00B00AB6" w:rsidRPr="00D73CA5" w14:paraId="2B6E0468" w14:textId="77777777" w:rsidTr="00F74DBA">
        <w:tc>
          <w:tcPr>
            <w:tcW w:w="3539" w:type="dxa"/>
            <w:shd w:val="clear" w:color="auto" w:fill="auto"/>
          </w:tcPr>
          <w:p w14:paraId="5E600026" w14:textId="368AD1CF" w:rsidR="00B00AB6" w:rsidRPr="00D73CA5" w:rsidRDefault="002C63B4" w:rsidP="00D30EAD">
            <w:pPr>
              <w:pStyle w:val="ListParagraph"/>
              <w:numPr>
                <w:ilvl w:val="0"/>
                <w:numId w:val="16"/>
              </w:numPr>
              <w:rPr>
                <w:rFonts w:ascii="Arial" w:hAnsi="Arial" w:cs="Arial"/>
                <w:iCs/>
                <w:sz w:val="18"/>
                <w:szCs w:val="18"/>
              </w:rPr>
            </w:pPr>
            <w:r>
              <w:rPr>
                <w:rFonts w:ascii="Arial" w:eastAsia="Arial Unicode MS" w:hAnsi="Arial" w:cs="Arial"/>
                <w:color w:val="000000"/>
                <w:sz w:val="18"/>
                <w:szCs w:val="18"/>
                <w:u w:color="000000"/>
                <w:bdr w:val="nil"/>
                <w:lang w:eastAsia="fr-FR"/>
              </w:rPr>
              <w:t xml:space="preserve">A.1.1 </w:t>
            </w:r>
            <w:r w:rsidR="00B00AB6" w:rsidRPr="0080337C">
              <w:rPr>
                <w:rFonts w:ascii="Arial" w:eastAsia="Arial Unicode MS" w:hAnsi="Arial" w:cs="Arial"/>
                <w:color w:val="000000"/>
                <w:sz w:val="18"/>
                <w:szCs w:val="18"/>
                <w:u w:color="000000"/>
                <w:bdr w:val="nil"/>
                <w:lang w:eastAsia="fr-FR"/>
              </w:rPr>
              <w:t>Are there clear national guidelines on NIS</w:t>
            </w:r>
            <w:r w:rsidR="00854721" w:rsidRPr="0080337C">
              <w:rPr>
                <w:rFonts w:ascii="Arial" w:eastAsia="Arial Unicode MS" w:hAnsi="Arial" w:cs="Arial"/>
                <w:color w:val="000000"/>
                <w:sz w:val="18"/>
                <w:szCs w:val="18"/>
                <w:u w:color="000000"/>
                <w:bdr w:val="nil"/>
                <w:lang w:eastAsia="fr-FR"/>
              </w:rPr>
              <w:t xml:space="preserve"> adopted</w:t>
            </w:r>
            <w:r w:rsidR="00B00AB6" w:rsidRPr="0080337C">
              <w:rPr>
                <w:rFonts w:ascii="Arial" w:eastAsia="Arial Unicode MS" w:hAnsi="Arial" w:cs="Arial"/>
                <w:color w:val="000000"/>
                <w:sz w:val="18"/>
                <w:szCs w:val="18"/>
                <w:u w:color="000000"/>
                <w:bdr w:val="nil"/>
                <w:lang w:eastAsia="fr-FR"/>
              </w:rPr>
              <w:t xml:space="preserve"> by the country?</w:t>
            </w:r>
            <w:r w:rsidR="00B00AB6" w:rsidRPr="00D73CA5">
              <w:rPr>
                <w:rFonts w:ascii="Arial" w:eastAsia="Arial Unicode MS" w:hAnsi="Arial" w:cs="Arial"/>
                <w:color w:val="000000"/>
                <w:sz w:val="18"/>
                <w:szCs w:val="18"/>
                <w:u w:color="000000"/>
                <w:bdr w:val="nil"/>
                <w:lang w:eastAsia="fr-FR"/>
              </w:rPr>
              <w:t xml:space="preserve"> </w:t>
            </w:r>
          </w:p>
        </w:tc>
        <w:tc>
          <w:tcPr>
            <w:tcW w:w="11340" w:type="dxa"/>
            <w:shd w:val="clear" w:color="auto" w:fill="auto"/>
          </w:tcPr>
          <w:p w14:paraId="005078E8" w14:textId="41E87584" w:rsidR="00B00AB6" w:rsidRPr="00D73CA5" w:rsidRDefault="00B00AB6" w:rsidP="00AF0D44">
            <w:p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 xml:space="preserve">NIS need to be carefully thought through and customized to meet the needs and demands for a country’s national monitoring system. </w:t>
            </w:r>
            <w:r w:rsidRPr="00D73CA5">
              <w:rPr>
                <w:rFonts w:ascii="Arial" w:hAnsi="Arial" w:cs="Arial"/>
                <w:sz w:val="18"/>
                <w:szCs w:val="18"/>
              </w:rPr>
              <w:t>NIS vary significantly depending on the context, type of humanitarian situation (i.e.</w:t>
            </w:r>
            <w:r w:rsidR="009739EB">
              <w:rPr>
                <w:rFonts w:ascii="Arial" w:hAnsi="Arial" w:cs="Arial"/>
                <w:sz w:val="18"/>
                <w:szCs w:val="18"/>
              </w:rPr>
              <w:t>,</w:t>
            </w:r>
            <w:r w:rsidRPr="00D73CA5">
              <w:rPr>
                <w:rFonts w:ascii="Arial" w:hAnsi="Arial" w:cs="Arial"/>
                <w:sz w:val="18"/>
                <w:szCs w:val="18"/>
              </w:rPr>
              <w:t xml:space="preserve"> rapid onset emergency or protracted crisis), type of information needed, frequency of reporting, capacity of staff and other resources available. Therefore, a</w:t>
            </w:r>
            <w:r w:rsidR="009739EB">
              <w:rPr>
                <w:rFonts w:ascii="Arial" w:hAnsi="Arial" w:cs="Arial"/>
                <w:sz w:val="18"/>
                <w:szCs w:val="18"/>
              </w:rPr>
              <w:t>n</w:t>
            </w:r>
            <w:r w:rsidRPr="00D73CA5">
              <w:rPr>
                <w:rFonts w:ascii="Arial" w:hAnsi="Arial" w:cs="Arial"/>
                <w:sz w:val="18"/>
                <w:szCs w:val="18"/>
              </w:rPr>
              <w:t xml:space="preserve"> NIS must be linked and represented in the national nutrition strategy, policy or action plan that aims to inform programming across the country. </w:t>
            </w:r>
            <w:r w:rsidRPr="00D73CA5">
              <w:rPr>
                <w:rFonts w:ascii="Arial" w:eastAsia="Arial Unicode MS" w:hAnsi="Arial" w:cs="Arial"/>
                <w:color w:val="000000"/>
                <w:sz w:val="18"/>
                <w:szCs w:val="18"/>
                <w:u w:color="000000"/>
                <w:bdr w:val="nil"/>
                <w:lang w:eastAsia="fr-FR"/>
              </w:rPr>
              <w:t>Although there is no ‘blueprint’ for NIS and countries are developing their own unique approaches, most countries find it useful to establish a national framework to collate information from multiple sources</w:t>
            </w:r>
            <w:r w:rsidR="009739EB">
              <w:rPr>
                <w:rFonts w:ascii="Arial" w:eastAsia="Arial Unicode MS" w:hAnsi="Arial" w:cs="Arial"/>
                <w:color w:val="000000"/>
                <w:sz w:val="18"/>
                <w:szCs w:val="18"/>
                <w:u w:color="000000"/>
                <w:bdr w:val="nil"/>
                <w:lang w:eastAsia="fr-FR"/>
              </w:rPr>
              <w:t>. This is useful</w:t>
            </w:r>
            <w:r w:rsidRPr="00D73CA5">
              <w:rPr>
                <w:rFonts w:ascii="Arial" w:eastAsia="Arial Unicode MS" w:hAnsi="Arial" w:cs="Arial"/>
                <w:color w:val="000000"/>
                <w:sz w:val="18"/>
                <w:szCs w:val="18"/>
                <w:u w:color="000000"/>
                <w:bdr w:val="nil"/>
                <w:lang w:eastAsia="fr-FR"/>
              </w:rPr>
              <w:t xml:space="preserve"> to track progress and prioritize responses to improve the nutritional status of its people. National guidelines should reflect the context of the country, and often include these common elements:</w:t>
            </w:r>
          </w:p>
          <w:p w14:paraId="2A3B0C63" w14:textId="77777777" w:rsidR="00B00AB6" w:rsidRPr="00D73CA5" w:rsidRDefault="00B00AB6" w:rsidP="00AF0D44">
            <w:pPr>
              <w:pStyle w:val="ListParagraph"/>
              <w:numPr>
                <w:ilvl w:val="0"/>
                <w:numId w:val="14"/>
              </w:num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Clear objectives that define nutrition-related data needs: to track global targets, to inform the monitoring and evaluation of the Nutrition Plan of Action, to monitor the changes of the nutrition situation to name a few examples;</w:t>
            </w:r>
          </w:p>
          <w:p w14:paraId="3656FCF8" w14:textId="77777777" w:rsidR="00B00AB6" w:rsidRPr="00D73CA5" w:rsidRDefault="00B00AB6" w:rsidP="00AF0D44">
            <w:pPr>
              <w:pStyle w:val="ListParagraph"/>
              <w:numPr>
                <w:ilvl w:val="0"/>
                <w:numId w:val="14"/>
              </w:num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Recommended sources and data collection methods (the most common ones already mentioned above);</w:t>
            </w:r>
          </w:p>
          <w:p w14:paraId="42339780" w14:textId="77777777" w:rsidR="00B00AB6" w:rsidRPr="00D73CA5" w:rsidRDefault="00B00AB6" w:rsidP="00AF0D44">
            <w:pPr>
              <w:pStyle w:val="ListParagraph"/>
              <w:numPr>
                <w:ilvl w:val="0"/>
                <w:numId w:val="14"/>
              </w:num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Indicator registry with specific variables, population groups (i.e. those most vulnerable), analysis plans, and thresholds for interpretation (i.e. emergency thresholds);</w:t>
            </w:r>
          </w:p>
          <w:p w14:paraId="5047E86F" w14:textId="77777777" w:rsidR="00B00AB6" w:rsidRPr="00D73CA5" w:rsidRDefault="00B00AB6" w:rsidP="00AF0D44">
            <w:pPr>
              <w:pStyle w:val="ListParagraph"/>
              <w:numPr>
                <w:ilvl w:val="0"/>
                <w:numId w:val="14"/>
              </w:num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Roles and responsibilities for nutrition data, often divided among different ministries or institutions; however during humanitarian crises, it is generally taken over by the Nutrition Cluster-led N</w:t>
            </w:r>
            <w:r>
              <w:rPr>
                <w:rFonts w:ascii="Arial" w:eastAsia="Arial Unicode MS" w:hAnsi="Arial" w:cs="Arial"/>
                <w:color w:val="000000"/>
                <w:sz w:val="18"/>
                <w:szCs w:val="18"/>
                <w:u w:color="000000"/>
                <w:bdr w:val="nil"/>
                <w:lang w:eastAsia="fr-FR"/>
              </w:rPr>
              <w:t>IS Technical</w:t>
            </w:r>
            <w:r w:rsidRPr="00D73CA5">
              <w:rPr>
                <w:rFonts w:ascii="Arial" w:eastAsia="Arial Unicode MS" w:hAnsi="Arial" w:cs="Arial"/>
                <w:color w:val="000000"/>
                <w:sz w:val="18"/>
                <w:szCs w:val="18"/>
                <w:u w:color="000000"/>
                <w:bdr w:val="nil"/>
                <w:lang w:eastAsia="fr-FR"/>
              </w:rPr>
              <w:t xml:space="preserve"> Working Group</w:t>
            </w:r>
            <w:r>
              <w:rPr>
                <w:rFonts w:ascii="Arial" w:eastAsia="Arial Unicode MS" w:hAnsi="Arial" w:cs="Arial"/>
                <w:color w:val="000000"/>
                <w:sz w:val="18"/>
                <w:szCs w:val="18"/>
                <w:u w:color="000000"/>
                <w:bdr w:val="nil"/>
                <w:lang w:eastAsia="fr-FR"/>
              </w:rPr>
              <w:t xml:space="preserve"> (TWG)</w:t>
            </w:r>
            <w:r w:rsidRPr="00D73CA5">
              <w:rPr>
                <w:rFonts w:ascii="Arial" w:eastAsia="Arial Unicode MS" w:hAnsi="Arial" w:cs="Arial"/>
                <w:color w:val="000000"/>
                <w:sz w:val="18"/>
                <w:szCs w:val="18"/>
                <w:u w:color="000000"/>
                <w:bdr w:val="nil"/>
                <w:lang w:eastAsia="fr-FR"/>
              </w:rPr>
              <w:t xml:space="preserve"> or equivalent (details provided below);</w:t>
            </w:r>
          </w:p>
          <w:p w14:paraId="71ACC97B" w14:textId="77777777" w:rsidR="00B00AB6" w:rsidRPr="00D73CA5" w:rsidRDefault="00B00AB6" w:rsidP="00AF0D44">
            <w:pPr>
              <w:pStyle w:val="ListParagraph"/>
              <w:numPr>
                <w:ilvl w:val="0"/>
                <w:numId w:val="14"/>
              </w:numPr>
              <w:spacing w:after="60"/>
              <w:rPr>
                <w:rFonts w:ascii="Arial" w:hAnsi="Arial" w:cs="Arial"/>
                <w:sz w:val="18"/>
                <w:szCs w:val="18"/>
              </w:rPr>
            </w:pPr>
            <w:r w:rsidRPr="00D73CA5">
              <w:rPr>
                <w:rFonts w:ascii="Arial" w:eastAsia="Arial Unicode MS" w:hAnsi="Arial" w:cs="Arial"/>
                <w:color w:val="000000"/>
                <w:sz w:val="18"/>
                <w:szCs w:val="18"/>
                <w:u w:color="000000"/>
                <w:bdr w:val="nil"/>
                <w:lang w:eastAsia="fr-FR"/>
              </w:rPr>
              <w:t xml:space="preserve">Data-driven processes to inform the implementation of actions, as well as response and targeting strategies. </w:t>
            </w:r>
          </w:p>
          <w:p w14:paraId="23F28F3E" w14:textId="0CBA67C0" w:rsidR="00B00AB6" w:rsidRPr="00B91EEB" w:rsidRDefault="00B00AB6" w:rsidP="00EC1F1D">
            <w:pPr>
              <w:jc w:val="both"/>
              <w:rPr>
                <w:rFonts w:ascii="Arial" w:eastAsia="Times New Roman" w:hAnsi="Arial" w:cs="Arial"/>
                <w:iCs/>
                <w:sz w:val="18"/>
                <w:szCs w:val="18"/>
                <w:lang w:eastAsia="fr-FR"/>
              </w:rPr>
            </w:pPr>
            <w:r w:rsidRPr="00D73CA5">
              <w:rPr>
                <w:rFonts w:ascii="Arial" w:eastAsia="Arial Unicode MS" w:hAnsi="Arial" w:cs="Arial"/>
                <w:color w:val="000000"/>
                <w:sz w:val="18"/>
                <w:szCs w:val="18"/>
                <w:u w:color="000000"/>
                <w:bdr w:val="nil"/>
                <w:lang w:eastAsia="fr-FR"/>
              </w:rPr>
              <w:t xml:space="preserve">Reliable monitoring of progress, evaluation of nutrition-related outcomes and demonstration of results are also core functions for countries participating in the SUN Movement, where many countries have recently revised their national goals and are establishing robust nutrition information systems to measure their progress towards the </w:t>
            </w:r>
            <w:hyperlink r:id="rId21" w:history="1">
              <w:r w:rsidRPr="00D73CA5">
                <w:rPr>
                  <w:rStyle w:val="Hyperlink"/>
                  <w:rFonts w:ascii="Arial" w:eastAsia="Arial Unicode MS" w:hAnsi="Arial" w:cs="Arial"/>
                  <w:sz w:val="18"/>
                  <w:szCs w:val="18"/>
                  <w:bdr w:val="nil"/>
                  <w:lang w:eastAsia="fr-FR"/>
                </w:rPr>
                <w:t>WHA agreed targets</w:t>
              </w:r>
            </w:hyperlink>
            <w:r w:rsidRPr="00D73CA5">
              <w:rPr>
                <w:rFonts w:ascii="Arial" w:eastAsia="Arial Unicode MS" w:hAnsi="Arial" w:cs="Arial"/>
                <w:color w:val="000000"/>
                <w:sz w:val="18"/>
                <w:szCs w:val="18"/>
                <w:u w:color="000000"/>
                <w:bdr w:val="nil"/>
                <w:lang w:eastAsia="fr-FR"/>
              </w:rPr>
              <w:t xml:space="preserve">, in addition to contributing information towards </w:t>
            </w:r>
            <w:hyperlink r:id="rId22" w:history="1">
              <w:r w:rsidRPr="00D73CA5">
                <w:rPr>
                  <w:rStyle w:val="Hyperlink"/>
                  <w:rFonts w:ascii="Arial" w:eastAsia="Arial Unicode MS" w:hAnsi="Arial" w:cs="Arial"/>
                  <w:sz w:val="18"/>
                  <w:szCs w:val="18"/>
                  <w:bdr w:val="nil"/>
                  <w:lang w:eastAsia="fr-FR"/>
                </w:rPr>
                <w:t>Sustainable Development Goal 2</w:t>
              </w:r>
            </w:hyperlink>
            <w:r w:rsidRPr="00D73CA5">
              <w:rPr>
                <w:rFonts w:ascii="Arial" w:eastAsia="Arial Unicode MS" w:hAnsi="Arial" w:cs="Arial"/>
                <w:color w:val="000000"/>
                <w:sz w:val="18"/>
                <w:szCs w:val="18"/>
                <w:u w:color="000000"/>
                <w:bdr w:val="nil"/>
                <w:lang w:eastAsia="fr-FR"/>
              </w:rPr>
              <w:t xml:space="preserve">. </w:t>
            </w:r>
          </w:p>
        </w:tc>
      </w:tr>
      <w:tr w:rsidR="00CA4A95" w:rsidRPr="00D73CA5" w14:paraId="748B118A" w14:textId="77777777" w:rsidTr="00F74DBA">
        <w:tc>
          <w:tcPr>
            <w:tcW w:w="3539" w:type="dxa"/>
            <w:shd w:val="clear" w:color="auto" w:fill="auto"/>
          </w:tcPr>
          <w:p w14:paraId="3FC579B1" w14:textId="6919D4AE" w:rsidR="00CA4A95" w:rsidRPr="0080337C" w:rsidRDefault="00CA4A95" w:rsidP="00CA4A95">
            <w:pPr>
              <w:pStyle w:val="ListParagraph"/>
              <w:numPr>
                <w:ilvl w:val="0"/>
                <w:numId w:val="16"/>
              </w:numPr>
              <w:rPr>
                <w:rFonts w:ascii="Arial" w:hAnsi="Arial" w:cs="Arial"/>
                <w:sz w:val="18"/>
                <w:szCs w:val="18"/>
              </w:rPr>
            </w:pPr>
            <w:r w:rsidRPr="0080337C">
              <w:rPr>
                <w:rFonts w:ascii="Arial" w:hAnsi="Arial" w:cs="Arial"/>
                <w:sz w:val="18"/>
                <w:szCs w:val="18"/>
              </w:rPr>
              <w:t xml:space="preserve">A.1.2 Are there pre-agreed upon interim national guidelines that can be adapted and adopted when facing </w:t>
            </w:r>
            <w:r w:rsidRPr="0080337C">
              <w:rPr>
                <w:rFonts w:ascii="Arial" w:hAnsi="Arial" w:cs="Arial"/>
                <w:b/>
                <w:bCs/>
                <w:i/>
                <w:iCs/>
                <w:sz w:val="18"/>
                <w:szCs w:val="18"/>
              </w:rPr>
              <w:t>an infectious disease outbreak</w:t>
            </w:r>
            <w:r w:rsidRPr="0080337C">
              <w:rPr>
                <w:rFonts w:ascii="Arial" w:hAnsi="Arial" w:cs="Arial"/>
                <w:sz w:val="18"/>
                <w:szCs w:val="18"/>
              </w:rPr>
              <w:t xml:space="preserve"> such as COVID-19 or Ebola?</w:t>
            </w:r>
          </w:p>
        </w:tc>
        <w:tc>
          <w:tcPr>
            <w:tcW w:w="11340" w:type="dxa"/>
            <w:shd w:val="clear" w:color="auto" w:fill="auto"/>
          </w:tcPr>
          <w:p w14:paraId="15DA58BD" w14:textId="16B29CB9" w:rsidR="00CA4A95" w:rsidRPr="0080337C" w:rsidRDefault="00CA4A95" w:rsidP="00AF0D44">
            <w:pPr>
              <w:spacing w:after="60"/>
              <w:rPr>
                <w:rFonts w:ascii="Arial" w:eastAsia="Arial Unicode MS" w:hAnsi="Arial" w:cs="Arial"/>
                <w:color w:val="000000"/>
                <w:sz w:val="18"/>
                <w:szCs w:val="18"/>
                <w:u w:color="000000"/>
                <w:bdr w:val="nil"/>
                <w:lang w:eastAsia="fr-FR"/>
              </w:rPr>
            </w:pPr>
            <w:r w:rsidRPr="0080337C">
              <w:rPr>
                <w:rFonts w:ascii="Arial" w:eastAsia="Arial Unicode MS" w:hAnsi="Arial" w:cs="Arial"/>
                <w:color w:val="000000"/>
                <w:sz w:val="18"/>
                <w:szCs w:val="18"/>
                <w:u w:color="000000"/>
                <w:bdr w:val="nil"/>
              </w:rPr>
              <w:t xml:space="preserve">The threat of infectious diseases is real and recurrent. It requires the cluster and/or sector to stand ready to adapt the collection of primary nutrition information according to public health measures to reduce any risk of transmission. After the COVID19 pandemic was declared in 2020, a number of global </w:t>
            </w:r>
            <w:hyperlink r:id="rId23" w:history="1">
              <w:r w:rsidRPr="0080337C">
                <w:rPr>
                  <w:rStyle w:val="Hyperlink"/>
                  <w:rFonts w:ascii="Arial" w:eastAsia="Arial Unicode MS" w:hAnsi="Arial" w:cs="Arial"/>
                  <w:sz w:val="18"/>
                  <w:szCs w:val="18"/>
                  <w:bdr w:val="nil"/>
                </w:rPr>
                <w:t>technical briefs</w:t>
              </w:r>
            </w:hyperlink>
            <w:r w:rsidRPr="0080337C">
              <w:rPr>
                <w:rFonts w:ascii="Arial" w:eastAsia="Arial Unicode MS" w:hAnsi="Arial" w:cs="Arial"/>
                <w:color w:val="000000"/>
                <w:sz w:val="18"/>
                <w:szCs w:val="18"/>
                <w:u w:color="000000"/>
                <w:bdr w:val="nil"/>
              </w:rPr>
              <w:t xml:space="preserve"> have been issued to encourage countries to explore alternative data collection methods beyond face-to-face population-based surveys, including the use of remote or phone-based surveys. </w:t>
            </w:r>
            <w:hyperlink r:id="rId24" w:history="1">
              <w:r w:rsidRPr="0080337C">
                <w:rPr>
                  <w:rStyle w:val="Hyperlink"/>
                  <w:rFonts w:ascii="Arial" w:eastAsia="Arial Unicode MS" w:hAnsi="Arial" w:cs="Arial"/>
                  <w:sz w:val="18"/>
                  <w:szCs w:val="18"/>
                  <w:bdr w:val="nil"/>
                </w:rPr>
                <w:t>Interim guidance on how to safely resume face-to-face population-based surveys using the SMART methodology</w:t>
              </w:r>
            </w:hyperlink>
            <w:r w:rsidRPr="0080337C">
              <w:rPr>
                <w:rFonts w:ascii="Arial" w:eastAsia="Arial Unicode MS" w:hAnsi="Arial" w:cs="Arial"/>
                <w:color w:val="000000"/>
                <w:sz w:val="18"/>
                <w:szCs w:val="18"/>
                <w:u w:color="000000"/>
                <w:bdr w:val="nil"/>
              </w:rPr>
              <w:t xml:space="preserve"> provides key considerations on whether this type of primary data collection would be feasible and necessary.</w:t>
            </w:r>
          </w:p>
        </w:tc>
      </w:tr>
      <w:tr w:rsidR="00B00AB6" w:rsidRPr="00D73CA5" w14:paraId="3E34E4D2" w14:textId="77777777" w:rsidTr="00F74DBA">
        <w:tc>
          <w:tcPr>
            <w:tcW w:w="3539" w:type="dxa"/>
            <w:shd w:val="clear" w:color="auto" w:fill="auto"/>
          </w:tcPr>
          <w:p w14:paraId="73E96415" w14:textId="060EE4A7" w:rsidR="00B00AB6" w:rsidRPr="00D73CA5" w:rsidRDefault="002C63B4" w:rsidP="00CA4A95">
            <w:pPr>
              <w:pStyle w:val="ListParagraph"/>
              <w:numPr>
                <w:ilvl w:val="0"/>
                <w:numId w:val="16"/>
              </w:numPr>
              <w:rPr>
                <w:rFonts w:ascii="Arial" w:hAnsi="Arial" w:cs="Arial"/>
                <w:iCs/>
                <w:sz w:val="18"/>
                <w:szCs w:val="18"/>
              </w:rPr>
            </w:pPr>
            <w:r>
              <w:rPr>
                <w:rFonts w:ascii="Arial" w:hAnsi="Arial" w:cs="Arial"/>
                <w:sz w:val="18"/>
                <w:szCs w:val="18"/>
              </w:rPr>
              <w:t>A.</w:t>
            </w:r>
            <w:r w:rsidR="00B00AB6">
              <w:rPr>
                <w:rFonts w:ascii="Arial" w:hAnsi="Arial" w:cs="Arial"/>
                <w:sz w:val="18"/>
                <w:szCs w:val="18"/>
              </w:rPr>
              <w:t>1.</w:t>
            </w:r>
            <w:r w:rsidR="00CA4A95">
              <w:rPr>
                <w:rFonts w:ascii="Arial" w:hAnsi="Arial" w:cs="Arial"/>
                <w:sz w:val="18"/>
                <w:szCs w:val="18"/>
              </w:rPr>
              <w:t>3</w:t>
            </w:r>
            <w:r w:rsidR="00B00AB6">
              <w:rPr>
                <w:rFonts w:ascii="Arial" w:hAnsi="Arial" w:cs="Arial"/>
                <w:sz w:val="18"/>
                <w:szCs w:val="18"/>
              </w:rPr>
              <w:t xml:space="preserve"> </w:t>
            </w:r>
            <w:r w:rsidR="00B00AB6" w:rsidRPr="00D73CA5">
              <w:rPr>
                <w:rFonts w:ascii="Arial" w:hAnsi="Arial" w:cs="Arial"/>
                <w:sz w:val="18"/>
                <w:szCs w:val="18"/>
              </w:rPr>
              <w:t xml:space="preserve">Are there clear operational processes for NIS (i.e. step-by-step instructions for </w:t>
            </w:r>
            <w:r w:rsidR="002B296F">
              <w:rPr>
                <w:rFonts w:ascii="Arial" w:hAnsi="Arial" w:cs="Arial"/>
                <w:sz w:val="18"/>
                <w:szCs w:val="18"/>
              </w:rPr>
              <w:t>all parts of the system</w:t>
            </w:r>
            <w:r w:rsidR="00B00AB6" w:rsidRPr="00D73CA5">
              <w:rPr>
                <w:rFonts w:ascii="Arial" w:hAnsi="Arial" w:cs="Arial"/>
                <w:sz w:val="18"/>
                <w:szCs w:val="18"/>
              </w:rPr>
              <w:t>)?</w:t>
            </w:r>
          </w:p>
        </w:tc>
        <w:tc>
          <w:tcPr>
            <w:tcW w:w="11340" w:type="dxa"/>
            <w:shd w:val="clear" w:color="auto" w:fill="auto"/>
          </w:tcPr>
          <w:p w14:paraId="10914673" w14:textId="77777777" w:rsidR="00B00AB6" w:rsidRPr="00D73CA5" w:rsidRDefault="00B00AB6" w:rsidP="00AF0D44">
            <w:pPr>
              <w:spacing w:after="60"/>
              <w:rPr>
                <w:rFonts w:ascii="Arial" w:eastAsia="Arial Unicode MS" w:hAnsi="Arial" w:cs="Arial"/>
                <w:color w:val="000000"/>
                <w:sz w:val="18"/>
                <w:szCs w:val="18"/>
                <w:u w:color="000000"/>
                <w:bdr w:val="nil"/>
                <w:lang w:eastAsia="fr-FR"/>
              </w:rPr>
            </w:pPr>
            <w:r w:rsidRPr="00D73CA5">
              <w:rPr>
                <w:rFonts w:ascii="Arial" w:eastAsia="Arial Unicode MS" w:hAnsi="Arial" w:cs="Arial"/>
                <w:color w:val="000000"/>
                <w:sz w:val="18"/>
                <w:szCs w:val="18"/>
                <w:u w:color="000000"/>
                <w:bdr w:val="nil"/>
                <w:lang w:eastAsia="fr-FR"/>
              </w:rPr>
              <w:t>Operational processes to inform nutrition policies and actions aim to accurately measure the impact of the NIS efforts by understanding the extent, magnitude, location, determinants (i.e. underlying causes) of malnutrition and its vulnerable groups. Consequently, these processes often follow similar step-by-step instructions for conducting quality nutrition surveys:</w:t>
            </w:r>
          </w:p>
          <w:p w14:paraId="304872AF" w14:textId="77777777" w:rsidR="00B00AB6" w:rsidRPr="00D73CA5" w:rsidRDefault="00B00AB6" w:rsidP="00AF0D44">
            <w:pPr>
              <w:pStyle w:val="ListParagraph"/>
              <w:numPr>
                <w:ilvl w:val="0"/>
                <w:numId w:val="15"/>
              </w:numPr>
              <w:spacing w:after="60"/>
              <w:rPr>
                <w:rFonts w:ascii="Arial" w:eastAsia="Arial Unicode MS" w:hAnsi="Arial" w:cs="Arial"/>
                <w:color w:val="000000"/>
                <w:sz w:val="18"/>
                <w:szCs w:val="18"/>
                <w:u w:color="000000"/>
                <w:bdr w:val="nil"/>
                <w:lang w:eastAsia="fr-FR"/>
              </w:rPr>
            </w:pPr>
            <w:r w:rsidRPr="00B00AB6">
              <w:rPr>
                <w:rFonts w:ascii="Arial" w:eastAsia="Arial Unicode MS" w:hAnsi="Arial" w:cs="Arial"/>
                <w:b/>
                <w:color w:val="000000"/>
                <w:sz w:val="18"/>
                <w:szCs w:val="18"/>
                <w:u w:color="000000"/>
                <w:bdr w:val="nil"/>
                <w:lang w:eastAsia="fr-FR"/>
              </w:rPr>
              <w:t>Planning and prioritization</w:t>
            </w:r>
            <w:r w:rsidRPr="00D73CA5">
              <w:rPr>
                <w:rFonts w:ascii="Arial" w:eastAsia="Arial Unicode MS" w:hAnsi="Arial" w:cs="Arial"/>
                <w:color w:val="000000"/>
                <w:sz w:val="18"/>
                <w:szCs w:val="18"/>
                <w:u w:color="000000"/>
                <w:bdr w:val="nil"/>
                <w:lang w:eastAsia="fr-FR"/>
              </w:rPr>
              <w:t>: define priorities and standard indicators (i.e. weight-for-height), their frequency of collection and at what administrative level of representativeness;</w:t>
            </w:r>
          </w:p>
          <w:p w14:paraId="6664734C" w14:textId="77777777" w:rsidR="00B00AB6" w:rsidRPr="00D73CA5" w:rsidRDefault="00B00AB6" w:rsidP="00AF0D44">
            <w:pPr>
              <w:pStyle w:val="ListParagraph"/>
              <w:numPr>
                <w:ilvl w:val="0"/>
                <w:numId w:val="15"/>
              </w:numPr>
              <w:spacing w:after="60"/>
              <w:rPr>
                <w:rFonts w:ascii="Arial" w:eastAsia="Arial Unicode MS" w:hAnsi="Arial" w:cs="Arial"/>
                <w:color w:val="000000"/>
                <w:sz w:val="18"/>
                <w:szCs w:val="18"/>
                <w:u w:color="000000"/>
                <w:bdr w:val="nil"/>
                <w:lang w:eastAsia="fr-FR"/>
              </w:rPr>
            </w:pPr>
            <w:r w:rsidRPr="00B00AB6">
              <w:rPr>
                <w:rFonts w:ascii="Arial" w:eastAsia="Arial Unicode MS" w:hAnsi="Arial" w:cs="Arial"/>
                <w:b/>
                <w:color w:val="000000"/>
                <w:sz w:val="18"/>
                <w:szCs w:val="18"/>
                <w:u w:color="000000"/>
                <w:bdr w:val="nil"/>
                <w:lang w:eastAsia="fr-FR"/>
              </w:rPr>
              <w:t>Collection and collation</w:t>
            </w:r>
            <w:r w:rsidRPr="00D73CA5">
              <w:rPr>
                <w:rFonts w:ascii="Arial" w:eastAsia="Arial Unicode MS" w:hAnsi="Arial" w:cs="Arial"/>
                <w:color w:val="000000"/>
                <w:sz w:val="18"/>
                <w:szCs w:val="18"/>
                <w:u w:color="000000"/>
                <w:bdr w:val="nil"/>
                <w:lang w:eastAsia="fr-FR"/>
              </w:rPr>
              <w:t>: generate and align with high quality national and subnational data through household, coverage or facility surveys</w:t>
            </w:r>
            <w:r>
              <w:rPr>
                <w:rFonts w:ascii="Arial" w:eastAsia="Arial Unicode MS" w:hAnsi="Arial" w:cs="Arial"/>
                <w:color w:val="000000"/>
                <w:sz w:val="18"/>
                <w:szCs w:val="18"/>
                <w:u w:color="000000"/>
                <w:bdr w:val="nil"/>
                <w:lang w:eastAsia="fr-FR"/>
              </w:rPr>
              <w:t xml:space="preserve">, as well as </w:t>
            </w:r>
            <w:r w:rsidRPr="00D73CA5">
              <w:rPr>
                <w:rFonts w:ascii="Arial" w:eastAsia="Arial Unicode MS" w:hAnsi="Arial" w:cs="Arial"/>
                <w:color w:val="000000"/>
                <w:sz w:val="18"/>
                <w:szCs w:val="18"/>
                <w:u w:color="000000"/>
                <w:bdr w:val="nil"/>
                <w:lang w:eastAsia="fr-FR"/>
              </w:rPr>
              <w:t>administrative data from facilities or sentinel sites;</w:t>
            </w:r>
          </w:p>
          <w:p w14:paraId="36A80EA4" w14:textId="77777777" w:rsidR="00B00AB6" w:rsidRPr="00D73CA5" w:rsidRDefault="00B00AB6" w:rsidP="00AF0D44">
            <w:pPr>
              <w:pStyle w:val="ListParagraph"/>
              <w:numPr>
                <w:ilvl w:val="0"/>
                <w:numId w:val="15"/>
              </w:numPr>
              <w:spacing w:after="60"/>
              <w:rPr>
                <w:rFonts w:ascii="Arial" w:eastAsia="Arial Unicode MS" w:hAnsi="Arial" w:cs="Arial"/>
                <w:color w:val="000000"/>
                <w:sz w:val="18"/>
                <w:szCs w:val="18"/>
                <w:u w:color="000000"/>
                <w:bdr w:val="nil"/>
                <w:lang w:eastAsia="fr-FR"/>
              </w:rPr>
            </w:pPr>
            <w:r w:rsidRPr="00B00AB6">
              <w:rPr>
                <w:rFonts w:ascii="Arial" w:eastAsia="Arial Unicode MS" w:hAnsi="Arial" w:cs="Arial"/>
                <w:b/>
                <w:color w:val="000000"/>
                <w:sz w:val="18"/>
                <w:szCs w:val="18"/>
                <w:u w:color="000000"/>
                <w:bdr w:val="nil"/>
                <w:lang w:eastAsia="fr-FR"/>
              </w:rPr>
              <w:t>Curation and analysis</w:t>
            </w:r>
            <w:r w:rsidRPr="00D73CA5">
              <w:rPr>
                <w:rFonts w:ascii="Arial" w:eastAsia="Arial Unicode MS" w:hAnsi="Arial" w:cs="Arial"/>
                <w:color w:val="000000"/>
                <w:sz w:val="18"/>
                <w:szCs w:val="18"/>
                <w:u w:color="000000"/>
                <w:bdr w:val="nil"/>
                <w:lang w:eastAsia="fr-FR"/>
              </w:rPr>
              <w:t>: aggregate, structure, synthesize and report field data through analytical tools and frameworks to derive insight and information;</w:t>
            </w:r>
          </w:p>
          <w:p w14:paraId="68466FDC" w14:textId="77777777" w:rsidR="00B00AB6" w:rsidRPr="00D73CA5" w:rsidRDefault="00B00AB6" w:rsidP="00AF0D44">
            <w:pPr>
              <w:pStyle w:val="ListParagraph"/>
              <w:numPr>
                <w:ilvl w:val="0"/>
                <w:numId w:val="15"/>
              </w:numPr>
              <w:spacing w:after="60"/>
              <w:rPr>
                <w:rFonts w:ascii="Arial" w:eastAsia="Arial Unicode MS" w:hAnsi="Arial" w:cs="Arial"/>
                <w:color w:val="000000"/>
                <w:sz w:val="18"/>
                <w:szCs w:val="18"/>
                <w:u w:color="000000"/>
                <w:bdr w:val="nil"/>
                <w:lang w:eastAsia="fr-FR"/>
              </w:rPr>
            </w:pPr>
            <w:r w:rsidRPr="00B00AB6">
              <w:rPr>
                <w:rFonts w:ascii="Arial" w:eastAsia="Arial Unicode MS" w:hAnsi="Arial" w:cs="Arial"/>
                <w:b/>
                <w:color w:val="000000"/>
                <w:sz w:val="18"/>
                <w:szCs w:val="18"/>
                <w:u w:color="000000"/>
                <w:bdr w:val="nil"/>
                <w:lang w:eastAsia="fr-FR"/>
              </w:rPr>
              <w:t>Translation and dissemination</w:t>
            </w:r>
            <w:r w:rsidRPr="00D73CA5">
              <w:rPr>
                <w:rFonts w:ascii="Arial" w:eastAsia="Arial Unicode MS" w:hAnsi="Arial" w:cs="Arial"/>
                <w:color w:val="000000"/>
                <w:sz w:val="18"/>
                <w:szCs w:val="18"/>
                <w:u w:color="000000"/>
                <w:bdr w:val="nil"/>
                <w:lang w:eastAsia="fr-FR"/>
              </w:rPr>
              <w:t>: translate into knowledge for program and policy recommendations, as well as for general communication purposes;</w:t>
            </w:r>
          </w:p>
          <w:p w14:paraId="5BB15C75" w14:textId="713E334B" w:rsidR="00B00AB6" w:rsidRPr="00B91EEB" w:rsidRDefault="00B00AB6" w:rsidP="00EC1F1D">
            <w:pPr>
              <w:jc w:val="both"/>
              <w:rPr>
                <w:rFonts w:ascii="Arial" w:eastAsia="Times New Roman" w:hAnsi="Arial" w:cs="Arial"/>
                <w:iCs/>
                <w:sz w:val="18"/>
                <w:szCs w:val="18"/>
                <w:lang w:eastAsia="fr-FR"/>
              </w:rPr>
            </w:pPr>
            <w:r w:rsidRPr="00B00AB6">
              <w:rPr>
                <w:rFonts w:ascii="Arial" w:eastAsia="Arial Unicode MS" w:hAnsi="Arial" w:cs="Arial"/>
                <w:b/>
                <w:color w:val="000000"/>
                <w:sz w:val="18"/>
                <w:szCs w:val="18"/>
                <w:u w:color="000000"/>
                <w:bdr w:val="nil"/>
                <w:lang w:eastAsia="fr-FR"/>
              </w:rPr>
              <w:lastRenderedPageBreak/>
              <w:t>Decision-making</w:t>
            </w:r>
            <w:r w:rsidRPr="00D73CA5">
              <w:rPr>
                <w:rFonts w:ascii="Arial" w:eastAsia="Arial Unicode MS" w:hAnsi="Arial" w:cs="Arial"/>
                <w:color w:val="000000"/>
                <w:sz w:val="18"/>
                <w:szCs w:val="18"/>
                <w:u w:color="000000"/>
                <w:bdr w:val="nil"/>
                <w:lang w:eastAsia="fr-FR"/>
              </w:rPr>
              <w:t>: make evidence-based decisions across all sub-national and national-levels based on a clearly defined framework that states which information is needed for what decisions.</w:t>
            </w:r>
          </w:p>
        </w:tc>
      </w:tr>
      <w:tr w:rsidR="00D65F7F" w:rsidRPr="002C63B4" w14:paraId="74FE339E" w14:textId="77777777" w:rsidTr="00F74DBA">
        <w:tc>
          <w:tcPr>
            <w:tcW w:w="3539" w:type="dxa"/>
            <w:shd w:val="clear" w:color="auto" w:fill="auto"/>
          </w:tcPr>
          <w:p w14:paraId="3F4E067E" w14:textId="2A928D98" w:rsidR="00D65F7F" w:rsidRPr="002C63B4" w:rsidRDefault="00D65F7F" w:rsidP="00D65F7F">
            <w:pPr>
              <w:rPr>
                <w:rFonts w:ascii="Arial" w:hAnsi="Arial" w:cs="Arial"/>
                <w:b/>
                <w:iCs/>
                <w:sz w:val="18"/>
                <w:szCs w:val="18"/>
              </w:rPr>
            </w:pPr>
            <w:r>
              <w:rPr>
                <w:rFonts w:ascii="Arial" w:hAnsi="Arial" w:cs="Arial"/>
                <w:b/>
                <w:iCs/>
                <w:sz w:val="18"/>
                <w:szCs w:val="18"/>
              </w:rPr>
              <w:lastRenderedPageBreak/>
              <w:t xml:space="preserve">A.2 </w:t>
            </w:r>
            <w:r w:rsidRPr="002C63B4">
              <w:rPr>
                <w:rFonts w:ascii="Arial" w:hAnsi="Arial" w:cs="Arial"/>
                <w:b/>
                <w:iCs/>
                <w:sz w:val="18"/>
                <w:szCs w:val="18"/>
              </w:rPr>
              <w:t>Assessment Plans</w:t>
            </w:r>
          </w:p>
        </w:tc>
        <w:tc>
          <w:tcPr>
            <w:tcW w:w="11340" w:type="dxa"/>
            <w:shd w:val="clear" w:color="auto" w:fill="auto"/>
          </w:tcPr>
          <w:p w14:paraId="2F5BEF75" w14:textId="42ECDB2A" w:rsidR="00D65F7F" w:rsidRPr="0068350A" w:rsidRDefault="00D65F7F" w:rsidP="0068350A">
            <w:pPr>
              <w:rPr>
                <w:rFonts w:ascii="Arial" w:hAnsi="Arial" w:cs="Arial"/>
                <w:bCs/>
                <w:iCs/>
                <w:sz w:val="18"/>
                <w:szCs w:val="18"/>
              </w:rPr>
            </w:pPr>
            <w:r w:rsidRPr="005D323C">
              <w:rPr>
                <w:rFonts w:ascii="Arial" w:eastAsia="Times New Roman" w:hAnsi="Arial" w:cs="Arial"/>
                <w:b/>
                <w:bCs/>
                <w:iCs/>
                <w:sz w:val="18"/>
                <w:szCs w:val="18"/>
                <w:lang w:eastAsia="fr-FR"/>
              </w:rPr>
              <w:t>DESCRIPTION</w:t>
            </w:r>
          </w:p>
        </w:tc>
      </w:tr>
      <w:tr w:rsidR="00D65F7F" w:rsidRPr="00D73CA5" w14:paraId="2D2A58D2" w14:textId="77777777" w:rsidTr="00F74DBA">
        <w:tc>
          <w:tcPr>
            <w:tcW w:w="3539" w:type="dxa"/>
            <w:shd w:val="clear" w:color="auto" w:fill="auto"/>
          </w:tcPr>
          <w:p w14:paraId="5E37B586" w14:textId="60A40DC7" w:rsidR="00D65F7F" w:rsidRPr="002C63B4"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A.2.1 </w:t>
            </w:r>
            <w:r w:rsidRPr="00D73CA5">
              <w:rPr>
                <w:rFonts w:ascii="Arial" w:hAnsi="Arial" w:cs="Arial"/>
                <w:iCs/>
                <w:sz w:val="18"/>
                <w:szCs w:val="18"/>
              </w:rPr>
              <w:t>Is there a routine nutrition data collection or</w:t>
            </w:r>
            <w:r>
              <w:rPr>
                <w:rFonts w:ascii="Arial" w:hAnsi="Arial" w:cs="Arial"/>
                <w:iCs/>
                <w:sz w:val="18"/>
                <w:szCs w:val="18"/>
              </w:rPr>
              <w:t xml:space="preserve"> annual assessment plan </w:t>
            </w:r>
            <w:r w:rsidRPr="00D73CA5">
              <w:rPr>
                <w:rFonts w:ascii="Arial" w:hAnsi="Arial" w:cs="Arial"/>
                <w:iCs/>
                <w:sz w:val="18"/>
                <w:szCs w:val="18"/>
              </w:rPr>
              <w:t xml:space="preserve">for different areas in the country? </w:t>
            </w:r>
            <w:r>
              <w:rPr>
                <w:rFonts w:ascii="Arial" w:hAnsi="Arial" w:cs="Arial"/>
                <w:iCs/>
                <w:sz w:val="18"/>
                <w:szCs w:val="18"/>
              </w:rPr>
              <w:t>If yes, is this a multi-year plan? Does the plan include both quantitative and qualitative data collection?</w:t>
            </w:r>
          </w:p>
          <w:p w14:paraId="29771BD2" w14:textId="17922F92" w:rsidR="00D65F7F" w:rsidRDefault="00D65F7F" w:rsidP="00D65F7F">
            <w:pPr>
              <w:pStyle w:val="ListParagraph"/>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1710ADF0" w14:textId="0B64A747" w:rsidR="00D65F7F" w:rsidRDefault="00D65F7F" w:rsidP="00D65F7F">
            <w:pPr>
              <w:jc w:val="both"/>
              <w:rPr>
                <w:rFonts w:ascii="Arial" w:eastAsia="Times New Roman" w:hAnsi="Arial" w:cs="Arial"/>
                <w:iCs/>
                <w:sz w:val="18"/>
                <w:szCs w:val="18"/>
                <w:lang w:eastAsia="fr-FR"/>
              </w:rPr>
            </w:pPr>
            <w:r w:rsidRPr="00B91EEB">
              <w:rPr>
                <w:rFonts w:ascii="Arial" w:eastAsia="Times New Roman" w:hAnsi="Arial" w:cs="Arial"/>
                <w:iCs/>
                <w:sz w:val="18"/>
                <w:szCs w:val="18"/>
                <w:lang w:eastAsia="fr-FR"/>
              </w:rPr>
              <w:t>A</w:t>
            </w:r>
            <w:r>
              <w:rPr>
                <w:rFonts w:ascii="Arial" w:eastAsia="Times New Roman" w:hAnsi="Arial" w:cs="Arial"/>
                <w:iCs/>
                <w:sz w:val="18"/>
                <w:szCs w:val="18"/>
                <w:lang w:eastAsia="fr-FR"/>
              </w:rPr>
              <w:t>n</w:t>
            </w:r>
            <w:r w:rsidRPr="00B91EEB">
              <w:rPr>
                <w:rFonts w:ascii="Arial" w:eastAsia="Times New Roman" w:hAnsi="Arial" w:cs="Arial"/>
                <w:iCs/>
                <w:sz w:val="18"/>
                <w:szCs w:val="18"/>
                <w:lang w:eastAsia="fr-FR"/>
              </w:rPr>
              <w:t xml:space="preserve"> NIS is an integrated and centrally coordinated set of processes to continuously collect, analyze and interpret nutrition-related data, transform it into tangible information and disseminate it for making timely and effective decisions to improve the nutritional health of a population. In order to inform appropriate response strategies, the development and regular maintenance of an annual nutrition assessment plan ensures up-to-date and quality data are used for nutrition situation (or trend) analyses, to help target areas or vulnerable populations that are at increased risk or in heightened need of nutritional assistance.  When the IASC Cluster system has been activated, this plan should be directly linked to the Humanitarian Programme Cycle, taking into account seasonal considerations and input from decision-makers as they play an important role in defining units of analysis, geographical coverage and subsequent preparation of Humanitarian Needs Overview and Response Plans. Further details are provided in the </w:t>
            </w:r>
            <w:hyperlink r:id="rId25" w:history="1">
              <w:r w:rsidRPr="00F00B81">
                <w:rPr>
                  <w:rStyle w:val="Hyperlink"/>
                  <w:rFonts w:ascii="Arial" w:eastAsia="Times New Roman" w:hAnsi="Arial" w:cs="Arial"/>
                  <w:iCs/>
                  <w:sz w:val="18"/>
                  <w:szCs w:val="18"/>
                  <w:lang w:eastAsia="fr-FR"/>
                </w:rPr>
                <w:t>Nutrition Humanitarian Needs Analysis Guidance</w:t>
              </w:r>
            </w:hyperlink>
            <w:r w:rsidRPr="00B91EEB">
              <w:rPr>
                <w:rFonts w:ascii="Arial" w:eastAsia="Times New Roman" w:hAnsi="Arial" w:cs="Arial"/>
                <w:iCs/>
                <w:sz w:val="18"/>
                <w:szCs w:val="18"/>
                <w:lang w:eastAsia="fr-FR"/>
              </w:rPr>
              <w:t xml:space="preserve">. </w:t>
            </w:r>
          </w:p>
          <w:p w14:paraId="597308ED" w14:textId="75ED9D49"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eastAsia="Times New Roman" w:hAnsi="Arial" w:cs="Arial"/>
                <w:iCs/>
                <w:sz w:val="18"/>
                <w:szCs w:val="18"/>
                <w:lang w:eastAsia="fr-FR"/>
              </w:rPr>
              <w:t>The main methods to include in a routine nutrition data collection or annual assessment plan consist of: l</w:t>
            </w:r>
            <w:r w:rsidRPr="00B91EEB">
              <w:rPr>
                <w:rFonts w:ascii="Arial" w:eastAsia="Times New Roman" w:hAnsi="Arial" w:cs="Arial"/>
                <w:iCs/>
                <w:sz w:val="18"/>
                <w:szCs w:val="18"/>
                <w:lang w:eastAsia="fr-FR"/>
              </w:rPr>
              <w:t>arge-scale national surveys (National Nutrition Surveys, DHS or MICS, usually not used in emergency settings)</w:t>
            </w:r>
            <w:r>
              <w:rPr>
                <w:rFonts w:ascii="Arial" w:eastAsia="Times New Roman" w:hAnsi="Arial" w:cs="Arial"/>
                <w:iCs/>
                <w:sz w:val="18"/>
                <w:szCs w:val="18"/>
                <w:lang w:eastAsia="fr-FR"/>
              </w:rPr>
              <w:t xml:space="preserve">, </w:t>
            </w:r>
            <w:r w:rsidRPr="00B91EEB">
              <w:rPr>
                <w:rFonts w:ascii="Arial" w:eastAsia="Times New Roman" w:hAnsi="Arial" w:cs="Arial"/>
                <w:iCs/>
                <w:sz w:val="18"/>
                <w:szCs w:val="18"/>
                <w:lang w:eastAsia="fr-FR"/>
              </w:rPr>
              <w:t>small-scale surveys (SMART</w:t>
            </w:r>
            <w:r>
              <w:rPr>
                <w:rFonts w:ascii="Arial" w:eastAsia="Times New Roman" w:hAnsi="Arial" w:cs="Arial"/>
                <w:iCs/>
                <w:sz w:val="18"/>
                <w:szCs w:val="18"/>
                <w:lang w:eastAsia="fr-FR"/>
              </w:rPr>
              <w:t>, Rapid SMART</w:t>
            </w:r>
            <w:r w:rsidRPr="00B91EEB">
              <w:rPr>
                <w:rFonts w:ascii="Arial" w:eastAsia="Times New Roman" w:hAnsi="Arial" w:cs="Arial"/>
                <w:iCs/>
                <w:sz w:val="18"/>
                <w:szCs w:val="18"/>
                <w:lang w:eastAsia="fr-FR"/>
              </w:rPr>
              <w:t>)</w:t>
            </w:r>
            <w:r>
              <w:rPr>
                <w:rFonts w:ascii="Arial" w:eastAsia="Times New Roman" w:hAnsi="Arial" w:cs="Arial"/>
                <w:iCs/>
                <w:sz w:val="18"/>
                <w:szCs w:val="18"/>
                <w:lang w:eastAsia="fr-FR"/>
              </w:rPr>
              <w:t>, rapid screenings, coverage assessments (SQUEAC, SLEAC), c</w:t>
            </w:r>
            <w:r w:rsidRPr="00B91EEB">
              <w:rPr>
                <w:rFonts w:ascii="Arial" w:eastAsia="Times New Roman" w:hAnsi="Arial" w:cs="Arial"/>
                <w:iCs/>
                <w:sz w:val="18"/>
                <w:szCs w:val="18"/>
                <w:lang w:eastAsia="fr-FR"/>
              </w:rPr>
              <w:t>linic-based monitoring</w:t>
            </w:r>
            <w:r>
              <w:rPr>
                <w:rFonts w:ascii="Arial" w:eastAsia="Times New Roman" w:hAnsi="Arial" w:cs="Arial"/>
                <w:iCs/>
                <w:sz w:val="18"/>
                <w:szCs w:val="18"/>
                <w:lang w:eastAsia="fr-FR"/>
              </w:rPr>
              <w:t xml:space="preserve"> or s</w:t>
            </w:r>
            <w:r w:rsidRPr="00B91EEB">
              <w:rPr>
                <w:rFonts w:ascii="Arial" w:eastAsia="Times New Roman" w:hAnsi="Arial" w:cs="Arial"/>
                <w:iCs/>
                <w:sz w:val="18"/>
                <w:szCs w:val="18"/>
                <w:lang w:eastAsia="fr-FR"/>
              </w:rPr>
              <w:t>entinel site surveillanc</w:t>
            </w:r>
            <w:r>
              <w:rPr>
                <w:rFonts w:ascii="Arial" w:eastAsia="Times New Roman" w:hAnsi="Arial" w:cs="Arial"/>
                <w:iCs/>
                <w:sz w:val="18"/>
                <w:szCs w:val="18"/>
                <w:lang w:eastAsia="fr-FR"/>
              </w:rPr>
              <w:t xml:space="preserve">e. </w:t>
            </w:r>
          </w:p>
        </w:tc>
      </w:tr>
      <w:tr w:rsidR="00D65F7F" w:rsidRPr="00D73CA5" w14:paraId="599DF2E6" w14:textId="77777777" w:rsidTr="00F74DBA">
        <w:tc>
          <w:tcPr>
            <w:tcW w:w="3539" w:type="dxa"/>
            <w:shd w:val="clear" w:color="auto" w:fill="auto"/>
          </w:tcPr>
          <w:p w14:paraId="0EDA1C9A" w14:textId="7FE7B70F" w:rsidR="00D65F7F" w:rsidRDefault="00D65F7F" w:rsidP="00D65F7F">
            <w:pPr>
              <w:pStyle w:val="ListParagraph"/>
              <w:numPr>
                <w:ilvl w:val="0"/>
                <w:numId w:val="16"/>
              </w:numPr>
              <w:rPr>
                <w:rFonts w:ascii="Arial" w:hAnsi="Arial" w:cs="Arial"/>
                <w:iCs/>
                <w:sz w:val="18"/>
                <w:szCs w:val="18"/>
              </w:rPr>
            </w:pPr>
            <w:r>
              <w:rPr>
                <w:rFonts w:ascii="Arial" w:hAnsi="Arial" w:cs="Arial"/>
                <w:iCs/>
                <w:sz w:val="18"/>
                <w:szCs w:val="18"/>
              </w:rPr>
              <w:t>A.</w:t>
            </w:r>
            <w:r w:rsidRPr="002C63B4">
              <w:rPr>
                <w:rFonts w:ascii="Arial" w:hAnsi="Arial" w:cs="Arial"/>
                <w:iCs/>
                <w:sz w:val="18"/>
                <w:szCs w:val="18"/>
              </w:rPr>
              <w:t>2.</w:t>
            </w:r>
            <w:r>
              <w:rPr>
                <w:rFonts w:ascii="Arial" w:hAnsi="Arial" w:cs="Arial"/>
                <w:iCs/>
                <w:sz w:val="18"/>
                <w:szCs w:val="18"/>
              </w:rPr>
              <w:t>2</w:t>
            </w:r>
            <w:r w:rsidRPr="002C63B4">
              <w:rPr>
                <w:rFonts w:ascii="Arial" w:hAnsi="Arial" w:cs="Arial"/>
                <w:iCs/>
                <w:sz w:val="18"/>
                <w:szCs w:val="18"/>
              </w:rPr>
              <w:t xml:space="preserve"> Are the 4 Ws mapped in the annual nutrition assessment plan?</w:t>
            </w:r>
          </w:p>
        </w:tc>
        <w:tc>
          <w:tcPr>
            <w:tcW w:w="11340" w:type="dxa"/>
            <w:shd w:val="clear" w:color="auto" w:fill="auto"/>
          </w:tcPr>
          <w:p w14:paraId="6F237419" w14:textId="77777777" w:rsidR="00D65F7F" w:rsidRPr="002C63B4" w:rsidRDefault="00D65F7F" w:rsidP="00D65F7F">
            <w:pPr>
              <w:pStyle w:val="paragraph"/>
              <w:spacing w:before="0" w:beforeAutospacing="0" w:after="0" w:afterAutospacing="0"/>
              <w:jc w:val="both"/>
              <w:textAlignment w:val="baseline"/>
              <w:rPr>
                <w:rStyle w:val="normaltextrun"/>
                <w:rFonts w:ascii="Arial" w:eastAsiaTheme="majorEastAsia" w:hAnsi="Arial" w:cs="Arial"/>
                <w:sz w:val="18"/>
                <w:szCs w:val="18"/>
                <w:lang w:val="en-GB"/>
              </w:rPr>
            </w:pPr>
            <w:r w:rsidRPr="002C63B4">
              <w:rPr>
                <w:rStyle w:val="normaltextrun"/>
                <w:rFonts w:ascii="Arial" w:eastAsiaTheme="majorEastAsia" w:hAnsi="Arial" w:cs="Arial"/>
                <w:sz w:val="18"/>
                <w:szCs w:val="18"/>
                <w:lang w:val="en-GB"/>
              </w:rPr>
              <w:t xml:space="preserve">The </w:t>
            </w:r>
            <w:r w:rsidRPr="002C63B4">
              <w:rPr>
                <w:rStyle w:val="normaltextrun"/>
                <w:rFonts w:ascii="Arial" w:eastAsiaTheme="majorEastAsia" w:hAnsi="Arial" w:cs="Arial"/>
                <w:b/>
                <w:sz w:val="18"/>
                <w:szCs w:val="18"/>
                <w:lang w:val="en-GB"/>
              </w:rPr>
              <w:t>annual nutrition assessment</w:t>
            </w:r>
            <w:r w:rsidRPr="002C63B4">
              <w:rPr>
                <w:rStyle w:val="normaltextrun"/>
                <w:rFonts w:ascii="Arial" w:eastAsiaTheme="majorEastAsia" w:hAnsi="Arial" w:cs="Arial"/>
                <w:sz w:val="18"/>
                <w:szCs w:val="18"/>
                <w:lang w:val="en-GB"/>
              </w:rPr>
              <w:t xml:space="preserve"> plan should be broken down by the 4W:</w:t>
            </w:r>
          </w:p>
          <w:p w14:paraId="3E29D7BF" w14:textId="77777777" w:rsidR="00D65F7F" w:rsidRPr="002C63B4" w:rsidRDefault="00D65F7F" w:rsidP="00D65F7F">
            <w:pPr>
              <w:pStyle w:val="ListParagraph"/>
              <w:numPr>
                <w:ilvl w:val="0"/>
                <w:numId w:val="27"/>
              </w:numPr>
              <w:contextualSpacing w:val="0"/>
              <w:jc w:val="both"/>
              <w:rPr>
                <w:rFonts w:ascii="Arial" w:hAnsi="Arial" w:cs="Arial"/>
                <w:sz w:val="18"/>
                <w:szCs w:val="18"/>
              </w:rPr>
            </w:pPr>
            <w:r w:rsidRPr="002C63B4">
              <w:rPr>
                <w:rFonts w:ascii="Arial" w:hAnsi="Arial" w:cs="Arial"/>
                <w:i/>
                <w:iCs/>
                <w:sz w:val="18"/>
                <w:szCs w:val="18"/>
              </w:rPr>
              <w:t>Who</w:t>
            </w:r>
            <w:r w:rsidRPr="002C63B4">
              <w:rPr>
                <w:rFonts w:ascii="Arial" w:hAnsi="Arial" w:cs="Arial"/>
                <w:sz w:val="18"/>
                <w:szCs w:val="18"/>
              </w:rPr>
              <w:t>: donor, funding through UN agencies (e.g.</w:t>
            </w:r>
            <w:r>
              <w:rPr>
                <w:rFonts w:ascii="Arial" w:hAnsi="Arial" w:cs="Arial"/>
                <w:sz w:val="18"/>
                <w:szCs w:val="18"/>
              </w:rPr>
              <w:t>,</w:t>
            </w:r>
            <w:r w:rsidRPr="002C63B4">
              <w:rPr>
                <w:rFonts w:ascii="Arial" w:hAnsi="Arial" w:cs="Arial"/>
                <w:sz w:val="18"/>
                <w:szCs w:val="18"/>
              </w:rPr>
              <w:t xml:space="preserve"> UNICEF), agency implementing the survey, other agencies/authorities involved, name of focal point for the survey, email of the focal point and their supervisor;</w:t>
            </w:r>
          </w:p>
          <w:p w14:paraId="66468D2E" w14:textId="77777777" w:rsidR="00D65F7F" w:rsidRPr="002C63B4" w:rsidRDefault="00D65F7F" w:rsidP="00D65F7F">
            <w:pPr>
              <w:pStyle w:val="ListParagraph"/>
              <w:numPr>
                <w:ilvl w:val="0"/>
                <w:numId w:val="27"/>
              </w:numPr>
              <w:contextualSpacing w:val="0"/>
              <w:jc w:val="both"/>
              <w:rPr>
                <w:rFonts w:ascii="Arial" w:hAnsi="Arial" w:cs="Arial"/>
                <w:sz w:val="18"/>
                <w:szCs w:val="18"/>
              </w:rPr>
            </w:pPr>
            <w:r w:rsidRPr="002C63B4">
              <w:rPr>
                <w:rFonts w:ascii="Arial" w:hAnsi="Arial" w:cs="Arial"/>
                <w:i/>
                <w:iCs/>
                <w:sz w:val="18"/>
                <w:szCs w:val="18"/>
              </w:rPr>
              <w:t>Where:</w:t>
            </w:r>
            <w:r w:rsidRPr="002C63B4">
              <w:rPr>
                <w:rFonts w:ascii="Arial" w:hAnsi="Arial" w:cs="Arial"/>
                <w:sz w:val="18"/>
                <w:szCs w:val="18"/>
              </w:rPr>
              <w:t xml:space="preserve"> geographical area(s), areas or villages excluded from geographical areas, number of Clusters planned, number of HHs planned, number of survey subjects (e.g.</w:t>
            </w:r>
            <w:r>
              <w:rPr>
                <w:rFonts w:ascii="Arial" w:hAnsi="Arial" w:cs="Arial"/>
                <w:sz w:val="18"/>
                <w:szCs w:val="18"/>
              </w:rPr>
              <w:t>,</w:t>
            </w:r>
            <w:r w:rsidRPr="002C63B4">
              <w:rPr>
                <w:rFonts w:ascii="Arial" w:hAnsi="Arial" w:cs="Arial"/>
                <w:sz w:val="18"/>
                <w:szCs w:val="18"/>
              </w:rPr>
              <w:t xml:space="preserve"> children) to be measured, comments;</w:t>
            </w:r>
          </w:p>
          <w:p w14:paraId="3BA312E6" w14:textId="77777777" w:rsidR="00D65F7F" w:rsidRPr="002C63B4" w:rsidRDefault="00D65F7F" w:rsidP="00D65F7F">
            <w:pPr>
              <w:pStyle w:val="ListParagraph"/>
              <w:numPr>
                <w:ilvl w:val="0"/>
                <w:numId w:val="27"/>
              </w:numPr>
              <w:contextualSpacing w:val="0"/>
              <w:jc w:val="both"/>
              <w:rPr>
                <w:rFonts w:ascii="Arial" w:hAnsi="Arial" w:cs="Arial"/>
                <w:sz w:val="18"/>
                <w:szCs w:val="18"/>
              </w:rPr>
            </w:pPr>
            <w:r w:rsidRPr="002C63B4">
              <w:rPr>
                <w:rFonts w:ascii="Arial" w:hAnsi="Arial" w:cs="Arial"/>
                <w:i/>
                <w:iCs/>
                <w:sz w:val="18"/>
                <w:szCs w:val="18"/>
              </w:rPr>
              <w:t xml:space="preserve">When: </w:t>
            </w:r>
            <w:r w:rsidRPr="002C63B4">
              <w:rPr>
                <w:rFonts w:ascii="Arial" w:hAnsi="Arial" w:cs="Arial"/>
                <w:sz w:val="18"/>
                <w:szCs w:val="18"/>
              </w:rPr>
              <w:t>expected/actual start date and end date, season, status of the survey;</w:t>
            </w:r>
          </w:p>
          <w:p w14:paraId="6087ED0D" w14:textId="7A18DEB0" w:rsidR="00D65F7F" w:rsidRPr="00B91EEB" w:rsidRDefault="00D65F7F" w:rsidP="00D65F7F">
            <w:pPr>
              <w:jc w:val="both"/>
              <w:rPr>
                <w:rFonts w:ascii="Arial" w:eastAsia="Times New Roman" w:hAnsi="Arial" w:cs="Arial"/>
                <w:iCs/>
                <w:sz w:val="18"/>
                <w:szCs w:val="18"/>
                <w:lang w:eastAsia="fr-FR"/>
              </w:rPr>
            </w:pPr>
            <w:r w:rsidRPr="00E41F74">
              <w:rPr>
                <w:rFonts w:ascii="Arial" w:hAnsi="Arial" w:cs="Arial"/>
                <w:i/>
                <w:iCs/>
                <w:sz w:val="18"/>
                <w:szCs w:val="18"/>
              </w:rPr>
              <w:t>What:</w:t>
            </w:r>
            <w:r w:rsidRPr="00E41F74">
              <w:rPr>
                <w:rFonts w:ascii="Arial" w:hAnsi="Arial" w:cs="Arial"/>
                <w:sz w:val="18"/>
                <w:szCs w:val="18"/>
              </w:rPr>
              <w:t xml:space="preserve"> type of nutrition assessment, methodology used (e.g.</w:t>
            </w:r>
            <w:r>
              <w:rPr>
                <w:rFonts w:ascii="Arial" w:hAnsi="Arial" w:cs="Arial"/>
                <w:sz w:val="18"/>
                <w:szCs w:val="18"/>
              </w:rPr>
              <w:t>,</w:t>
            </w:r>
            <w:r w:rsidRPr="00E41F74">
              <w:rPr>
                <w:rFonts w:ascii="Arial" w:hAnsi="Arial" w:cs="Arial"/>
                <w:sz w:val="18"/>
                <w:szCs w:val="18"/>
              </w:rPr>
              <w:t xml:space="preserve"> SMART/Rapid SMART), indicators to be included, status of data analysis, status of data validation, dissemination activities. </w:t>
            </w:r>
          </w:p>
        </w:tc>
      </w:tr>
      <w:tr w:rsidR="00D65F7F" w:rsidRPr="00D73CA5" w14:paraId="01A78A26" w14:textId="77777777" w:rsidTr="00F74DBA">
        <w:tc>
          <w:tcPr>
            <w:tcW w:w="3539" w:type="dxa"/>
            <w:shd w:val="clear" w:color="auto" w:fill="auto"/>
          </w:tcPr>
          <w:p w14:paraId="5EA2A0AC" w14:textId="2A564152" w:rsidR="00D65F7F" w:rsidRPr="00EB1F42"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A.2.3 </w:t>
            </w:r>
            <w:r w:rsidRPr="006432A9">
              <w:rPr>
                <w:rFonts w:ascii="Arial" w:hAnsi="Arial" w:cs="Arial"/>
                <w:iCs/>
                <w:sz w:val="18"/>
                <w:szCs w:val="18"/>
              </w:rPr>
              <w:t>Have the different ways nutrition and WASH/Food Security/Health sectors can support and collaborate in terms of data and needs analyses been mapped out?</w:t>
            </w:r>
          </w:p>
          <w:p w14:paraId="3BB6390A" w14:textId="77777777" w:rsidR="00D65F7F" w:rsidRDefault="00D65F7F" w:rsidP="00D65F7F">
            <w:pPr>
              <w:pStyle w:val="ListParagraph"/>
              <w:numPr>
                <w:ilvl w:val="0"/>
                <w:numId w:val="16"/>
              </w:numPr>
              <w:rPr>
                <w:rFonts w:ascii="Arial" w:hAnsi="Arial" w:cs="Arial"/>
                <w:iCs/>
                <w:sz w:val="18"/>
                <w:szCs w:val="18"/>
              </w:rPr>
            </w:pPr>
          </w:p>
        </w:tc>
        <w:tc>
          <w:tcPr>
            <w:tcW w:w="11340" w:type="dxa"/>
            <w:shd w:val="clear" w:color="auto" w:fill="auto"/>
          </w:tcPr>
          <w:p w14:paraId="1FFAD90D" w14:textId="77777777" w:rsidR="00D65F7F" w:rsidRPr="006B0E8F" w:rsidRDefault="00D65F7F" w:rsidP="00D65F7F">
            <w:pPr>
              <w:pStyle w:val="paragraph"/>
              <w:spacing w:before="0" w:beforeAutospacing="0" w:after="60" w:afterAutospacing="0"/>
              <w:jc w:val="both"/>
              <w:textAlignment w:val="baseline"/>
              <w:rPr>
                <w:rFonts w:ascii="Arial" w:hAnsi="Arial" w:cs="Arial"/>
                <w:iCs/>
                <w:sz w:val="18"/>
                <w:szCs w:val="18"/>
                <w:lang w:val="en-CA"/>
              </w:rPr>
            </w:pPr>
            <w:r w:rsidRPr="006B0E8F">
              <w:rPr>
                <w:rFonts w:ascii="Arial" w:hAnsi="Arial" w:cs="Arial"/>
                <w:iCs/>
                <w:sz w:val="18"/>
                <w:szCs w:val="18"/>
                <w:lang w:val="en-CA"/>
              </w:rPr>
              <w:t xml:space="preserve">When developing </w:t>
            </w:r>
            <w:r w:rsidRPr="006B0E8F">
              <w:rPr>
                <w:rFonts w:ascii="Arial" w:hAnsi="Arial" w:cs="Arial"/>
                <w:b/>
                <w:iCs/>
                <w:sz w:val="18"/>
                <w:szCs w:val="18"/>
                <w:lang w:val="en-CA"/>
              </w:rPr>
              <w:t>an annual assessment plan</w:t>
            </w:r>
            <w:r w:rsidRPr="006B0E8F">
              <w:rPr>
                <w:rFonts w:ascii="Arial" w:hAnsi="Arial" w:cs="Arial"/>
                <w:iCs/>
                <w:sz w:val="18"/>
                <w:szCs w:val="18"/>
                <w:lang w:val="en-CA"/>
              </w:rPr>
              <w:t xml:space="preserve">, the NIS TWG should discuss which indicators for the </w:t>
            </w:r>
            <w:r w:rsidRPr="006B0E8F">
              <w:rPr>
                <w:rFonts w:ascii="Arial" w:hAnsi="Arial" w:cs="Arial"/>
                <w:b/>
                <w:iCs/>
                <w:sz w:val="18"/>
                <w:szCs w:val="18"/>
                <w:lang w:val="en-CA"/>
              </w:rPr>
              <w:t>key contributing factors</w:t>
            </w:r>
            <w:r w:rsidRPr="006B0E8F">
              <w:rPr>
                <w:rFonts w:ascii="Arial" w:hAnsi="Arial" w:cs="Arial"/>
                <w:iCs/>
                <w:sz w:val="18"/>
                <w:szCs w:val="18"/>
                <w:lang w:val="en-CA"/>
              </w:rPr>
              <w:t xml:space="preserve"> are available, missing and needed. This consensus should then be liaised with other Clusters/Sectors on which nutrition-sensitive indicators will be included in their own assessment methodologies to avoid any duplication of efforts.</w:t>
            </w:r>
          </w:p>
          <w:p w14:paraId="58B70E2C" w14:textId="77777777" w:rsidR="00D65F7F" w:rsidRPr="00F00B81" w:rsidRDefault="00D65F7F" w:rsidP="00D65F7F">
            <w:pPr>
              <w:jc w:val="both"/>
              <w:rPr>
                <w:rFonts w:ascii="Arial" w:eastAsia="Times New Roman" w:hAnsi="Arial" w:cs="Arial"/>
                <w:iCs/>
                <w:sz w:val="18"/>
                <w:szCs w:val="18"/>
                <w:lang w:eastAsia="fr-FR"/>
              </w:rPr>
            </w:pPr>
          </w:p>
        </w:tc>
      </w:tr>
      <w:tr w:rsidR="00D65F7F" w:rsidRPr="002C63B4" w14:paraId="01D332AE" w14:textId="77777777" w:rsidTr="00F74DBA">
        <w:tc>
          <w:tcPr>
            <w:tcW w:w="3539" w:type="dxa"/>
            <w:shd w:val="clear" w:color="auto" w:fill="auto"/>
          </w:tcPr>
          <w:p w14:paraId="3AA2C864" w14:textId="277EC1A4" w:rsidR="00D65F7F" w:rsidRPr="002C63B4" w:rsidRDefault="00D65F7F" w:rsidP="00D65F7F">
            <w:pPr>
              <w:rPr>
                <w:rFonts w:ascii="Arial" w:hAnsi="Arial" w:cs="Arial"/>
                <w:b/>
                <w:iCs/>
                <w:sz w:val="18"/>
                <w:szCs w:val="18"/>
              </w:rPr>
            </w:pPr>
            <w:r>
              <w:rPr>
                <w:rFonts w:ascii="Arial" w:hAnsi="Arial" w:cs="Arial"/>
                <w:b/>
                <w:iCs/>
                <w:sz w:val="18"/>
                <w:szCs w:val="18"/>
              </w:rPr>
              <w:t xml:space="preserve">A.3 </w:t>
            </w:r>
            <w:r w:rsidRPr="002C63B4">
              <w:rPr>
                <w:rFonts w:ascii="Arial" w:hAnsi="Arial" w:cs="Arial"/>
                <w:b/>
                <w:iCs/>
                <w:sz w:val="18"/>
                <w:szCs w:val="18"/>
              </w:rPr>
              <w:t>Contingency Plan</w:t>
            </w:r>
          </w:p>
        </w:tc>
        <w:tc>
          <w:tcPr>
            <w:tcW w:w="11340" w:type="dxa"/>
            <w:shd w:val="clear" w:color="auto" w:fill="auto"/>
          </w:tcPr>
          <w:p w14:paraId="11EE6631" w14:textId="059A96AD" w:rsidR="00D65F7F" w:rsidRPr="0068350A" w:rsidRDefault="00D65F7F" w:rsidP="0068350A">
            <w:pPr>
              <w:rPr>
                <w:rFonts w:ascii="Arial" w:hAnsi="Arial" w:cs="Arial"/>
                <w:b/>
                <w:iCs/>
                <w:sz w:val="18"/>
                <w:szCs w:val="18"/>
              </w:rPr>
            </w:pPr>
            <w:r w:rsidRPr="005D323C">
              <w:rPr>
                <w:rFonts w:ascii="Arial" w:eastAsia="Times New Roman" w:hAnsi="Arial" w:cs="Arial"/>
                <w:b/>
                <w:bCs/>
                <w:iCs/>
                <w:sz w:val="18"/>
                <w:szCs w:val="18"/>
                <w:lang w:eastAsia="fr-FR"/>
              </w:rPr>
              <w:t>DESCRIPTION</w:t>
            </w:r>
          </w:p>
        </w:tc>
      </w:tr>
      <w:tr w:rsidR="00D65F7F" w:rsidRPr="00D73CA5" w14:paraId="2DE66602" w14:textId="77777777" w:rsidTr="00F74DBA">
        <w:tc>
          <w:tcPr>
            <w:tcW w:w="3539" w:type="dxa"/>
            <w:shd w:val="clear" w:color="auto" w:fill="auto"/>
          </w:tcPr>
          <w:p w14:paraId="2C56E823" w14:textId="4CBDF5A3" w:rsidR="00D65F7F" w:rsidRDefault="001F0FA9" w:rsidP="001D5BDE">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A.3.1</w:t>
            </w:r>
            <w:r w:rsidR="00D65F7F">
              <w:rPr>
                <w:rFonts w:ascii="Arial" w:hAnsi="Arial" w:cs="Arial"/>
                <w:iCs/>
                <w:sz w:val="18"/>
                <w:szCs w:val="18"/>
              </w:rPr>
              <w:t xml:space="preserve"> </w:t>
            </w:r>
            <w:r w:rsidR="00D65F7F" w:rsidRPr="00D73CA5">
              <w:rPr>
                <w:rFonts w:ascii="Arial" w:hAnsi="Arial" w:cs="Arial"/>
                <w:iCs/>
                <w:sz w:val="18"/>
                <w:szCs w:val="18"/>
              </w:rPr>
              <w:t xml:space="preserve">Is there a contingency plan </w:t>
            </w:r>
            <w:r w:rsidR="00D65F7F">
              <w:rPr>
                <w:rFonts w:ascii="Arial" w:hAnsi="Arial" w:cs="Arial"/>
                <w:iCs/>
                <w:sz w:val="18"/>
                <w:szCs w:val="18"/>
              </w:rPr>
              <w:t xml:space="preserve">in place (prior to a crisis) </w:t>
            </w:r>
            <w:r w:rsidR="00D65F7F" w:rsidRPr="00D73CA5">
              <w:rPr>
                <w:rFonts w:ascii="Arial" w:hAnsi="Arial" w:cs="Arial"/>
                <w:iCs/>
                <w:sz w:val="18"/>
                <w:szCs w:val="18"/>
              </w:rPr>
              <w:t xml:space="preserve">that includes </w:t>
            </w:r>
            <w:r w:rsidR="00D65F7F">
              <w:rPr>
                <w:rFonts w:ascii="Arial" w:hAnsi="Arial" w:cs="Arial"/>
                <w:iCs/>
                <w:sz w:val="18"/>
                <w:szCs w:val="18"/>
              </w:rPr>
              <w:t>a plan</w:t>
            </w:r>
            <w:r w:rsidR="00D65F7F" w:rsidRPr="00D73CA5">
              <w:rPr>
                <w:rFonts w:ascii="Arial" w:hAnsi="Arial" w:cs="Arial"/>
                <w:iCs/>
                <w:sz w:val="18"/>
                <w:szCs w:val="18"/>
              </w:rPr>
              <w:t xml:space="preserve"> for initial multisector assessments and subsequent nutrition surveys</w:t>
            </w:r>
            <w:r w:rsidR="00D65F7F">
              <w:rPr>
                <w:rFonts w:ascii="Arial" w:hAnsi="Arial" w:cs="Arial"/>
                <w:iCs/>
                <w:sz w:val="18"/>
                <w:szCs w:val="18"/>
              </w:rPr>
              <w:t xml:space="preserve"> if and when a crisis </w:t>
            </w:r>
            <w:r w:rsidR="001D5BDE">
              <w:rPr>
                <w:rFonts w:ascii="Arial" w:hAnsi="Arial" w:cs="Arial"/>
                <w:iCs/>
                <w:sz w:val="18"/>
                <w:szCs w:val="18"/>
              </w:rPr>
              <w:t>o</w:t>
            </w:r>
            <w:r w:rsidR="00D65F7F">
              <w:rPr>
                <w:rFonts w:ascii="Arial" w:hAnsi="Arial" w:cs="Arial"/>
                <w:iCs/>
                <w:sz w:val="18"/>
                <w:szCs w:val="18"/>
              </w:rPr>
              <w:t>ccurs</w:t>
            </w:r>
            <w:r w:rsidR="00D65F7F" w:rsidRPr="00D73CA5">
              <w:rPr>
                <w:rFonts w:ascii="Arial" w:hAnsi="Arial" w:cs="Arial"/>
                <w:iCs/>
                <w:sz w:val="18"/>
                <w:szCs w:val="18"/>
              </w:rPr>
              <w:t xml:space="preserve">?    </w:t>
            </w:r>
          </w:p>
        </w:tc>
        <w:tc>
          <w:tcPr>
            <w:tcW w:w="11340" w:type="dxa"/>
            <w:shd w:val="clear" w:color="auto" w:fill="auto"/>
          </w:tcPr>
          <w:p w14:paraId="382E0D7A" w14:textId="77777777" w:rsidR="00D65F7F" w:rsidRPr="0080337C" w:rsidRDefault="00D65F7F" w:rsidP="00D65F7F">
            <w:pPr>
              <w:pStyle w:val="paragraph"/>
              <w:spacing w:before="0" w:beforeAutospacing="0" w:after="60" w:afterAutospacing="0"/>
              <w:jc w:val="both"/>
              <w:textAlignment w:val="baseline"/>
              <w:rPr>
                <w:rFonts w:ascii="Arial" w:eastAsia="Arial Unicode MS" w:hAnsi="Arial" w:cs="Arial"/>
                <w:color w:val="000000"/>
                <w:sz w:val="18"/>
                <w:szCs w:val="18"/>
                <w:u w:color="000000"/>
                <w:bdr w:val="nil"/>
                <w:lang w:val="en-CA"/>
              </w:rPr>
            </w:pPr>
            <w:r w:rsidRPr="00D73CA5">
              <w:rPr>
                <w:rStyle w:val="normaltextrun"/>
                <w:rFonts w:ascii="Arial" w:eastAsiaTheme="majorEastAsia" w:hAnsi="Arial" w:cs="Arial"/>
                <w:sz w:val="18"/>
                <w:szCs w:val="18"/>
                <w:lang w:val="en-GB"/>
              </w:rPr>
              <w:t>Wherever possible, especially in high risk contexts</w:t>
            </w:r>
            <w:r>
              <w:rPr>
                <w:rStyle w:val="normaltextrun"/>
                <w:rFonts w:ascii="Arial" w:eastAsiaTheme="majorEastAsia" w:hAnsi="Arial" w:cs="Arial"/>
                <w:sz w:val="18"/>
                <w:szCs w:val="18"/>
                <w:lang w:val="en-GB"/>
              </w:rPr>
              <w:t xml:space="preserve">, contingency plans </w:t>
            </w:r>
            <w:r w:rsidRPr="00D73CA5">
              <w:rPr>
                <w:rStyle w:val="normaltextrun"/>
                <w:rFonts w:ascii="Arial" w:eastAsiaTheme="majorEastAsia" w:hAnsi="Arial" w:cs="Arial"/>
                <w:sz w:val="18"/>
                <w:szCs w:val="18"/>
                <w:lang w:val="en-GB"/>
              </w:rPr>
              <w:t xml:space="preserve">should include identifying in advance the </w:t>
            </w:r>
            <w:r>
              <w:rPr>
                <w:rStyle w:val="normaltextrun"/>
                <w:rFonts w:ascii="Arial" w:eastAsiaTheme="majorEastAsia" w:hAnsi="Arial" w:cs="Arial"/>
                <w:sz w:val="18"/>
                <w:szCs w:val="18"/>
                <w:lang w:val="en-GB"/>
              </w:rPr>
              <w:t xml:space="preserve">nutrition </w:t>
            </w:r>
            <w:r w:rsidRPr="00D73CA5">
              <w:rPr>
                <w:rStyle w:val="normaltextrun"/>
                <w:rFonts w:ascii="Arial" w:eastAsiaTheme="majorEastAsia" w:hAnsi="Arial" w:cs="Arial"/>
                <w:sz w:val="18"/>
                <w:szCs w:val="18"/>
                <w:lang w:val="en-GB"/>
              </w:rPr>
              <w:t xml:space="preserve">assessment tools to be used, the </w:t>
            </w:r>
            <w:r>
              <w:rPr>
                <w:rStyle w:val="normaltextrun"/>
                <w:rFonts w:ascii="Arial" w:eastAsiaTheme="majorEastAsia" w:hAnsi="Arial" w:cs="Arial"/>
                <w:sz w:val="18"/>
                <w:szCs w:val="18"/>
                <w:lang w:val="en-GB"/>
              </w:rPr>
              <w:t xml:space="preserve">standard </w:t>
            </w:r>
            <w:r w:rsidRPr="00D73CA5">
              <w:rPr>
                <w:rStyle w:val="normaltextrun"/>
                <w:rFonts w:ascii="Arial" w:eastAsiaTheme="majorEastAsia" w:hAnsi="Arial" w:cs="Arial"/>
                <w:sz w:val="18"/>
                <w:szCs w:val="18"/>
                <w:lang w:val="en-GB"/>
              </w:rPr>
              <w:t>indicators and the human and financial resources to use so that the assessment</w:t>
            </w:r>
            <w:r>
              <w:rPr>
                <w:rStyle w:val="normaltextrun"/>
                <w:rFonts w:ascii="Arial" w:eastAsiaTheme="majorEastAsia" w:hAnsi="Arial" w:cs="Arial"/>
                <w:sz w:val="18"/>
                <w:szCs w:val="18"/>
                <w:lang w:val="en-GB"/>
              </w:rPr>
              <w:t>s</w:t>
            </w:r>
            <w:r w:rsidRPr="00D73CA5">
              <w:rPr>
                <w:rStyle w:val="normaltextrun"/>
                <w:rFonts w:ascii="Arial" w:eastAsiaTheme="majorEastAsia" w:hAnsi="Arial" w:cs="Arial"/>
                <w:sz w:val="18"/>
                <w:szCs w:val="18"/>
                <w:lang w:val="en-GB"/>
              </w:rPr>
              <w:t xml:space="preserve"> can be quickly done if </w:t>
            </w:r>
            <w:r>
              <w:rPr>
                <w:rStyle w:val="normaltextrun"/>
                <w:rFonts w:ascii="Arial" w:eastAsiaTheme="majorEastAsia" w:hAnsi="Arial" w:cs="Arial"/>
                <w:sz w:val="18"/>
                <w:szCs w:val="18"/>
                <w:lang w:val="en-GB"/>
              </w:rPr>
              <w:t>a crisis</w:t>
            </w:r>
            <w:r w:rsidRPr="00D73CA5">
              <w:rPr>
                <w:rStyle w:val="normaltextrun"/>
                <w:rFonts w:ascii="Arial" w:eastAsiaTheme="majorEastAsia" w:hAnsi="Arial" w:cs="Arial"/>
                <w:sz w:val="18"/>
                <w:szCs w:val="18"/>
                <w:lang w:val="en-GB"/>
              </w:rPr>
              <w:t xml:space="preserve"> </w:t>
            </w:r>
            <w:r w:rsidRPr="00D56BD7">
              <w:rPr>
                <w:rStyle w:val="normaltextrun"/>
                <w:rFonts w:ascii="Arial" w:eastAsiaTheme="majorEastAsia" w:hAnsi="Arial" w:cs="Arial"/>
                <w:sz w:val="18"/>
                <w:szCs w:val="18"/>
                <w:lang w:val="en-CA"/>
              </w:rPr>
              <w:t xml:space="preserve">occurs. </w:t>
            </w:r>
            <w:r w:rsidRPr="00D56BD7">
              <w:rPr>
                <w:rFonts w:ascii="Arial" w:eastAsia="Arial Unicode MS" w:hAnsi="Arial" w:cs="Arial"/>
                <w:color w:val="000000"/>
                <w:sz w:val="18"/>
                <w:szCs w:val="18"/>
                <w:u w:color="000000"/>
                <w:bdr w:val="nil"/>
                <w:lang w:val="en-CA"/>
              </w:rPr>
              <w:t>It saves lives to plan and pre-agree on how to respond to the different emergency scenarios that are likely to occur in your country ahead of time.</w:t>
            </w:r>
            <w:r w:rsidRPr="00D56BD7">
              <w:rPr>
                <w:rFonts w:eastAsia="Arial Unicode MS"/>
                <w:color w:val="000000"/>
                <w:u w:color="000000"/>
                <w:bdr w:val="nil"/>
                <w:lang w:val="en-CA"/>
              </w:rPr>
              <w:t xml:space="preserve"> </w:t>
            </w:r>
            <w:r w:rsidRPr="00D56BD7">
              <w:rPr>
                <w:rStyle w:val="normaltextrun"/>
                <w:rFonts w:ascii="Arial" w:eastAsiaTheme="majorEastAsia" w:hAnsi="Arial" w:cs="Arial"/>
                <w:sz w:val="18"/>
                <w:szCs w:val="18"/>
                <w:lang w:val="en-CA"/>
              </w:rPr>
              <w:t xml:space="preserve">Consequently, </w:t>
            </w:r>
            <w:r w:rsidRPr="00D56BD7">
              <w:rPr>
                <w:rFonts w:ascii="Arial" w:eastAsia="Arial Unicode MS" w:hAnsi="Arial" w:cs="Arial"/>
                <w:color w:val="000000"/>
                <w:sz w:val="18"/>
                <w:szCs w:val="18"/>
                <w:u w:color="000000"/>
                <w:bdr w:val="nil"/>
                <w:lang w:val="en-CA"/>
              </w:rPr>
              <w:t>the timeliness and quality of initial multi-sector assessments support needs-based planning for an effective response during a humanitarian</w:t>
            </w:r>
            <w:r w:rsidRPr="00572A88">
              <w:rPr>
                <w:rFonts w:ascii="Arial" w:eastAsia="Arial Unicode MS" w:hAnsi="Arial" w:cs="Arial"/>
                <w:color w:val="000000"/>
                <w:sz w:val="18"/>
                <w:szCs w:val="18"/>
                <w:u w:color="000000"/>
                <w:bdr w:val="nil"/>
                <w:lang w:val="en-CA"/>
              </w:rPr>
              <w:t xml:space="preserve"> </w:t>
            </w:r>
            <w:r w:rsidRPr="0080337C">
              <w:rPr>
                <w:rFonts w:ascii="Arial" w:eastAsia="Arial Unicode MS" w:hAnsi="Arial" w:cs="Arial"/>
                <w:color w:val="000000"/>
                <w:sz w:val="18"/>
                <w:szCs w:val="18"/>
                <w:u w:color="000000"/>
                <w:bdr w:val="nil"/>
                <w:lang w:val="en-CA"/>
              </w:rPr>
              <w:t xml:space="preserve">situation. </w:t>
            </w:r>
            <w:r w:rsidRPr="0080337C">
              <w:rPr>
                <w:rFonts w:ascii="Arial" w:hAnsi="Arial" w:cs="Arial"/>
                <w:iCs/>
                <w:sz w:val="18"/>
                <w:szCs w:val="18"/>
                <w:lang w:val="en-CA"/>
              </w:rPr>
              <w:t xml:space="preserve">It saves lives to plan and pre-agree on how to respond to the different emergency scenarios that are likely to occur in your country ahead of time. A </w:t>
            </w:r>
            <w:hyperlink r:id="rId26" w:history="1">
              <w:r w:rsidRPr="0080337C">
                <w:rPr>
                  <w:rStyle w:val="Hyperlink"/>
                  <w:rFonts w:ascii="Arial" w:hAnsi="Arial" w:cs="Arial"/>
                  <w:iCs/>
                  <w:sz w:val="18"/>
                  <w:szCs w:val="18"/>
                  <w:lang w:val="en-CA"/>
                </w:rPr>
                <w:t>contingency plan</w:t>
              </w:r>
            </w:hyperlink>
            <w:r w:rsidRPr="0080337C">
              <w:rPr>
                <w:rFonts w:ascii="Arial" w:hAnsi="Arial" w:cs="Arial"/>
                <w:iCs/>
                <w:sz w:val="18"/>
                <w:szCs w:val="18"/>
                <w:lang w:val="en-CA"/>
              </w:rPr>
              <w:t xml:space="preserve"> that looks and addresses how the emergency will impact nutrition information and its availability for response planning is an important preparedness measure. Delineating the different likely scenarios will also help plan differently for an outbreak within a displacement context versus an earthquake for example.</w:t>
            </w:r>
          </w:p>
          <w:p w14:paraId="59C7D071" w14:textId="5C3659F4" w:rsidR="00D65F7F" w:rsidRPr="00D629B3" w:rsidRDefault="00D65F7F" w:rsidP="00D65F7F">
            <w:pPr>
              <w:pStyle w:val="paragraph"/>
              <w:spacing w:before="0" w:beforeAutospacing="0" w:after="60" w:afterAutospacing="0"/>
              <w:jc w:val="both"/>
              <w:textAlignment w:val="baseline"/>
              <w:rPr>
                <w:rFonts w:ascii="Arial" w:eastAsiaTheme="majorEastAsia" w:hAnsi="Arial" w:cs="Arial"/>
                <w:sz w:val="18"/>
                <w:szCs w:val="18"/>
                <w:lang w:val="en-GB"/>
              </w:rPr>
            </w:pPr>
            <w:r w:rsidRPr="0080337C">
              <w:rPr>
                <w:rFonts w:ascii="Arial" w:eastAsia="Arial Unicode MS" w:hAnsi="Arial" w:cs="Arial"/>
                <w:color w:val="000000"/>
                <w:sz w:val="18"/>
                <w:szCs w:val="18"/>
                <w:u w:color="000000"/>
                <w:bdr w:val="nil"/>
                <w:lang w:val="en-CA"/>
              </w:rPr>
              <w:t xml:space="preserve">In most countries, an initial, joint, multi-sectoral, rapid assessment tool </w:t>
            </w:r>
            <w:r w:rsidRPr="0080337C">
              <w:rPr>
                <w:rStyle w:val="normaltextrun"/>
                <w:rFonts w:ascii="Arial" w:eastAsiaTheme="majorEastAsia" w:hAnsi="Arial" w:cs="Arial"/>
                <w:sz w:val="18"/>
                <w:szCs w:val="18"/>
                <w:lang w:val="en-CA"/>
              </w:rPr>
              <w:t xml:space="preserve">(like </w:t>
            </w:r>
            <w:hyperlink r:id="rId27" w:tgtFrame="_blank" w:history="1">
              <w:r w:rsidRPr="0080337C">
                <w:rPr>
                  <w:rStyle w:val="normaltextrun"/>
                  <w:rFonts w:ascii="Arial" w:eastAsiaTheme="majorEastAsia" w:hAnsi="Arial" w:cs="Arial"/>
                  <w:color w:val="0563C1"/>
                  <w:sz w:val="18"/>
                  <w:szCs w:val="18"/>
                  <w:u w:val="single"/>
                  <w:lang w:val="en-CA"/>
                </w:rPr>
                <w:t>MIRA</w:t>
              </w:r>
            </w:hyperlink>
            <w:r w:rsidRPr="0080337C">
              <w:rPr>
                <w:rStyle w:val="normaltextrun"/>
                <w:rFonts w:ascii="Arial" w:eastAsiaTheme="majorEastAsia" w:hAnsi="Arial" w:cs="Arial"/>
                <w:sz w:val="18"/>
                <w:szCs w:val="18"/>
                <w:lang w:val="en-CA"/>
              </w:rPr>
              <w:t xml:space="preserve"> -Multi-sector Initial Rapid Assessment, usually done within two-four weeks) </w:t>
            </w:r>
            <w:r w:rsidRPr="0080337C">
              <w:rPr>
                <w:rFonts w:ascii="Arial" w:eastAsia="Arial Unicode MS" w:hAnsi="Arial" w:cs="Arial"/>
                <w:color w:val="000000"/>
                <w:sz w:val="18"/>
                <w:szCs w:val="18"/>
                <w:u w:color="000000"/>
                <w:bdr w:val="nil"/>
                <w:lang w:val="en-CA"/>
              </w:rPr>
              <w:t xml:space="preserve">and methodology is agreed to at the country level. </w:t>
            </w:r>
            <w:hyperlink r:id="rId28" w:history="1">
              <w:r w:rsidRPr="0080337C">
                <w:rPr>
                  <w:rStyle w:val="Hyperlink"/>
                  <w:rFonts w:ascii="Arial" w:eastAsia="Arial Unicode MS" w:hAnsi="Arial" w:cs="Arial"/>
                  <w:sz w:val="18"/>
                  <w:szCs w:val="18"/>
                  <w:bdr w:val="nil"/>
                  <w:lang w:val="en-CA"/>
                </w:rPr>
                <w:t>Coordinated joint assessments</w:t>
              </w:r>
            </w:hyperlink>
            <w:r w:rsidRPr="0080337C">
              <w:rPr>
                <w:rFonts w:ascii="Arial" w:eastAsia="Arial Unicode MS" w:hAnsi="Arial" w:cs="Arial"/>
                <w:color w:val="000000"/>
                <w:sz w:val="18"/>
                <w:szCs w:val="18"/>
                <w:u w:color="000000"/>
                <w:bdr w:val="nil"/>
                <w:lang w:val="en-CA"/>
              </w:rPr>
              <w:t xml:space="preserve"> often include qualitative information only, collected through key informant interviews or focus groups to assess immediate needs and evaluate the possible immediate changes directly caused by the crisis/shock. For example, nutrition-sensitive IYCF-E (</w:t>
            </w:r>
            <w:hyperlink r:id="rId29" w:history="1">
              <w:r w:rsidRPr="0080337C">
                <w:rPr>
                  <w:rStyle w:val="Hyperlink"/>
                  <w:rFonts w:ascii="Arial" w:eastAsia="Arial Unicode MS" w:hAnsi="Arial" w:cs="Arial"/>
                  <w:sz w:val="18"/>
                  <w:szCs w:val="18"/>
                  <w:bdr w:val="nil"/>
                  <w:lang w:val="en-CA"/>
                </w:rPr>
                <w:t>Infant and Young child Feeding in emergencies</w:t>
              </w:r>
            </w:hyperlink>
            <w:r w:rsidRPr="0080337C">
              <w:rPr>
                <w:rFonts w:ascii="Arial" w:eastAsia="Arial Unicode MS" w:hAnsi="Arial" w:cs="Arial"/>
                <w:color w:val="000000"/>
                <w:sz w:val="18"/>
                <w:szCs w:val="18"/>
                <w:u w:color="000000"/>
                <w:bdr w:val="nil"/>
                <w:lang w:val="en-CA"/>
              </w:rPr>
              <w:t xml:space="preserve"> assessments) questions should be part of this initial assessment. These initial needs assessments often collect information on the current situation using</w:t>
            </w:r>
            <w:r w:rsidR="005E1FEB" w:rsidRPr="0080337C">
              <w:rPr>
                <w:rFonts w:ascii="Arial" w:eastAsia="Arial Unicode MS" w:hAnsi="Arial" w:cs="Arial"/>
                <w:color w:val="000000"/>
                <w:sz w:val="18"/>
                <w:szCs w:val="18"/>
                <w:u w:color="000000"/>
                <w:bdr w:val="nil"/>
                <w:lang w:val="en-CA"/>
              </w:rPr>
              <w:t xml:space="preserve"> key informant interviews, focus groups or </w:t>
            </w:r>
            <w:r w:rsidRPr="0080337C">
              <w:rPr>
                <w:rFonts w:ascii="Arial" w:eastAsia="Arial Unicode MS" w:hAnsi="Arial" w:cs="Arial"/>
                <w:b/>
                <w:bCs/>
                <w:color w:val="000000"/>
                <w:sz w:val="18"/>
                <w:szCs w:val="18"/>
                <w:u w:color="000000"/>
                <w:bdr w:val="nil"/>
                <w:lang w:val="en-CA"/>
              </w:rPr>
              <w:t xml:space="preserve">secondary/existing </w:t>
            </w:r>
            <w:r w:rsidRPr="0080337C">
              <w:rPr>
                <w:rStyle w:val="normaltextrun"/>
                <w:rFonts w:ascii="Arial" w:eastAsiaTheme="majorEastAsia" w:hAnsi="Arial" w:cs="Arial"/>
                <w:sz w:val="18"/>
                <w:szCs w:val="18"/>
                <w:lang w:val="en-GB"/>
              </w:rPr>
              <w:t xml:space="preserve">historical nutrition data </w:t>
            </w:r>
            <w:r w:rsidRPr="0080337C">
              <w:rPr>
                <w:rFonts w:ascii="Arial" w:eastAsia="Arial Unicode MS" w:hAnsi="Arial" w:cs="Arial"/>
                <w:color w:val="000000"/>
                <w:sz w:val="18"/>
                <w:szCs w:val="18"/>
                <w:u w:color="000000"/>
                <w:bdr w:val="nil"/>
                <w:lang w:val="en-CA"/>
              </w:rPr>
              <w:t xml:space="preserve">and likely evolution and </w:t>
            </w:r>
            <w:r w:rsidRPr="0080337C">
              <w:rPr>
                <w:rStyle w:val="normaltextrun"/>
                <w:rFonts w:ascii="Arial" w:eastAsiaTheme="majorEastAsia" w:hAnsi="Arial" w:cs="Arial"/>
                <w:sz w:val="18"/>
                <w:szCs w:val="18"/>
                <w:lang w:val="en-GB"/>
              </w:rPr>
              <w:t xml:space="preserve">enables a basic understanding of the </w:t>
            </w:r>
            <w:r w:rsidRPr="0080337C">
              <w:rPr>
                <w:rStyle w:val="normaltextrun"/>
                <w:rFonts w:ascii="Arial" w:eastAsiaTheme="majorEastAsia" w:hAnsi="Arial" w:cs="Arial"/>
                <w:sz w:val="18"/>
                <w:szCs w:val="18"/>
                <w:lang w:val="en-GB"/>
              </w:rPr>
              <w:lastRenderedPageBreak/>
              <w:t>nutritional vulnerability in the affected area and will inform initial decisions for the response in the first hours and days of a crisis, before more detailed information becomes available. </w:t>
            </w:r>
            <w:r w:rsidRPr="0080337C">
              <w:rPr>
                <w:rFonts w:ascii="Arial" w:eastAsia="Arial Unicode MS" w:hAnsi="Arial" w:cs="Arial"/>
                <w:color w:val="000000"/>
                <w:sz w:val="18"/>
                <w:szCs w:val="18"/>
                <w:u w:color="000000"/>
                <w:bdr w:val="nil"/>
                <w:lang w:val="en-CA"/>
              </w:rPr>
              <w:t>The goal of these initial assessments</w:t>
            </w:r>
            <w:r w:rsidRPr="00572A88">
              <w:rPr>
                <w:rFonts w:ascii="Arial" w:eastAsia="Arial Unicode MS" w:hAnsi="Arial" w:cs="Arial"/>
                <w:color w:val="000000"/>
                <w:sz w:val="18"/>
                <w:szCs w:val="18"/>
                <w:u w:color="000000"/>
                <w:bdr w:val="nil"/>
                <w:lang w:val="en-CA"/>
              </w:rPr>
              <w:t xml:space="preserve"> is to identify the priority problems, risks</w:t>
            </w:r>
            <w:r>
              <w:rPr>
                <w:rFonts w:ascii="Arial" w:eastAsia="Arial Unicode MS" w:hAnsi="Arial" w:cs="Arial"/>
                <w:color w:val="000000"/>
                <w:sz w:val="18"/>
                <w:szCs w:val="18"/>
                <w:u w:color="000000"/>
                <w:bdr w:val="nil"/>
                <w:lang w:val="en-CA"/>
              </w:rPr>
              <w:t>,</w:t>
            </w:r>
            <w:r w:rsidRPr="00572A88">
              <w:rPr>
                <w:rFonts w:ascii="Arial" w:eastAsia="Arial Unicode MS" w:hAnsi="Arial" w:cs="Arial"/>
                <w:color w:val="000000"/>
                <w:sz w:val="18"/>
                <w:szCs w:val="18"/>
                <w:u w:color="000000"/>
                <w:bdr w:val="nil"/>
                <w:lang w:val="en-CA"/>
              </w:rPr>
              <w:t xml:space="preserve"> and anticipated gaps in service provision.</w:t>
            </w:r>
          </w:p>
          <w:p w14:paraId="6194780F" w14:textId="5C2E9A04" w:rsidR="00D65F7F" w:rsidRDefault="00D65F7F" w:rsidP="00D65F7F">
            <w:pPr>
              <w:spacing w:afterLines="60" w:after="144"/>
              <w:jc w:val="both"/>
              <w:rPr>
                <w:rFonts w:ascii="Arial" w:eastAsia="Arial Unicode MS" w:hAnsi="Arial" w:cs="Arial"/>
                <w:color w:val="000000"/>
                <w:sz w:val="18"/>
                <w:szCs w:val="18"/>
                <w:u w:color="000000"/>
                <w:bdr w:val="nil"/>
                <w:lang w:eastAsia="fr-FR"/>
              </w:rPr>
            </w:pPr>
            <w:r w:rsidRPr="00572A88">
              <w:rPr>
                <w:rFonts w:ascii="Arial" w:eastAsia="Arial Unicode MS" w:hAnsi="Arial" w:cs="Arial"/>
                <w:color w:val="000000"/>
                <w:sz w:val="18"/>
                <w:szCs w:val="18"/>
                <w:u w:color="000000"/>
                <w:bdr w:val="nil"/>
              </w:rPr>
              <w:t>Where results of a joint initial assessment indicate that more information on the nutritional status of the affected population is required, a specific Rapid Nutrition Assessment including anthropometric measurements is warranted. </w:t>
            </w:r>
            <w:r w:rsidRPr="00572A88">
              <w:rPr>
                <w:rStyle w:val="normaltextrun"/>
                <w:rFonts w:ascii="Arial" w:eastAsiaTheme="majorEastAsia" w:hAnsi="Arial" w:cs="Arial"/>
                <w:sz w:val="18"/>
                <w:szCs w:val="18"/>
              </w:rPr>
              <w:t>Rapid nutrition assessments must be well designed and executed to obtain accurate information on the nutrition situation to inform immediate programming needs. With input from Cluster Coordinators, careful consideration should be given to ensuring the rapid assessment has clear objectives and will meet the information needs of the sector. Nutrition focal points</w:t>
            </w:r>
            <w:r>
              <w:rPr>
                <w:rStyle w:val="normaltextrun"/>
                <w:rFonts w:ascii="Arial" w:eastAsiaTheme="majorEastAsia" w:hAnsi="Arial" w:cs="Arial"/>
                <w:sz w:val="18"/>
                <w:szCs w:val="18"/>
              </w:rPr>
              <w:t xml:space="preserve"> at local government and institution-levels</w:t>
            </w:r>
            <w:r w:rsidRPr="00572A88">
              <w:rPr>
                <w:rStyle w:val="normaltextrun"/>
                <w:rFonts w:ascii="Arial" w:eastAsiaTheme="majorEastAsia" w:hAnsi="Arial" w:cs="Arial"/>
                <w:sz w:val="18"/>
                <w:szCs w:val="18"/>
              </w:rPr>
              <w:t>, including Nutrition Cluster Coordinators (NCC), Information Management Officers (IMO), and Cluster partners should be part of these discussions to ensure that</w:t>
            </w:r>
            <w:r w:rsidRPr="00572A88">
              <w:rPr>
                <w:rFonts w:ascii="Arial" w:eastAsia="Arial Unicode MS" w:hAnsi="Arial" w:cs="Arial"/>
                <w:color w:val="000000"/>
                <w:sz w:val="18"/>
                <w:szCs w:val="18"/>
                <w:u w:color="000000"/>
                <w:bdr w:val="nil"/>
                <w:lang w:eastAsia="fr-FR"/>
              </w:rPr>
              <w:t xml:space="preserve"> the nutrition-related data are analysed, interpreted and reported correctly.</w:t>
            </w:r>
          </w:p>
          <w:p w14:paraId="02D7812B" w14:textId="789D9A02" w:rsidR="00D65F7F" w:rsidRPr="00572A88" w:rsidRDefault="00D65F7F" w:rsidP="00D65F7F">
            <w:pPr>
              <w:spacing w:afterLines="60" w:after="144"/>
              <w:jc w:val="both"/>
              <w:rPr>
                <w:rFonts w:ascii="Arial" w:eastAsia="Arial Unicode MS" w:hAnsi="Arial" w:cs="Arial"/>
                <w:color w:val="000000"/>
                <w:sz w:val="18"/>
                <w:szCs w:val="18"/>
                <w:u w:color="000000"/>
                <w:bdr w:val="nil"/>
                <w:lang w:eastAsia="fr-FR"/>
              </w:rPr>
            </w:pPr>
            <w:r>
              <w:rPr>
                <w:rFonts w:ascii="Arial" w:eastAsia="Arial Unicode MS" w:hAnsi="Arial" w:cs="Arial"/>
                <w:color w:val="000000"/>
                <w:sz w:val="18"/>
                <w:szCs w:val="18"/>
                <w:u w:color="000000"/>
                <w:bdr w:val="nil"/>
                <w:lang w:eastAsia="fr-FR"/>
              </w:rPr>
              <w:t xml:space="preserve">MUAC Screening campaigns: In 2021, a </w:t>
            </w:r>
            <w:hyperlink r:id="rId30" w:history="1">
              <w:r w:rsidRPr="001F0FA9">
                <w:rPr>
                  <w:rStyle w:val="Hyperlink"/>
                  <w:rFonts w:ascii="Arial" w:eastAsia="Arial Unicode MS" w:hAnsi="Arial" w:cs="Arial"/>
                  <w:sz w:val="18"/>
                  <w:szCs w:val="18"/>
                  <w:u w:color="000000"/>
                  <w:bdr w:val="nil"/>
                  <w:lang w:eastAsia="fr-FR"/>
                </w:rPr>
                <w:t>MUAC screening toolkit</w:t>
              </w:r>
            </w:hyperlink>
            <w:r>
              <w:rPr>
                <w:rFonts w:ascii="Arial" w:eastAsia="Arial Unicode MS" w:hAnsi="Arial" w:cs="Arial"/>
                <w:color w:val="000000"/>
                <w:sz w:val="18"/>
                <w:szCs w:val="18"/>
                <w:u w:color="000000"/>
                <w:bdr w:val="nil"/>
                <w:lang w:eastAsia="fr-FR"/>
              </w:rPr>
              <w:t xml:space="preserve"> was developed by the CDC and SMART Initiative to facilitate the ability of nutrition partners to rapidly find and refer eligible children for nutrition treatment and as well use screening data to better understand the nutrition situation in an emergency affected area. This tool is easy to administer and is instrumental in ensuring that the nutrition cluster is able to rapidly collect critical data in the first few weeks of an emergency.</w:t>
            </w:r>
          </w:p>
          <w:p w14:paraId="17CEBEB4" w14:textId="4F6D45EA" w:rsidR="00D65F7F" w:rsidRDefault="00D65F7F" w:rsidP="00D65F7F">
            <w:pPr>
              <w:pStyle w:val="paragraph"/>
              <w:spacing w:before="0" w:beforeAutospacing="0" w:afterLines="60" w:after="144" w:afterAutospacing="0"/>
              <w:jc w:val="both"/>
              <w:textAlignment w:val="baseline"/>
              <w:rPr>
                <w:rFonts w:ascii="Arial" w:eastAsia="Arial Unicode MS" w:hAnsi="Arial" w:cs="Arial"/>
                <w:color w:val="000000"/>
                <w:sz w:val="18"/>
                <w:szCs w:val="18"/>
                <w:u w:color="000000"/>
                <w:bdr w:val="nil"/>
                <w:lang w:val="en-CA"/>
              </w:rPr>
            </w:pPr>
            <w:r w:rsidRPr="00572A88">
              <w:rPr>
                <w:rStyle w:val="normaltextrun"/>
                <w:rFonts w:ascii="Arial" w:eastAsiaTheme="majorEastAsia" w:hAnsi="Arial" w:cs="Arial"/>
                <w:sz w:val="18"/>
                <w:szCs w:val="18"/>
                <w:lang w:val="en-CA"/>
              </w:rPr>
              <w:t>In 2014, the </w:t>
            </w:r>
            <w:hyperlink r:id="rId31" w:tgtFrame="_blank" w:history="1">
              <w:r w:rsidRPr="00572A88">
                <w:rPr>
                  <w:rStyle w:val="normaltextrun"/>
                  <w:rFonts w:ascii="Arial" w:eastAsiaTheme="majorEastAsia" w:hAnsi="Arial" w:cs="Arial"/>
                  <w:color w:val="0563C1"/>
                  <w:sz w:val="18"/>
                  <w:szCs w:val="18"/>
                  <w:u w:val="single"/>
                  <w:lang w:val="en-CA"/>
                </w:rPr>
                <w:t>Rapid SMART methodology</w:t>
              </w:r>
            </w:hyperlink>
            <w:r w:rsidRPr="00572A88">
              <w:rPr>
                <w:rStyle w:val="normaltextrun"/>
                <w:rFonts w:ascii="Arial" w:eastAsiaTheme="majorEastAsia" w:hAnsi="Arial" w:cs="Arial"/>
                <w:sz w:val="18"/>
                <w:szCs w:val="18"/>
                <w:lang w:val="en-CA"/>
              </w:rPr>
              <w:t> was launched, aiming at collecting key anthropometric information for small areas or populations in minimal time by smaller teams.</w:t>
            </w:r>
            <w:r w:rsidRPr="00572A88">
              <w:rPr>
                <w:rStyle w:val="eop"/>
                <w:rFonts w:ascii="Arial" w:eastAsiaTheme="majorEastAsia" w:hAnsi="Arial" w:cs="Arial"/>
                <w:sz w:val="18"/>
                <w:szCs w:val="18"/>
                <w:lang w:val="en-CA"/>
              </w:rPr>
              <w:t> </w:t>
            </w:r>
            <w:r w:rsidRPr="00572A88">
              <w:rPr>
                <w:rStyle w:val="normaltextrun"/>
                <w:rFonts w:ascii="Arial" w:eastAsiaTheme="majorEastAsia" w:hAnsi="Arial" w:cs="Arial"/>
                <w:sz w:val="18"/>
                <w:szCs w:val="18"/>
                <w:lang w:val="en-CA"/>
              </w:rPr>
              <w:t>Full-fledged malnutrition assessments generally follow the standard </w:t>
            </w:r>
            <w:hyperlink r:id="rId32" w:tgtFrame="_blank" w:history="1">
              <w:r w:rsidRPr="00572A88">
                <w:rPr>
                  <w:rStyle w:val="normaltextrun"/>
                  <w:rFonts w:ascii="Arial" w:eastAsiaTheme="majorEastAsia" w:hAnsi="Arial" w:cs="Arial"/>
                  <w:color w:val="0563C1"/>
                  <w:sz w:val="18"/>
                  <w:szCs w:val="18"/>
                  <w:u w:val="single"/>
                  <w:lang w:val="en-CA"/>
                </w:rPr>
                <w:t>SMART methodology</w:t>
              </w:r>
            </w:hyperlink>
            <w:r w:rsidRPr="00572A88">
              <w:rPr>
                <w:rStyle w:val="normaltextrun"/>
                <w:rFonts w:ascii="Arial" w:eastAsiaTheme="majorEastAsia" w:hAnsi="Arial" w:cs="Arial"/>
                <w:sz w:val="18"/>
                <w:szCs w:val="18"/>
                <w:lang w:val="en-CA"/>
              </w:rPr>
              <w:t> and may integrate indicators for IYCF, food security, health</w:t>
            </w:r>
            <w:r>
              <w:rPr>
                <w:rStyle w:val="normaltextrun"/>
                <w:rFonts w:ascii="Arial" w:eastAsiaTheme="majorEastAsia" w:hAnsi="Arial" w:cs="Arial"/>
                <w:sz w:val="18"/>
                <w:szCs w:val="18"/>
                <w:lang w:val="en-CA"/>
              </w:rPr>
              <w:t>,</w:t>
            </w:r>
            <w:r w:rsidRPr="00572A88">
              <w:rPr>
                <w:rStyle w:val="normaltextrun"/>
                <w:rFonts w:ascii="Arial" w:eastAsiaTheme="majorEastAsia" w:hAnsi="Arial" w:cs="Arial"/>
                <w:sz w:val="18"/>
                <w:szCs w:val="18"/>
                <w:lang w:val="en-CA"/>
              </w:rPr>
              <w:t xml:space="preserve"> or WASH according to the context and reported issues.</w:t>
            </w:r>
            <w:r w:rsidRPr="00572A88">
              <w:rPr>
                <w:rStyle w:val="eop"/>
                <w:rFonts w:ascii="Arial" w:eastAsiaTheme="majorEastAsia" w:hAnsi="Arial" w:cs="Arial"/>
                <w:sz w:val="18"/>
                <w:szCs w:val="18"/>
                <w:lang w:val="en-CA"/>
              </w:rPr>
              <w:t> As part of the contingency plan</w:t>
            </w:r>
            <w:r w:rsidRPr="00572A88">
              <w:rPr>
                <w:rStyle w:val="normaltextrun"/>
                <w:rFonts w:ascii="Arial" w:eastAsiaTheme="majorEastAsia" w:hAnsi="Arial" w:cs="Arial"/>
                <w:sz w:val="18"/>
                <w:szCs w:val="18"/>
                <w:lang w:val="en-CA"/>
              </w:rPr>
              <w:t>, the Nutrition Cluster partners may reach an agreement on nutrition assessments such as: when and how the SMART Surveys are conducted, essential indicators based on the situation, validation and invalidation criteria, resource sharing, training of staff, etc.</w:t>
            </w:r>
            <w:r w:rsidRPr="00572A88">
              <w:rPr>
                <w:rStyle w:val="eop"/>
                <w:rFonts w:ascii="Trebuchet MS" w:eastAsiaTheme="majorEastAsia" w:hAnsi="Trebuchet MS"/>
                <w:sz w:val="22"/>
                <w:szCs w:val="22"/>
                <w:lang w:val="en-CA"/>
              </w:rPr>
              <w:t> </w:t>
            </w:r>
            <w:r w:rsidRPr="00572A88">
              <w:rPr>
                <w:rFonts w:ascii="Arial" w:eastAsia="Arial Unicode MS" w:hAnsi="Arial" w:cs="Arial"/>
                <w:color w:val="000000"/>
                <w:sz w:val="18"/>
                <w:szCs w:val="18"/>
                <w:u w:color="000000"/>
                <w:bdr w:val="nil"/>
                <w:lang w:val="en-CA"/>
              </w:rPr>
              <w:t>The credibility and accuracy of these nutrition assessment results are the basis for needs-based planning and can have long-lasting effects on everything from the quality of interagency coordination, to donor funding levels and relationships with national governments, local non</w:t>
            </w:r>
            <w:r>
              <w:rPr>
                <w:rFonts w:ascii="Arial" w:eastAsia="Arial Unicode MS" w:hAnsi="Arial" w:cs="Arial"/>
                <w:color w:val="000000"/>
                <w:sz w:val="18"/>
                <w:szCs w:val="18"/>
                <w:u w:color="000000"/>
                <w:bdr w:val="nil"/>
                <w:lang w:val="en-CA"/>
              </w:rPr>
              <w:t>-</w:t>
            </w:r>
            <w:r w:rsidRPr="00572A88">
              <w:rPr>
                <w:rFonts w:ascii="Arial" w:eastAsia="Arial Unicode MS" w:hAnsi="Arial" w:cs="Arial"/>
                <w:color w:val="000000"/>
                <w:sz w:val="18"/>
                <w:szCs w:val="18"/>
                <w:u w:color="000000"/>
                <w:bdr w:val="nil"/>
                <w:lang w:val="en-CA"/>
              </w:rPr>
              <w:t>governmental organizations (NGOs) and disaster-affected populations to support an effective humanitarian response.</w:t>
            </w:r>
          </w:p>
          <w:p w14:paraId="1D1446A2" w14:textId="53DE43C5" w:rsidR="00D65F7F" w:rsidRPr="00D73CA5" w:rsidRDefault="00D65F7F" w:rsidP="00D65F7F">
            <w:pPr>
              <w:spacing w:after="60"/>
              <w:rPr>
                <w:rFonts w:ascii="Arial" w:eastAsia="Arial Unicode MS" w:hAnsi="Arial" w:cs="Arial"/>
                <w:color w:val="000000"/>
                <w:sz w:val="18"/>
                <w:szCs w:val="18"/>
                <w:u w:color="000000"/>
                <w:bdr w:val="nil"/>
                <w:lang w:eastAsia="fr-FR"/>
              </w:rPr>
            </w:pPr>
            <w:r w:rsidRPr="00BA39A6">
              <w:rPr>
                <w:rStyle w:val="normaltextrun"/>
                <w:rFonts w:ascii="Arial" w:eastAsiaTheme="majorEastAsia" w:hAnsi="Arial" w:cs="Arial"/>
                <w:sz w:val="18"/>
                <w:szCs w:val="18"/>
                <w:lang w:val="en-GB"/>
              </w:rPr>
              <w:t>In many countries prone to</w:t>
            </w:r>
            <w:r>
              <w:rPr>
                <w:rStyle w:val="normaltextrun"/>
                <w:rFonts w:ascii="Arial" w:eastAsiaTheme="majorEastAsia" w:hAnsi="Arial" w:cs="Arial"/>
                <w:sz w:val="18"/>
                <w:szCs w:val="18"/>
                <w:lang w:val="en-GB"/>
              </w:rPr>
              <w:t xml:space="preserve"> humanitarian </w:t>
            </w:r>
            <w:r w:rsidRPr="00BA39A6">
              <w:rPr>
                <w:rStyle w:val="normaltextrun"/>
                <w:rFonts w:ascii="Arial" w:eastAsiaTheme="majorEastAsia" w:hAnsi="Arial" w:cs="Arial"/>
                <w:sz w:val="18"/>
                <w:szCs w:val="18"/>
                <w:lang w:val="en-GB"/>
              </w:rPr>
              <w:t>cris</w:t>
            </w:r>
            <w:r>
              <w:rPr>
                <w:rStyle w:val="normaltextrun"/>
                <w:rFonts w:ascii="Arial" w:eastAsiaTheme="majorEastAsia" w:hAnsi="Arial" w:cs="Arial"/>
                <w:sz w:val="18"/>
                <w:szCs w:val="18"/>
                <w:lang w:val="en-GB"/>
              </w:rPr>
              <w:t>e</w:t>
            </w:r>
            <w:r w:rsidRPr="00BA39A6">
              <w:rPr>
                <w:rStyle w:val="normaltextrun"/>
                <w:rFonts w:ascii="Arial" w:eastAsiaTheme="majorEastAsia" w:hAnsi="Arial" w:cs="Arial"/>
                <w:sz w:val="18"/>
                <w:szCs w:val="18"/>
                <w:lang w:val="en-GB"/>
              </w:rPr>
              <w:t xml:space="preserve">s, </w:t>
            </w:r>
            <w:r>
              <w:rPr>
                <w:rStyle w:val="normaltextrun"/>
                <w:rFonts w:ascii="Arial" w:eastAsiaTheme="majorEastAsia" w:hAnsi="Arial" w:cs="Arial"/>
                <w:sz w:val="18"/>
                <w:szCs w:val="18"/>
                <w:lang w:val="en-GB"/>
              </w:rPr>
              <w:t xml:space="preserve">nutrition </w:t>
            </w:r>
            <w:r w:rsidRPr="00BA39A6">
              <w:rPr>
                <w:rStyle w:val="normaltextrun"/>
                <w:rFonts w:ascii="Arial" w:eastAsiaTheme="majorEastAsia" w:hAnsi="Arial" w:cs="Arial"/>
                <w:sz w:val="18"/>
                <w:szCs w:val="18"/>
                <w:lang w:val="en-GB"/>
              </w:rPr>
              <w:t>surveillance (</w:t>
            </w:r>
            <w:hyperlink r:id="rId33" w:tgtFrame="_blank" w:history="1">
              <w:r w:rsidRPr="00BA39A6">
                <w:rPr>
                  <w:rStyle w:val="normaltextrun"/>
                  <w:rFonts w:ascii="Arial" w:eastAsiaTheme="majorEastAsia" w:hAnsi="Arial" w:cs="Arial"/>
                  <w:color w:val="0563C1"/>
                  <w:sz w:val="18"/>
                  <w:szCs w:val="18"/>
                  <w:u w:val="single"/>
                  <w:lang w:val="en-GB"/>
                </w:rPr>
                <w:t>food security and nutrition early warning</w:t>
              </w:r>
            </w:hyperlink>
            <w:r w:rsidRPr="00BA39A6">
              <w:rPr>
                <w:rStyle w:val="normaltextrun"/>
                <w:rFonts w:ascii="Arial" w:eastAsiaTheme="majorEastAsia" w:hAnsi="Arial" w:cs="Arial"/>
                <w:sz w:val="18"/>
                <w:szCs w:val="18"/>
                <w:lang w:val="en-GB"/>
              </w:rPr>
              <w:t>, </w:t>
            </w:r>
            <w:hyperlink r:id="rId34" w:tgtFrame="_blank" w:history="1">
              <w:r w:rsidRPr="00BA39A6">
                <w:rPr>
                  <w:rStyle w:val="normaltextrun"/>
                  <w:rFonts w:ascii="Arial" w:eastAsiaTheme="majorEastAsia" w:hAnsi="Arial" w:cs="Arial"/>
                  <w:color w:val="0563C1"/>
                  <w:sz w:val="18"/>
                  <w:szCs w:val="18"/>
                  <w:u w:val="single"/>
                  <w:lang w:val="en-GB"/>
                </w:rPr>
                <w:t>IPC</w:t>
              </w:r>
            </w:hyperlink>
            <w:r w:rsidRPr="00BA39A6">
              <w:rPr>
                <w:rStyle w:val="normaltextrun"/>
                <w:rFonts w:ascii="Arial" w:eastAsiaTheme="majorEastAsia" w:hAnsi="Arial" w:cs="Arial"/>
                <w:sz w:val="18"/>
                <w:szCs w:val="18"/>
                <w:lang w:val="en-GB"/>
              </w:rPr>
              <w:t xml:space="preserve">, </w:t>
            </w:r>
            <w:hyperlink r:id="rId35" w:tgtFrame="_blank" w:history="1">
              <w:r>
                <w:rPr>
                  <w:rStyle w:val="normaltextrun"/>
                  <w:rFonts w:ascii="Arial" w:eastAsiaTheme="majorEastAsia" w:hAnsi="Arial" w:cs="Arial"/>
                  <w:color w:val="0563C1"/>
                  <w:sz w:val="18"/>
                  <w:szCs w:val="18"/>
                  <w:u w:val="single"/>
                  <w:lang w:val="en-GB"/>
                </w:rPr>
                <w:t>ear</w:t>
              </w:r>
              <w:r w:rsidRPr="00BA39A6">
                <w:rPr>
                  <w:rStyle w:val="normaltextrun"/>
                  <w:rFonts w:ascii="Arial" w:eastAsiaTheme="majorEastAsia" w:hAnsi="Arial" w:cs="Arial"/>
                  <w:color w:val="0563C1"/>
                  <w:sz w:val="18"/>
                  <w:szCs w:val="18"/>
                  <w:u w:val="single"/>
                  <w:lang w:val="en-GB"/>
                </w:rPr>
                <w:t>ly Warning, Alert and Response System</w:t>
              </w:r>
            </w:hyperlink>
            <w:r w:rsidRPr="00BA39A6">
              <w:rPr>
                <w:rStyle w:val="normaltextrun"/>
                <w:rFonts w:ascii="Arial" w:eastAsiaTheme="majorEastAsia" w:hAnsi="Arial" w:cs="Arial"/>
                <w:color w:val="0563C1"/>
                <w:sz w:val="18"/>
                <w:szCs w:val="18"/>
                <w:u w:val="single"/>
                <w:lang w:val="en-GB"/>
              </w:rPr>
              <w:t> website</w:t>
            </w:r>
            <w:r w:rsidRPr="005972E2">
              <w:rPr>
                <w:rStyle w:val="normaltextrun"/>
                <w:rFonts w:ascii="Arial" w:eastAsiaTheme="majorEastAsia" w:hAnsi="Arial" w:cs="Arial"/>
                <w:color w:val="0563C1"/>
                <w:sz w:val="18"/>
                <w:szCs w:val="18"/>
                <w:u w:val="single"/>
              </w:rPr>
              <w:t>,</w:t>
            </w:r>
            <w:r w:rsidRPr="005972E2">
              <w:rPr>
                <w:rStyle w:val="normaltextrun"/>
                <w:rFonts w:eastAsiaTheme="majorEastAsia"/>
                <w:color w:val="0563C1"/>
                <w:u w:val="single"/>
              </w:rPr>
              <w:t xml:space="preserve"> </w:t>
            </w:r>
            <w:r w:rsidRPr="00BA39A6">
              <w:rPr>
                <w:rStyle w:val="normaltextrun"/>
                <w:rFonts w:ascii="Arial" w:eastAsiaTheme="majorEastAsia" w:hAnsi="Arial" w:cs="Arial"/>
                <w:sz w:val="18"/>
                <w:szCs w:val="18"/>
                <w:lang w:val="en-GB"/>
              </w:rPr>
              <w:t>etc.) are in place and constitute an excellent source of information for preparedness and response planning purposes. When relevant, the inclusion of nutrition indicators into national early warning systems</w:t>
            </w:r>
            <w:r>
              <w:rPr>
                <w:rStyle w:val="normaltextrun"/>
                <w:rFonts w:ascii="Arial" w:eastAsiaTheme="majorEastAsia" w:hAnsi="Arial" w:cs="Arial"/>
                <w:sz w:val="18"/>
                <w:szCs w:val="18"/>
                <w:lang w:val="en-GB"/>
              </w:rPr>
              <w:t xml:space="preserve"> should be </w:t>
            </w:r>
            <w:r w:rsidRPr="00BA39A6">
              <w:rPr>
                <w:rStyle w:val="normaltextrun"/>
                <w:rFonts w:ascii="Arial" w:eastAsiaTheme="majorEastAsia" w:hAnsi="Arial" w:cs="Arial"/>
                <w:sz w:val="18"/>
                <w:szCs w:val="18"/>
                <w:lang w:val="en-GB"/>
              </w:rPr>
              <w:t>advocate</w:t>
            </w:r>
            <w:r>
              <w:rPr>
                <w:rStyle w:val="normaltextrun"/>
                <w:rFonts w:ascii="Arial" w:eastAsiaTheme="majorEastAsia" w:hAnsi="Arial" w:cs="Arial"/>
                <w:sz w:val="18"/>
                <w:szCs w:val="18"/>
                <w:lang w:val="en-GB"/>
              </w:rPr>
              <w:t>d</w:t>
            </w:r>
            <w:r w:rsidRPr="00BA39A6">
              <w:rPr>
                <w:rStyle w:val="normaltextrun"/>
                <w:rFonts w:ascii="Arial" w:eastAsiaTheme="majorEastAsia" w:hAnsi="Arial" w:cs="Arial"/>
                <w:sz w:val="18"/>
                <w:szCs w:val="18"/>
                <w:lang w:val="en-GB"/>
              </w:rPr>
              <w:t xml:space="preserve"> for.</w:t>
            </w:r>
            <w:r>
              <w:rPr>
                <w:rStyle w:val="normaltextrun"/>
                <w:rFonts w:ascii="Arial" w:eastAsiaTheme="majorEastAsia" w:hAnsi="Arial" w:cs="Arial"/>
                <w:sz w:val="18"/>
                <w:szCs w:val="18"/>
                <w:lang w:val="en-GB"/>
              </w:rPr>
              <w:t xml:space="preserve"> </w:t>
            </w:r>
            <w:r w:rsidRPr="00BA39A6">
              <w:rPr>
                <w:rStyle w:val="normaltextrun"/>
                <w:rFonts w:ascii="Arial" w:eastAsiaTheme="majorEastAsia" w:hAnsi="Arial" w:cs="Arial"/>
                <w:sz w:val="18"/>
                <w:szCs w:val="18"/>
                <w:lang w:val="en-GB"/>
              </w:rPr>
              <w:t>In som</w:t>
            </w:r>
            <w:r>
              <w:rPr>
                <w:rStyle w:val="normaltextrun"/>
                <w:rFonts w:ascii="Arial" w:eastAsiaTheme="majorEastAsia" w:hAnsi="Arial" w:cs="Arial"/>
                <w:sz w:val="18"/>
                <w:szCs w:val="18"/>
                <w:lang w:val="en-GB"/>
              </w:rPr>
              <w:t>e instances,</w:t>
            </w:r>
            <w:r w:rsidRPr="00BA39A6">
              <w:rPr>
                <w:rStyle w:val="normaltextrun"/>
                <w:rFonts w:ascii="Arial" w:eastAsiaTheme="majorEastAsia" w:hAnsi="Arial" w:cs="Arial"/>
                <w:sz w:val="18"/>
                <w:szCs w:val="18"/>
                <w:lang w:val="en-GB"/>
              </w:rPr>
              <w:t> nutrition program data (e.g.</w:t>
            </w:r>
            <w:r>
              <w:rPr>
                <w:rStyle w:val="normaltextrun"/>
                <w:rFonts w:ascii="Arial" w:eastAsiaTheme="majorEastAsia" w:hAnsi="Arial" w:cs="Arial"/>
                <w:sz w:val="18"/>
                <w:szCs w:val="18"/>
                <w:lang w:val="en-GB"/>
              </w:rPr>
              <w:t>,</w:t>
            </w:r>
            <w:r w:rsidRPr="00BA39A6">
              <w:rPr>
                <w:rStyle w:val="normaltextrun"/>
                <w:rFonts w:ascii="Arial" w:eastAsiaTheme="majorEastAsia" w:hAnsi="Arial" w:cs="Arial"/>
                <w:sz w:val="18"/>
                <w:szCs w:val="18"/>
                <w:lang w:val="en-GB"/>
              </w:rPr>
              <w:t xml:space="preserve"> admission to nutrition centres, anthropometric data of children under 5 at health consultation, growth monitoring, etc.) are collected through the health information system and could be retrieved and analysed in light of the ongoing risks.</w:t>
            </w:r>
            <w:r w:rsidRPr="005972E2">
              <w:rPr>
                <w:rStyle w:val="eop"/>
                <w:rFonts w:ascii="Arial" w:eastAsiaTheme="majorEastAsia" w:hAnsi="Arial" w:cs="Arial"/>
                <w:sz w:val="18"/>
                <w:szCs w:val="18"/>
              </w:rPr>
              <w:t> </w:t>
            </w:r>
          </w:p>
        </w:tc>
      </w:tr>
      <w:tr w:rsidR="00D65F7F" w:rsidRPr="002C63B4" w14:paraId="50A33EDD" w14:textId="77777777" w:rsidTr="00F74DBA">
        <w:tc>
          <w:tcPr>
            <w:tcW w:w="3539" w:type="dxa"/>
            <w:shd w:val="clear" w:color="auto" w:fill="auto"/>
          </w:tcPr>
          <w:p w14:paraId="38B1FD3A" w14:textId="27EFF9FB" w:rsidR="00D65F7F" w:rsidRPr="002C63B4" w:rsidRDefault="00D65F7F" w:rsidP="00D65F7F">
            <w:pPr>
              <w:rPr>
                <w:rFonts w:ascii="Arial" w:hAnsi="Arial" w:cs="Arial"/>
                <w:b/>
                <w:iCs/>
                <w:sz w:val="18"/>
                <w:szCs w:val="18"/>
              </w:rPr>
            </w:pPr>
            <w:r>
              <w:rPr>
                <w:rFonts w:ascii="Arial" w:hAnsi="Arial" w:cs="Arial"/>
                <w:b/>
                <w:iCs/>
                <w:sz w:val="18"/>
                <w:szCs w:val="18"/>
              </w:rPr>
              <w:lastRenderedPageBreak/>
              <w:t xml:space="preserve">A.4 </w:t>
            </w:r>
            <w:r w:rsidRPr="002C63B4">
              <w:rPr>
                <w:rFonts w:ascii="Arial" w:hAnsi="Arial" w:cs="Arial"/>
                <w:b/>
                <w:iCs/>
                <w:sz w:val="18"/>
                <w:szCs w:val="18"/>
              </w:rPr>
              <w:t>Strategic Planning</w:t>
            </w:r>
          </w:p>
        </w:tc>
        <w:tc>
          <w:tcPr>
            <w:tcW w:w="11340" w:type="dxa"/>
            <w:shd w:val="clear" w:color="auto" w:fill="auto"/>
          </w:tcPr>
          <w:p w14:paraId="1F4C63F4" w14:textId="2FB072E8" w:rsidR="00D65F7F" w:rsidRPr="002C63B4" w:rsidRDefault="00D65F7F" w:rsidP="00D65F7F">
            <w:pPr>
              <w:rPr>
                <w:rFonts w:ascii="Arial" w:hAnsi="Arial" w:cs="Arial"/>
                <w:b/>
                <w:iCs/>
                <w:sz w:val="18"/>
                <w:szCs w:val="18"/>
              </w:rPr>
            </w:pPr>
            <w:r w:rsidRPr="005D323C">
              <w:rPr>
                <w:rFonts w:ascii="Arial" w:eastAsia="Times New Roman" w:hAnsi="Arial" w:cs="Arial"/>
                <w:b/>
                <w:bCs/>
                <w:iCs/>
                <w:sz w:val="18"/>
                <w:szCs w:val="18"/>
                <w:lang w:eastAsia="fr-FR"/>
              </w:rPr>
              <w:t>DESCRIPTION</w:t>
            </w:r>
          </w:p>
        </w:tc>
      </w:tr>
      <w:tr w:rsidR="00D65F7F" w:rsidRPr="00D73CA5" w14:paraId="18B48678" w14:textId="77777777" w:rsidTr="00F74DBA">
        <w:tc>
          <w:tcPr>
            <w:tcW w:w="3539" w:type="dxa"/>
            <w:shd w:val="clear" w:color="auto" w:fill="auto"/>
          </w:tcPr>
          <w:p w14:paraId="443779B1" w14:textId="13FAFF9E"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A.4.1 </w:t>
            </w:r>
            <w:r w:rsidRPr="005B7939">
              <w:rPr>
                <w:rFonts w:ascii="Arial" w:hAnsi="Arial" w:cs="Arial"/>
                <w:iCs/>
                <w:sz w:val="18"/>
                <w:szCs w:val="18"/>
              </w:rPr>
              <w:t xml:space="preserve">Does the Humanitarian Needs Overview (HNO) identify and detail the nutritional needs for the relevant population groups? </w:t>
            </w:r>
          </w:p>
        </w:tc>
        <w:tc>
          <w:tcPr>
            <w:tcW w:w="11340" w:type="dxa"/>
            <w:shd w:val="clear" w:color="auto" w:fill="auto"/>
          </w:tcPr>
          <w:p w14:paraId="1F444269" w14:textId="3F90B3F8"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iCs/>
                <w:sz w:val="18"/>
                <w:szCs w:val="18"/>
              </w:rPr>
              <w:t>The</w:t>
            </w:r>
            <w:r w:rsidRPr="008B77A2">
              <w:rPr>
                <w:rFonts w:ascii="Arial" w:hAnsi="Arial" w:cs="Arial"/>
                <w:iCs/>
                <w:sz w:val="18"/>
                <w:szCs w:val="18"/>
              </w:rPr>
              <w:t xml:space="preserve"> </w:t>
            </w:r>
            <w:hyperlink r:id="rId36" w:history="1">
              <w:r w:rsidRPr="008B77A2">
                <w:rPr>
                  <w:rStyle w:val="Hyperlink"/>
                  <w:rFonts w:ascii="Arial" w:hAnsi="Arial" w:cs="Arial"/>
                  <w:iCs/>
                  <w:sz w:val="18"/>
                  <w:szCs w:val="18"/>
                </w:rPr>
                <w:t>Nutrition Humanitarian Needs Analysis Guidance</w:t>
              </w:r>
            </w:hyperlink>
            <w:r>
              <w:rPr>
                <w:rFonts w:ascii="Arial" w:hAnsi="Arial" w:cs="Arial"/>
                <w:iCs/>
                <w:sz w:val="18"/>
                <w:szCs w:val="18"/>
              </w:rPr>
              <w:t xml:space="preserve"> provides a step-by-step guidance on how to classify the severity and estimate the magnitude of nutritional needs, including a </w:t>
            </w:r>
            <w:r w:rsidRPr="008B77A2">
              <w:rPr>
                <w:rFonts w:ascii="Arial" w:hAnsi="Arial" w:cs="Arial"/>
                <w:iCs/>
                <w:sz w:val="18"/>
                <w:szCs w:val="18"/>
              </w:rPr>
              <w:t>list of “core” indicators relating to the key drivers/determinants of malnutrition and their interpretation for response planning</w:t>
            </w:r>
            <w:r>
              <w:rPr>
                <w:rFonts w:ascii="Arial" w:hAnsi="Arial" w:cs="Arial"/>
                <w:iCs/>
                <w:sz w:val="18"/>
                <w:szCs w:val="18"/>
              </w:rPr>
              <w:t xml:space="preserve">. This should be used with the latest </w:t>
            </w:r>
            <w:hyperlink r:id="rId37" w:history="1">
              <w:r w:rsidRPr="00E004E8">
                <w:rPr>
                  <w:rStyle w:val="Hyperlink"/>
                  <w:rFonts w:ascii="Arial" w:hAnsi="Arial" w:cs="Arial"/>
                  <w:iCs/>
                  <w:sz w:val="18"/>
                  <w:szCs w:val="18"/>
                </w:rPr>
                <w:t>HNO templates</w:t>
              </w:r>
            </w:hyperlink>
            <w:r>
              <w:rPr>
                <w:rFonts w:ascii="Arial" w:hAnsi="Arial" w:cs="Arial"/>
                <w:iCs/>
                <w:sz w:val="18"/>
                <w:szCs w:val="18"/>
              </w:rPr>
              <w:t xml:space="preserve"> from OCHA.</w:t>
            </w:r>
          </w:p>
        </w:tc>
      </w:tr>
      <w:tr w:rsidR="00D65F7F" w:rsidRPr="00D73CA5" w14:paraId="3C0921C5" w14:textId="77777777" w:rsidTr="00F74DBA">
        <w:tc>
          <w:tcPr>
            <w:tcW w:w="3539" w:type="dxa"/>
            <w:shd w:val="clear" w:color="auto" w:fill="auto"/>
          </w:tcPr>
          <w:p w14:paraId="609778A4" w14:textId="0AE2E558"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A.4.2 Does the Humanitarian Response Plan (HRP) and the nutrition cluster strategic plan address the nutritional needs raised in the HNO?</w:t>
            </w:r>
          </w:p>
        </w:tc>
        <w:tc>
          <w:tcPr>
            <w:tcW w:w="11340" w:type="dxa"/>
            <w:shd w:val="clear" w:color="auto" w:fill="auto"/>
          </w:tcPr>
          <w:p w14:paraId="2DFC1D9F" w14:textId="47BF7333" w:rsidR="00D65F7F" w:rsidRPr="00D73CA5" w:rsidRDefault="00D65F7F" w:rsidP="00D65F7F">
            <w:pPr>
              <w:spacing w:after="60"/>
              <w:rPr>
                <w:rFonts w:ascii="Arial" w:eastAsia="Arial Unicode MS" w:hAnsi="Arial" w:cs="Arial"/>
                <w:color w:val="000000"/>
                <w:sz w:val="18"/>
                <w:szCs w:val="18"/>
                <w:u w:color="000000"/>
                <w:bdr w:val="nil"/>
                <w:lang w:eastAsia="fr-FR"/>
              </w:rPr>
            </w:pPr>
            <w:r w:rsidRPr="007639E3">
              <w:rPr>
                <w:rFonts w:ascii="Arial" w:hAnsi="Arial" w:cs="Arial"/>
                <w:sz w:val="18"/>
                <w:szCs w:val="18"/>
              </w:rPr>
              <w:t>Based on the understanding of the magnitude of nutritional needs and its key drivers from the previous Nutrition Situation Analysis and</w:t>
            </w:r>
            <w:r>
              <w:rPr>
                <w:rFonts w:ascii="Arial" w:hAnsi="Arial" w:cs="Arial"/>
                <w:sz w:val="18"/>
                <w:szCs w:val="18"/>
              </w:rPr>
              <w:t xml:space="preserve"> people in need (</w:t>
            </w:r>
            <w:r w:rsidRPr="007639E3">
              <w:rPr>
                <w:rFonts w:ascii="Arial" w:hAnsi="Arial" w:cs="Arial"/>
                <w:sz w:val="18"/>
                <w:szCs w:val="18"/>
              </w:rPr>
              <w:t>P</w:t>
            </w:r>
            <w:r>
              <w:rPr>
                <w:rFonts w:ascii="Arial" w:hAnsi="Arial" w:cs="Arial"/>
                <w:sz w:val="18"/>
                <w:szCs w:val="18"/>
              </w:rPr>
              <w:t>I</w:t>
            </w:r>
            <w:r w:rsidRPr="007639E3">
              <w:rPr>
                <w:rFonts w:ascii="Arial" w:hAnsi="Arial" w:cs="Arial"/>
                <w:sz w:val="18"/>
                <w:szCs w:val="18"/>
              </w:rPr>
              <w:t>N</w:t>
            </w:r>
            <w:r>
              <w:rPr>
                <w:rFonts w:ascii="Arial" w:hAnsi="Arial" w:cs="Arial"/>
                <w:sz w:val="18"/>
                <w:szCs w:val="18"/>
              </w:rPr>
              <w:t>)</w:t>
            </w:r>
            <w:r w:rsidRPr="007639E3">
              <w:rPr>
                <w:rFonts w:ascii="Arial" w:hAnsi="Arial" w:cs="Arial"/>
                <w:sz w:val="18"/>
                <w:szCs w:val="18"/>
              </w:rPr>
              <w:t xml:space="preserve"> calculations per intervention following the </w:t>
            </w:r>
            <w:hyperlink r:id="rId38" w:history="1">
              <w:r w:rsidRPr="008E1749">
                <w:rPr>
                  <w:rStyle w:val="Hyperlink"/>
                  <w:rFonts w:ascii="Arial" w:hAnsi="Arial" w:cs="Arial"/>
                  <w:iCs/>
                  <w:sz w:val="18"/>
                  <w:szCs w:val="18"/>
                </w:rPr>
                <w:t>Nutrition Humanitarian Needs Analysis Guidance</w:t>
              </w:r>
            </w:hyperlink>
            <w:r w:rsidRPr="007639E3">
              <w:rPr>
                <w:rFonts w:ascii="Arial" w:hAnsi="Arial" w:cs="Arial"/>
                <w:sz w:val="18"/>
                <w:szCs w:val="18"/>
              </w:rPr>
              <w:t>, priority response objectives guide the development of HRP to determine the specific interventions and activities that are best suited to address malnutrition in each area of interest.</w:t>
            </w:r>
          </w:p>
        </w:tc>
      </w:tr>
      <w:tr w:rsidR="00D65F7F" w:rsidRPr="00D73CA5" w14:paraId="5912843D" w14:textId="77777777" w:rsidTr="00F74DBA">
        <w:tc>
          <w:tcPr>
            <w:tcW w:w="3539" w:type="dxa"/>
            <w:shd w:val="clear" w:color="auto" w:fill="auto"/>
          </w:tcPr>
          <w:p w14:paraId="45616792" w14:textId="3D85198A"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A.4.3 </w:t>
            </w:r>
            <w:r w:rsidRPr="00A47133">
              <w:rPr>
                <w:rFonts w:ascii="Arial" w:hAnsi="Arial" w:cs="Arial"/>
                <w:iCs/>
                <w:sz w:val="18"/>
                <w:szCs w:val="18"/>
              </w:rPr>
              <w:t xml:space="preserve">Does the Humanitarian Response Plan (HRP) and the nutrition cluster strategic plan cover aspects on planned interventions </w:t>
            </w:r>
            <w:r w:rsidRPr="00A47133">
              <w:rPr>
                <w:rFonts w:ascii="Arial" w:hAnsi="Arial" w:cs="Arial"/>
                <w:iCs/>
                <w:sz w:val="18"/>
                <w:szCs w:val="18"/>
              </w:rPr>
              <w:lastRenderedPageBreak/>
              <w:t xml:space="preserve">broken down per </w:t>
            </w:r>
            <w:r>
              <w:rPr>
                <w:rFonts w:ascii="Arial" w:hAnsi="Arial" w:cs="Arial"/>
                <w:iCs/>
                <w:sz w:val="18"/>
                <w:szCs w:val="18"/>
              </w:rPr>
              <w:t>relevant target group</w:t>
            </w:r>
            <w:r w:rsidRPr="00A47133">
              <w:rPr>
                <w:rFonts w:ascii="Arial" w:hAnsi="Arial" w:cs="Arial"/>
                <w:iCs/>
                <w:sz w:val="18"/>
                <w:szCs w:val="18"/>
              </w:rPr>
              <w:t>? Does it include considerations on whether the population is static or on the move?</w:t>
            </w:r>
          </w:p>
        </w:tc>
        <w:tc>
          <w:tcPr>
            <w:tcW w:w="11340" w:type="dxa"/>
            <w:shd w:val="clear" w:color="auto" w:fill="auto"/>
          </w:tcPr>
          <w:p w14:paraId="44CF202F" w14:textId="21D7F0AE" w:rsidR="00D65F7F" w:rsidRPr="00D73CA5" w:rsidRDefault="00D65F7F" w:rsidP="00D65F7F">
            <w:pPr>
              <w:spacing w:after="60"/>
              <w:rPr>
                <w:rFonts w:ascii="Arial" w:eastAsia="Arial Unicode MS" w:hAnsi="Arial" w:cs="Arial"/>
                <w:color w:val="000000"/>
                <w:sz w:val="18"/>
                <w:szCs w:val="18"/>
                <w:u w:color="000000"/>
                <w:bdr w:val="nil"/>
                <w:lang w:eastAsia="fr-FR"/>
              </w:rPr>
            </w:pPr>
            <w:r w:rsidRPr="008E1749">
              <w:rPr>
                <w:rFonts w:ascii="Arial" w:hAnsi="Arial" w:cs="Arial"/>
                <w:sz w:val="18"/>
                <w:szCs w:val="18"/>
              </w:rPr>
              <w:lastRenderedPageBreak/>
              <w:t>Th</w:t>
            </w:r>
            <w:r>
              <w:rPr>
                <w:rFonts w:ascii="Arial" w:hAnsi="Arial" w:cs="Arial"/>
                <w:sz w:val="18"/>
                <w:szCs w:val="18"/>
              </w:rPr>
              <w:t>e</w:t>
            </w:r>
            <w:r w:rsidRPr="008E1749">
              <w:rPr>
                <w:rFonts w:ascii="Arial" w:hAnsi="Arial" w:cs="Arial"/>
                <w:sz w:val="18"/>
                <w:szCs w:val="18"/>
              </w:rPr>
              <w:t xml:space="preserve"> prioritisation of people in need and geographical areas in the HRP should be based on severity, magnitude (estimated numbers of people in need), underlying causes, people’s own priorities and the analysis of the most likely evolution of the situation while time-criticality informs the layering and sequencing of interventions within the HRP.</w:t>
            </w:r>
            <w:r w:rsidRPr="008E1749">
              <w:rPr>
                <w:sz w:val="18"/>
                <w:szCs w:val="18"/>
              </w:rPr>
              <w:t xml:space="preserve"> </w:t>
            </w:r>
            <w:r w:rsidRPr="008E1749">
              <w:rPr>
                <w:rFonts w:ascii="Arial" w:hAnsi="Arial" w:cs="Arial"/>
                <w:sz w:val="18"/>
                <w:szCs w:val="18"/>
              </w:rPr>
              <w:t xml:space="preserve">Developed by the GNC, </w:t>
            </w:r>
            <w:hyperlink r:id="rId39" w:history="1">
              <w:r w:rsidRPr="008E1749">
                <w:rPr>
                  <w:rStyle w:val="Hyperlink"/>
                  <w:rFonts w:ascii="Arial" w:hAnsi="Arial" w:cs="Arial"/>
                  <w:sz w:val="18"/>
                  <w:szCs w:val="18"/>
                </w:rPr>
                <w:t>tips on nutrition interventions for the HRP</w:t>
              </w:r>
            </w:hyperlink>
            <w:r w:rsidRPr="008E1749">
              <w:rPr>
                <w:rFonts w:ascii="Arial" w:hAnsi="Arial" w:cs="Arial"/>
                <w:sz w:val="18"/>
                <w:szCs w:val="18"/>
              </w:rPr>
              <w:t xml:space="preserve"> provides key considerations for nutrition clusters and its partners to facilitate the planning of a collective response and the development of </w:t>
            </w:r>
            <w:r w:rsidRPr="008E1749">
              <w:rPr>
                <w:rFonts w:ascii="Arial" w:hAnsi="Arial" w:cs="Arial"/>
                <w:sz w:val="18"/>
                <w:szCs w:val="18"/>
              </w:rPr>
              <w:lastRenderedPageBreak/>
              <w:t>NiE interventions once the  specific sectoral objectives and type of emergency interventions have been agreed upon. It addresses the key response areas, cluster coordination, accountability to affected population, nutrition survey, nutrition surveillance, and programme coverage evaluation.</w:t>
            </w:r>
          </w:p>
        </w:tc>
      </w:tr>
      <w:tr w:rsidR="00D65F7F" w:rsidRPr="00D73CA5" w14:paraId="78E92638" w14:textId="77777777" w:rsidTr="00F74DBA">
        <w:tc>
          <w:tcPr>
            <w:tcW w:w="3539" w:type="dxa"/>
            <w:shd w:val="clear" w:color="auto" w:fill="auto"/>
          </w:tcPr>
          <w:p w14:paraId="06C047AF" w14:textId="3631A24B"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lastRenderedPageBreak/>
              <w:t xml:space="preserve">A.4.4 </w:t>
            </w:r>
            <w:r w:rsidRPr="00D51DC7">
              <w:rPr>
                <w:rFonts w:ascii="Arial" w:hAnsi="Arial" w:cs="Arial"/>
                <w:iCs/>
                <w:sz w:val="18"/>
                <w:szCs w:val="18"/>
              </w:rPr>
              <w:t>Are different community groups and members views taken into consideration as the plan is put together?</w:t>
            </w:r>
          </w:p>
        </w:tc>
        <w:tc>
          <w:tcPr>
            <w:tcW w:w="11340" w:type="dxa"/>
            <w:shd w:val="clear" w:color="auto" w:fill="auto"/>
          </w:tcPr>
          <w:p w14:paraId="198AB25C" w14:textId="16B33B41" w:rsidR="00D65F7F" w:rsidRPr="00D73CA5" w:rsidRDefault="00D65F7F" w:rsidP="00D65F7F">
            <w:pPr>
              <w:spacing w:after="60"/>
              <w:rPr>
                <w:rFonts w:ascii="Arial" w:eastAsia="Arial Unicode MS" w:hAnsi="Arial" w:cs="Arial"/>
                <w:color w:val="000000"/>
                <w:sz w:val="18"/>
                <w:szCs w:val="18"/>
                <w:u w:color="000000"/>
                <w:bdr w:val="nil"/>
                <w:lang w:eastAsia="fr-FR"/>
              </w:rPr>
            </w:pPr>
            <w:r w:rsidRPr="00A47133">
              <w:rPr>
                <w:rStyle w:val="normaltextrun"/>
                <w:rFonts w:ascii="Arial" w:eastAsiaTheme="majorEastAsia" w:hAnsi="Arial" w:cs="Arial"/>
                <w:sz w:val="18"/>
                <w:szCs w:val="18"/>
                <w:lang w:val="en-GB"/>
              </w:rPr>
              <w:t>In</w:t>
            </w:r>
            <w:r>
              <w:rPr>
                <w:rStyle w:val="normaltextrun"/>
                <w:rFonts w:ascii="Arial" w:eastAsiaTheme="majorEastAsia" w:hAnsi="Arial" w:cs="Arial"/>
                <w:sz w:val="18"/>
                <w:szCs w:val="18"/>
                <w:lang w:val="en-GB"/>
              </w:rPr>
              <w:t xml:space="preserve"> </w:t>
            </w:r>
            <w:r w:rsidRPr="00A47133">
              <w:rPr>
                <w:rStyle w:val="normaltextrun"/>
                <w:rFonts w:ascii="Arial" w:eastAsiaTheme="majorEastAsia" w:hAnsi="Arial" w:cs="Arial"/>
                <w:sz w:val="18"/>
                <w:szCs w:val="18"/>
                <w:lang w:val="en-GB"/>
              </w:rPr>
              <w:t>the same way that the HNO needs to involve the communities affected by the emergency, the HRP needs</w:t>
            </w:r>
            <w:r>
              <w:rPr>
                <w:rStyle w:val="normaltextrun"/>
                <w:rFonts w:ascii="Arial" w:eastAsiaTheme="majorEastAsia" w:hAnsi="Arial" w:cs="Arial"/>
                <w:sz w:val="18"/>
                <w:szCs w:val="18"/>
                <w:lang w:val="en-GB"/>
              </w:rPr>
              <w:t xml:space="preserve"> </w:t>
            </w:r>
            <w:r w:rsidRPr="00A47133">
              <w:rPr>
                <w:rStyle w:val="normaltextrun"/>
                <w:rFonts w:ascii="Arial" w:eastAsiaTheme="majorEastAsia" w:hAnsi="Arial" w:cs="Arial"/>
                <w:sz w:val="18"/>
                <w:szCs w:val="18"/>
                <w:lang w:val="en-GB"/>
              </w:rPr>
              <w:t xml:space="preserve">to also take into consideration the views of those in need </w:t>
            </w:r>
            <w:r>
              <w:rPr>
                <w:rStyle w:val="normaltextrun"/>
                <w:rFonts w:ascii="Arial" w:eastAsiaTheme="majorEastAsia" w:hAnsi="Arial" w:cs="Arial"/>
                <w:sz w:val="18"/>
                <w:szCs w:val="18"/>
                <w:lang w:val="en-GB"/>
              </w:rPr>
              <w:t>of</w:t>
            </w:r>
            <w:r w:rsidRPr="00A47133">
              <w:rPr>
                <w:rStyle w:val="normaltextrun"/>
                <w:rFonts w:ascii="Arial" w:eastAsiaTheme="majorEastAsia" w:hAnsi="Arial" w:cs="Arial"/>
                <w:sz w:val="18"/>
                <w:szCs w:val="18"/>
                <w:lang w:val="en-GB"/>
              </w:rPr>
              <w:t xml:space="preserve"> a nutrition intervention. Cluster partners can</w:t>
            </w:r>
            <w:r>
              <w:rPr>
                <w:rStyle w:val="normaltextrun"/>
                <w:rFonts w:ascii="Arial" w:eastAsiaTheme="majorEastAsia" w:hAnsi="Arial" w:cs="Arial"/>
                <w:sz w:val="18"/>
                <w:szCs w:val="18"/>
                <w:lang w:val="en-GB"/>
              </w:rPr>
              <w:t xml:space="preserve"> </w:t>
            </w:r>
            <w:r w:rsidRPr="00A47133">
              <w:rPr>
                <w:rStyle w:val="normaltextrun"/>
                <w:rFonts w:ascii="Arial" w:eastAsiaTheme="majorEastAsia" w:hAnsi="Arial" w:cs="Arial"/>
                <w:sz w:val="18"/>
                <w:szCs w:val="18"/>
                <w:lang w:val="en-GB"/>
              </w:rPr>
              <w:t>through focus group discussions and key informant interviews explain and gather feedback on the nutrition</w:t>
            </w:r>
            <w:r>
              <w:rPr>
                <w:rStyle w:val="normaltextrun"/>
                <w:rFonts w:ascii="Arial" w:eastAsiaTheme="majorEastAsia" w:hAnsi="Arial" w:cs="Arial"/>
                <w:sz w:val="18"/>
                <w:szCs w:val="18"/>
                <w:lang w:val="en-GB"/>
              </w:rPr>
              <w:t xml:space="preserve"> </w:t>
            </w:r>
            <w:r w:rsidRPr="00A47133">
              <w:rPr>
                <w:rStyle w:val="normaltextrun"/>
                <w:rFonts w:ascii="Arial" w:eastAsiaTheme="majorEastAsia" w:hAnsi="Arial" w:cs="Arial"/>
                <w:sz w:val="18"/>
                <w:szCs w:val="18"/>
                <w:lang w:val="en-GB"/>
              </w:rPr>
              <w:t>cluster plan as it is being discussed.</w:t>
            </w:r>
          </w:p>
        </w:tc>
      </w:tr>
      <w:tr w:rsidR="00D65F7F" w:rsidRPr="00D73CA5" w14:paraId="0C07381D" w14:textId="77777777" w:rsidTr="00F74DBA">
        <w:tc>
          <w:tcPr>
            <w:tcW w:w="3539" w:type="dxa"/>
            <w:shd w:val="clear" w:color="auto" w:fill="auto"/>
          </w:tcPr>
          <w:p w14:paraId="7D82C51B" w14:textId="292BE4F3"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A.4.5 </w:t>
            </w:r>
            <w:r w:rsidRPr="00D51DC7">
              <w:rPr>
                <w:rFonts w:ascii="Arial" w:hAnsi="Arial" w:cs="Arial"/>
                <w:iCs/>
                <w:sz w:val="18"/>
                <w:szCs w:val="18"/>
              </w:rPr>
              <w:t>Has the HRP and the nutrition cluster strategic plan been converted into an operational yearly workplan?</w:t>
            </w:r>
          </w:p>
        </w:tc>
        <w:tc>
          <w:tcPr>
            <w:tcW w:w="11340" w:type="dxa"/>
            <w:shd w:val="clear" w:color="auto" w:fill="auto"/>
          </w:tcPr>
          <w:p w14:paraId="1CD0A99A" w14:textId="0A0669FB" w:rsidR="00D65F7F" w:rsidRPr="00D73CA5" w:rsidRDefault="00D65F7F" w:rsidP="00D65F7F">
            <w:pPr>
              <w:spacing w:after="60"/>
              <w:rPr>
                <w:rFonts w:ascii="Arial" w:eastAsia="Arial Unicode MS" w:hAnsi="Arial" w:cs="Arial"/>
                <w:color w:val="000000"/>
                <w:sz w:val="18"/>
                <w:szCs w:val="18"/>
                <w:u w:color="000000"/>
                <w:bdr w:val="nil"/>
                <w:lang w:eastAsia="fr-FR"/>
              </w:rPr>
            </w:pPr>
            <w:r w:rsidRPr="00A47133">
              <w:rPr>
                <w:rStyle w:val="normaltextrun"/>
                <w:rFonts w:ascii="Arial" w:eastAsiaTheme="majorEastAsia" w:hAnsi="Arial" w:cs="Arial"/>
                <w:sz w:val="18"/>
                <w:szCs w:val="18"/>
                <w:lang w:val="en-GB"/>
              </w:rPr>
              <w:t>To</w:t>
            </w:r>
            <w:r>
              <w:rPr>
                <w:rStyle w:val="normaltextrun"/>
                <w:rFonts w:ascii="Arial" w:eastAsiaTheme="majorEastAsia" w:hAnsi="Arial" w:cs="Arial"/>
                <w:sz w:val="18"/>
                <w:szCs w:val="18"/>
                <w:lang w:val="en-GB"/>
              </w:rPr>
              <w:t xml:space="preserve"> monitor the nutritional needs identified, </w:t>
            </w:r>
            <w:r w:rsidRPr="00A47133">
              <w:rPr>
                <w:rStyle w:val="normaltextrun"/>
                <w:rFonts w:ascii="Arial" w:eastAsiaTheme="majorEastAsia" w:hAnsi="Arial" w:cs="Arial"/>
                <w:sz w:val="18"/>
                <w:szCs w:val="18"/>
                <w:lang w:val="en-GB"/>
              </w:rPr>
              <w:t xml:space="preserve">the cluster would need </w:t>
            </w:r>
            <w:r>
              <w:rPr>
                <w:rStyle w:val="normaltextrun"/>
                <w:rFonts w:ascii="Arial" w:eastAsiaTheme="majorEastAsia" w:hAnsi="Arial" w:cs="Arial"/>
                <w:sz w:val="18"/>
                <w:szCs w:val="18"/>
                <w:lang w:val="en-GB"/>
              </w:rPr>
              <w:t xml:space="preserve">to develop a monitoring plan and assessment plan with </w:t>
            </w:r>
            <w:r w:rsidRPr="00A47133">
              <w:rPr>
                <w:rStyle w:val="normaltextrun"/>
                <w:rFonts w:ascii="Arial" w:eastAsiaTheme="majorEastAsia" w:hAnsi="Arial" w:cs="Arial"/>
                <w:sz w:val="18"/>
                <w:szCs w:val="18"/>
                <w:lang w:val="en-GB"/>
              </w:rPr>
              <w:t>clear</w:t>
            </w:r>
            <w:r>
              <w:rPr>
                <w:rStyle w:val="normaltextrun"/>
                <w:rFonts w:ascii="Arial" w:eastAsiaTheme="majorEastAsia" w:hAnsi="Arial" w:cs="Arial"/>
                <w:sz w:val="18"/>
                <w:szCs w:val="18"/>
                <w:lang w:val="en-GB"/>
              </w:rPr>
              <w:t xml:space="preserve"> indicators </w:t>
            </w:r>
            <w:r w:rsidRPr="00A47133">
              <w:rPr>
                <w:rStyle w:val="normaltextrun"/>
                <w:rFonts w:ascii="Arial" w:eastAsiaTheme="majorEastAsia" w:hAnsi="Arial" w:cs="Arial"/>
                <w:sz w:val="18"/>
                <w:szCs w:val="18"/>
                <w:lang w:val="en-GB"/>
              </w:rPr>
              <w:t>and entity responsible for each.</w:t>
            </w:r>
          </w:p>
        </w:tc>
      </w:tr>
      <w:tr w:rsidR="00D65F7F" w:rsidRPr="00D73CA5" w14:paraId="1E4F6A8A" w14:textId="77777777" w:rsidTr="00F74DBA">
        <w:tc>
          <w:tcPr>
            <w:tcW w:w="3539" w:type="dxa"/>
            <w:shd w:val="clear" w:color="auto" w:fill="auto"/>
          </w:tcPr>
          <w:p w14:paraId="052139D2" w14:textId="5E41C233" w:rsidR="00D65F7F" w:rsidRPr="0068350A" w:rsidRDefault="00D65F7F" w:rsidP="0068350A">
            <w:pPr>
              <w:rPr>
                <w:rFonts w:ascii="Arial" w:hAnsi="Arial" w:cs="Arial"/>
                <w:iCs/>
                <w:sz w:val="18"/>
                <w:szCs w:val="18"/>
              </w:rPr>
            </w:pPr>
            <w:r>
              <w:rPr>
                <w:rFonts w:ascii="Arial" w:hAnsi="Arial" w:cs="Arial"/>
                <w:b/>
                <w:iCs/>
                <w:sz w:val="18"/>
                <w:szCs w:val="18"/>
              </w:rPr>
              <w:t xml:space="preserve">A.5 </w:t>
            </w:r>
            <w:r w:rsidRPr="00AB418A">
              <w:rPr>
                <w:rFonts w:ascii="Arial" w:hAnsi="Arial" w:cs="Arial"/>
                <w:b/>
                <w:iCs/>
                <w:sz w:val="18"/>
                <w:szCs w:val="18"/>
              </w:rPr>
              <w:t>Supplies</w:t>
            </w:r>
          </w:p>
        </w:tc>
        <w:tc>
          <w:tcPr>
            <w:tcW w:w="11340" w:type="dxa"/>
            <w:shd w:val="clear" w:color="auto" w:fill="auto"/>
          </w:tcPr>
          <w:p w14:paraId="66B3E46F" w14:textId="21053627" w:rsidR="00D65F7F" w:rsidRPr="00A47133" w:rsidRDefault="00D65F7F" w:rsidP="00D65F7F">
            <w:pPr>
              <w:spacing w:after="60"/>
              <w:rPr>
                <w:rStyle w:val="normaltextrun"/>
                <w:rFonts w:ascii="Arial" w:eastAsiaTheme="majorEastAsia" w:hAnsi="Arial" w:cs="Arial"/>
                <w:sz w:val="18"/>
                <w:szCs w:val="18"/>
                <w:lang w:val="en-GB"/>
              </w:rPr>
            </w:pPr>
            <w:r w:rsidRPr="005D323C">
              <w:rPr>
                <w:rFonts w:ascii="Arial" w:eastAsia="Times New Roman" w:hAnsi="Arial" w:cs="Arial"/>
                <w:b/>
                <w:bCs/>
                <w:iCs/>
                <w:sz w:val="18"/>
                <w:szCs w:val="18"/>
                <w:lang w:eastAsia="fr-FR"/>
              </w:rPr>
              <w:t>DESCRIPTION</w:t>
            </w:r>
          </w:p>
        </w:tc>
      </w:tr>
      <w:tr w:rsidR="00D65F7F" w:rsidRPr="00D73CA5" w14:paraId="1B99F299" w14:textId="77777777" w:rsidTr="00F74DBA">
        <w:tc>
          <w:tcPr>
            <w:tcW w:w="3539" w:type="dxa"/>
            <w:shd w:val="clear" w:color="auto" w:fill="auto"/>
          </w:tcPr>
          <w:p w14:paraId="1C173772" w14:textId="1D5882DF" w:rsidR="00D65F7F" w:rsidRDefault="00401EC2" w:rsidP="00D65F7F">
            <w:pPr>
              <w:pStyle w:val="ListParagraph"/>
              <w:numPr>
                <w:ilvl w:val="0"/>
                <w:numId w:val="16"/>
              </w:numPr>
              <w:rPr>
                <w:rFonts w:ascii="Arial" w:hAnsi="Arial" w:cs="Arial"/>
                <w:iCs/>
                <w:sz w:val="18"/>
                <w:szCs w:val="18"/>
              </w:rPr>
            </w:pPr>
            <w:r>
              <w:rPr>
                <w:rFonts w:ascii="Arial" w:hAnsi="Arial" w:cs="Arial"/>
                <w:iCs/>
                <w:sz w:val="18"/>
                <w:szCs w:val="18"/>
              </w:rPr>
              <w:t>A.5</w:t>
            </w:r>
            <w:r w:rsidR="00D65F7F">
              <w:rPr>
                <w:rFonts w:ascii="Arial" w:hAnsi="Arial" w:cs="Arial"/>
                <w:iCs/>
                <w:sz w:val="18"/>
                <w:szCs w:val="18"/>
              </w:rPr>
              <w:t xml:space="preserve">.1 </w:t>
            </w:r>
            <w:r w:rsidR="00D65F7F" w:rsidRPr="00D73CA5">
              <w:rPr>
                <w:rFonts w:ascii="Arial" w:hAnsi="Arial" w:cs="Arial"/>
                <w:iCs/>
                <w:sz w:val="18"/>
                <w:szCs w:val="18"/>
              </w:rPr>
              <w:t>Are pathways to purchase supplies such as weight scales, height board and MUAC tapes clear?</w:t>
            </w:r>
          </w:p>
        </w:tc>
        <w:tc>
          <w:tcPr>
            <w:tcW w:w="11340" w:type="dxa"/>
            <w:shd w:val="clear" w:color="auto" w:fill="auto"/>
          </w:tcPr>
          <w:p w14:paraId="0C3B1206" w14:textId="77777777" w:rsidR="00D65F7F" w:rsidRPr="00500E70" w:rsidRDefault="00D65F7F" w:rsidP="00D65F7F">
            <w:pPr>
              <w:spacing w:after="60"/>
              <w:jc w:val="both"/>
              <w:rPr>
                <w:rFonts w:ascii="Arial" w:hAnsi="Arial" w:cs="Arial"/>
                <w:iCs/>
                <w:sz w:val="18"/>
                <w:szCs w:val="18"/>
              </w:rPr>
            </w:pPr>
            <w:r w:rsidRPr="00500E70">
              <w:rPr>
                <w:rFonts w:ascii="Arial" w:hAnsi="Arial" w:cs="Arial"/>
                <w:iCs/>
                <w:sz w:val="18"/>
                <w:szCs w:val="18"/>
              </w:rPr>
              <w:t>Anthropometric measurements require top quality measuring equipment:</w:t>
            </w:r>
          </w:p>
          <w:p w14:paraId="512F38DC" w14:textId="77777777" w:rsidR="00D65F7F" w:rsidRPr="00500E70" w:rsidRDefault="00D65F7F" w:rsidP="00D65F7F">
            <w:pPr>
              <w:pStyle w:val="ListParagraph"/>
              <w:numPr>
                <w:ilvl w:val="0"/>
                <w:numId w:val="20"/>
              </w:numPr>
              <w:ind w:left="357"/>
              <w:jc w:val="both"/>
              <w:rPr>
                <w:rFonts w:ascii="Arial" w:hAnsi="Arial" w:cs="Arial"/>
                <w:iCs/>
                <w:sz w:val="18"/>
                <w:szCs w:val="18"/>
              </w:rPr>
            </w:pPr>
            <w:r w:rsidRPr="00500E70">
              <w:rPr>
                <w:rFonts w:ascii="Arial" w:hAnsi="Arial" w:cs="Arial"/>
                <w:iCs/>
                <w:sz w:val="18"/>
                <w:szCs w:val="18"/>
              </w:rPr>
              <w:t xml:space="preserve">Digital Scales (for weighing both mothers and children) with precision to 100g or preferably 50g. Spring type hanging scales (Salter) should not be used in nutrition surveys. Supply Catalog Details:  </w:t>
            </w:r>
            <w:r w:rsidRPr="00500E70">
              <w:rPr>
                <w:rFonts w:ascii="Arial" w:hAnsi="Arial" w:cs="Arial"/>
                <w:i/>
                <w:sz w:val="18"/>
                <w:szCs w:val="18"/>
              </w:rPr>
              <w:t xml:space="preserve">S0141020 </w:t>
            </w:r>
            <w:r w:rsidRPr="00500E70">
              <w:rPr>
                <w:rFonts w:ascii="Arial" w:hAnsi="Arial" w:cs="Arial"/>
                <w:iCs/>
                <w:sz w:val="18"/>
                <w:szCs w:val="18"/>
              </w:rPr>
              <w:t>Scale, electronic, mother/child,150kgx100g and Electronic scale for weighing adults and infants, 150 kg x 100 g. Two scales can be prepositioned per team (one spare scale), along a flat piece of wood about 40x40cm to use as a base to stabilize the scale for measures on uneven ground or sand. A standard  weight of at least 5 kg (or car jack) to test the scale during field work is required, and a sufficient quantity of batteries is also required.</w:t>
            </w:r>
          </w:p>
          <w:p w14:paraId="1BA5311B" w14:textId="77777777" w:rsidR="00D65F7F" w:rsidRPr="00500E70" w:rsidRDefault="00D65F7F" w:rsidP="00D65F7F">
            <w:pPr>
              <w:pStyle w:val="ListParagraph"/>
              <w:numPr>
                <w:ilvl w:val="0"/>
                <w:numId w:val="20"/>
              </w:numPr>
              <w:ind w:left="357"/>
              <w:jc w:val="both"/>
              <w:rPr>
                <w:rFonts w:ascii="Arial" w:hAnsi="Arial" w:cs="Arial"/>
                <w:iCs/>
                <w:sz w:val="18"/>
                <w:szCs w:val="18"/>
              </w:rPr>
            </w:pPr>
            <w:r w:rsidRPr="00500E70">
              <w:rPr>
                <w:rFonts w:ascii="Arial" w:hAnsi="Arial" w:cs="Arial"/>
                <w:iCs/>
                <w:sz w:val="18"/>
                <w:szCs w:val="18"/>
              </w:rPr>
              <w:t xml:space="preserve">Height Boards SHORR (3 stage for measuring women and children). Supply Catalog Details: </w:t>
            </w:r>
            <w:r w:rsidRPr="00500E70">
              <w:rPr>
                <w:rFonts w:ascii="Arial" w:hAnsi="Arial" w:cs="Arial"/>
                <w:i/>
                <w:sz w:val="18"/>
                <w:szCs w:val="18"/>
              </w:rPr>
              <w:t>S0114540</w:t>
            </w:r>
            <w:r w:rsidRPr="00500E70">
              <w:rPr>
                <w:rFonts w:ascii="Arial" w:hAnsi="Arial" w:cs="Arial"/>
                <w:iCs/>
                <w:sz w:val="18"/>
                <w:szCs w:val="18"/>
              </w:rPr>
              <w:t xml:space="preserve"> Baby/infant/ and Adult L-hgt mea.system/SET-2 for Shorr boards. Two height boards per team (one spare height board), along with a small towel for measuring child length on height board. In hot temperatures, sweating children can stick to the board making measurement more difficult.</w:t>
            </w:r>
          </w:p>
          <w:p w14:paraId="2B59A2D7" w14:textId="77777777" w:rsidR="00D65F7F" w:rsidRPr="00500E70" w:rsidRDefault="00D65F7F" w:rsidP="00D65F7F">
            <w:pPr>
              <w:pStyle w:val="ListParagraph"/>
              <w:numPr>
                <w:ilvl w:val="0"/>
                <w:numId w:val="20"/>
              </w:numPr>
              <w:ind w:left="357"/>
              <w:jc w:val="both"/>
              <w:rPr>
                <w:rFonts w:ascii="Arial" w:hAnsi="Arial" w:cs="Arial"/>
                <w:iCs/>
                <w:sz w:val="18"/>
                <w:szCs w:val="18"/>
              </w:rPr>
            </w:pPr>
            <w:r w:rsidRPr="00500E70">
              <w:rPr>
                <w:rFonts w:ascii="Arial" w:hAnsi="Arial" w:cs="Arial"/>
                <w:iCs/>
                <w:sz w:val="18"/>
                <w:szCs w:val="18"/>
              </w:rPr>
              <w:t xml:space="preserve">MUAC Strips 25 cm of length for measuring children. Supply Catalog Details: </w:t>
            </w:r>
            <w:r w:rsidRPr="00500E70">
              <w:rPr>
                <w:rFonts w:ascii="Arial" w:hAnsi="Arial" w:cs="Arial"/>
                <w:i/>
                <w:sz w:val="18"/>
                <w:szCs w:val="18"/>
              </w:rPr>
              <w:t>S0145620</w:t>
            </w:r>
            <w:r w:rsidRPr="00500E70">
              <w:rPr>
                <w:rFonts w:ascii="Arial" w:hAnsi="Arial" w:cs="Arial"/>
                <w:iCs/>
                <w:sz w:val="18"/>
                <w:szCs w:val="18"/>
              </w:rPr>
              <w:t xml:space="preserve"> MUAC, Child 11.5 Red/PAC-50</w:t>
            </w:r>
          </w:p>
          <w:p w14:paraId="28C8D744" w14:textId="77777777" w:rsidR="00D65F7F" w:rsidRPr="00500E70" w:rsidRDefault="00D65F7F" w:rsidP="00D65F7F">
            <w:pPr>
              <w:ind w:left="357"/>
              <w:jc w:val="both"/>
              <w:rPr>
                <w:rFonts w:ascii="Arial" w:hAnsi="Arial" w:cs="Arial"/>
                <w:iCs/>
                <w:sz w:val="18"/>
                <w:szCs w:val="18"/>
              </w:rPr>
            </w:pPr>
            <w:r w:rsidRPr="00500E70">
              <w:rPr>
                <w:rFonts w:ascii="Arial" w:hAnsi="Arial" w:cs="Arial"/>
                <w:iCs/>
                <w:sz w:val="18"/>
                <w:szCs w:val="18"/>
              </w:rPr>
              <w:t xml:space="preserve">MUAC Strips 40 cm of length for measuring women. Supply Catalog Details: </w:t>
            </w:r>
            <w:r w:rsidRPr="00500E70">
              <w:rPr>
                <w:rFonts w:ascii="Arial" w:hAnsi="Arial" w:cs="Arial"/>
                <w:i/>
                <w:sz w:val="18"/>
                <w:szCs w:val="18"/>
              </w:rPr>
              <w:t>S0145630</w:t>
            </w:r>
            <w:r w:rsidRPr="00500E70">
              <w:rPr>
                <w:rFonts w:ascii="Arial" w:hAnsi="Arial" w:cs="Arial"/>
                <w:iCs/>
                <w:sz w:val="18"/>
                <w:szCs w:val="18"/>
              </w:rPr>
              <w:t xml:space="preserve">  MUAC, Adult without color code/PAC-50. A PVC pipe of 20cm of diameter is required to test the accuracy of the MUAC strip. MUAC strips become creased and inaccurate after repeated use and therefore a large quantity off MUAC strips should be available on a daily basis. </w:t>
            </w:r>
          </w:p>
          <w:p w14:paraId="3BF71848" w14:textId="77777777" w:rsidR="00D65F7F" w:rsidRPr="00500E70" w:rsidRDefault="00D65F7F" w:rsidP="00D65F7F">
            <w:pPr>
              <w:pStyle w:val="ListParagraph"/>
              <w:numPr>
                <w:ilvl w:val="0"/>
                <w:numId w:val="20"/>
              </w:numPr>
              <w:ind w:left="357"/>
              <w:jc w:val="both"/>
              <w:rPr>
                <w:rFonts w:ascii="Arial" w:hAnsi="Arial" w:cs="Arial"/>
                <w:iCs/>
                <w:sz w:val="18"/>
                <w:szCs w:val="18"/>
              </w:rPr>
            </w:pPr>
            <w:r w:rsidRPr="00500E70">
              <w:rPr>
                <w:rFonts w:ascii="Arial" w:hAnsi="Arial" w:cs="Arial"/>
                <w:iCs/>
                <w:sz w:val="18"/>
                <w:szCs w:val="18"/>
              </w:rPr>
              <w:t>Tablets if paper-based questionnaires are not being used (recommended)</w:t>
            </w:r>
          </w:p>
          <w:p w14:paraId="116B4E10" w14:textId="77777777" w:rsidR="00D65F7F" w:rsidRDefault="00D65F7F" w:rsidP="00D65F7F">
            <w:pPr>
              <w:pStyle w:val="ListParagraph"/>
              <w:numPr>
                <w:ilvl w:val="0"/>
                <w:numId w:val="20"/>
              </w:numPr>
              <w:ind w:left="357"/>
              <w:jc w:val="both"/>
              <w:rPr>
                <w:rFonts w:ascii="Arial" w:hAnsi="Arial" w:cs="Arial"/>
                <w:iCs/>
                <w:sz w:val="18"/>
                <w:szCs w:val="18"/>
              </w:rPr>
            </w:pPr>
            <w:r w:rsidRPr="00500E70">
              <w:rPr>
                <w:rFonts w:ascii="Arial" w:hAnsi="Arial" w:cs="Arial"/>
                <w:iCs/>
                <w:sz w:val="18"/>
                <w:szCs w:val="18"/>
              </w:rPr>
              <w:t xml:space="preserve">Laptops (with one plug for normal electric sockets and one plug for use in the car) if paper questionnaires are being used to enter data at village level. </w:t>
            </w:r>
          </w:p>
          <w:p w14:paraId="41B6C46A" w14:textId="5C9E6F5D" w:rsidR="00D65F7F" w:rsidRPr="00A47133" w:rsidRDefault="00D65F7F" w:rsidP="00D65F7F">
            <w:pPr>
              <w:spacing w:after="60"/>
              <w:rPr>
                <w:rStyle w:val="normaltextrun"/>
                <w:rFonts w:ascii="Arial" w:eastAsiaTheme="majorEastAsia" w:hAnsi="Arial" w:cs="Arial"/>
                <w:sz w:val="18"/>
                <w:szCs w:val="18"/>
                <w:lang w:val="en-GB"/>
              </w:rPr>
            </w:pPr>
            <w:r>
              <w:rPr>
                <w:rFonts w:ascii="Arial" w:hAnsi="Arial" w:cs="Arial"/>
                <w:iCs/>
                <w:sz w:val="18"/>
                <w:szCs w:val="18"/>
              </w:rPr>
              <w:t xml:space="preserve">Specialized equipment and staff are required for the collection of any </w:t>
            </w:r>
            <w:r w:rsidRPr="00490B38">
              <w:rPr>
                <w:rFonts w:ascii="Arial" w:hAnsi="Arial" w:cs="Arial"/>
                <w:iCs/>
                <w:sz w:val="18"/>
                <w:szCs w:val="18"/>
              </w:rPr>
              <w:t>clinical and biochemical indicators; local Health colleagues may provide useful information on which equipment is commonly used at health facilities in-country.</w:t>
            </w:r>
            <w:r>
              <w:rPr>
                <w:rFonts w:ascii="Arial" w:eastAsia="Times New Roman" w:hAnsi="Arial" w:cs="Arial"/>
                <w:b/>
                <w:bCs/>
                <w:iCs/>
                <w:sz w:val="18"/>
                <w:szCs w:val="18"/>
                <w:lang w:eastAsia="fr-FR"/>
              </w:rPr>
              <w:t xml:space="preserve"> </w:t>
            </w:r>
          </w:p>
        </w:tc>
      </w:tr>
      <w:tr w:rsidR="00D65F7F" w:rsidRPr="00D73CA5" w14:paraId="5721147B" w14:textId="77777777" w:rsidTr="00F74DBA">
        <w:tc>
          <w:tcPr>
            <w:tcW w:w="3539" w:type="dxa"/>
            <w:shd w:val="clear" w:color="auto" w:fill="auto"/>
          </w:tcPr>
          <w:p w14:paraId="4C40DB7F" w14:textId="3F74DDD4" w:rsidR="00D65F7F" w:rsidRDefault="00D17D74" w:rsidP="00D65F7F">
            <w:pPr>
              <w:pStyle w:val="ListParagraph"/>
              <w:numPr>
                <w:ilvl w:val="0"/>
                <w:numId w:val="16"/>
              </w:numPr>
              <w:rPr>
                <w:rFonts w:ascii="Arial" w:hAnsi="Arial" w:cs="Arial"/>
                <w:iCs/>
                <w:sz w:val="18"/>
                <w:szCs w:val="18"/>
              </w:rPr>
            </w:pPr>
            <w:r>
              <w:rPr>
                <w:rFonts w:ascii="Arial" w:hAnsi="Arial" w:cs="Arial"/>
                <w:iCs/>
                <w:sz w:val="18"/>
                <w:szCs w:val="18"/>
              </w:rPr>
              <w:t>A.5.2</w:t>
            </w:r>
            <w:r w:rsidR="00D65F7F">
              <w:rPr>
                <w:rFonts w:ascii="Arial" w:hAnsi="Arial" w:cs="Arial"/>
                <w:iCs/>
                <w:sz w:val="18"/>
                <w:szCs w:val="18"/>
              </w:rPr>
              <w:t xml:space="preserve"> </w:t>
            </w:r>
            <w:r w:rsidR="00D65F7F" w:rsidRPr="003A4799">
              <w:rPr>
                <w:rFonts w:ascii="Arial" w:hAnsi="Arial" w:cs="Arial"/>
                <w:iCs/>
                <w:sz w:val="18"/>
                <w:szCs w:val="18"/>
              </w:rPr>
              <w:t xml:space="preserve">Are supplies such as weight scales, height board and MUAC tapes prepositioned? </w:t>
            </w:r>
          </w:p>
        </w:tc>
        <w:tc>
          <w:tcPr>
            <w:tcW w:w="11340" w:type="dxa"/>
            <w:shd w:val="clear" w:color="auto" w:fill="auto"/>
          </w:tcPr>
          <w:p w14:paraId="6F31734C" w14:textId="6EDFF9DD" w:rsidR="00D65F7F" w:rsidRPr="00A47133" w:rsidRDefault="00D65F7F" w:rsidP="00D65F7F">
            <w:pPr>
              <w:spacing w:after="60"/>
              <w:rPr>
                <w:rStyle w:val="normaltextrun"/>
                <w:rFonts w:ascii="Arial" w:eastAsiaTheme="majorEastAsia" w:hAnsi="Arial" w:cs="Arial"/>
                <w:sz w:val="18"/>
                <w:szCs w:val="18"/>
                <w:lang w:val="en-GB"/>
              </w:rPr>
            </w:pPr>
            <w:r w:rsidRPr="006E08E1">
              <w:rPr>
                <w:rFonts w:ascii="Arial" w:hAnsi="Arial" w:cs="Arial"/>
                <w:iCs/>
                <w:sz w:val="18"/>
                <w:szCs w:val="18"/>
              </w:rPr>
              <w:t>The amount and location of the supplies available should be known by all actors working in nutrition in emergencies in country.  Due to turn-over, this information is often missed. It is important to set up a regular information bulletin to inform all partners and have a regularly updated website where partners can go to for information.</w:t>
            </w:r>
            <w:r w:rsidRPr="005E3224">
              <w:rPr>
                <w:iCs/>
                <w:sz w:val="18"/>
                <w:szCs w:val="18"/>
              </w:rPr>
              <w:t xml:space="preserve"> </w:t>
            </w:r>
          </w:p>
        </w:tc>
      </w:tr>
      <w:tr w:rsidR="00D65F7F" w:rsidRPr="002C63B4" w14:paraId="72B8E343" w14:textId="77777777" w:rsidTr="002C63B4">
        <w:tc>
          <w:tcPr>
            <w:tcW w:w="3539" w:type="dxa"/>
            <w:shd w:val="clear" w:color="auto" w:fill="D9D9D9" w:themeFill="background1" w:themeFillShade="D9"/>
          </w:tcPr>
          <w:p w14:paraId="4C64666B" w14:textId="72A67BDD" w:rsidR="00D65F7F" w:rsidRPr="0032223F" w:rsidRDefault="00D65F7F"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2" w:name="_Ref86075621"/>
            <w:r w:rsidRPr="002C63B4">
              <w:rPr>
                <w:rFonts w:ascii="Arial" w:hAnsi="Arial" w:cs="Arial"/>
                <w:b/>
                <w:bCs/>
                <w:color w:val="000000" w:themeColor="text1"/>
                <w:sz w:val="18"/>
                <w:szCs w:val="18"/>
                <w:u w:color="E36C0A"/>
              </w:rPr>
              <w:t>Data Generation</w:t>
            </w:r>
            <w:bookmarkEnd w:id="2"/>
          </w:p>
        </w:tc>
        <w:tc>
          <w:tcPr>
            <w:tcW w:w="11340" w:type="dxa"/>
            <w:shd w:val="clear" w:color="auto" w:fill="D9D9D9" w:themeFill="background1" w:themeFillShade="D9"/>
          </w:tcPr>
          <w:p w14:paraId="42B9F355"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Arial" w:hAnsi="Arial" w:cs="Arial"/>
                <w:b/>
                <w:bCs/>
                <w:color w:val="000000" w:themeColor="text1"/>
                <w:sz w:val="18"/>
                <w:szCs w:val="18"/>
                <w:u w:color="E36C0A"/>
              </w:rPr>
            </w:pPr>
          </w:p>
        </w:tc>
      </w:tr>
      <w:tr w:rsidR="00D65F7F" w:rsidRPr="002C63B4" w14:paraId="48543935" w14:textId="77777777" w:rsidTr="00F74DBA">
        <w:tc>
          <w:tcPr>
            <w:tcW w:w="3539" w:type="dxa"/>
            <w:shd w:val="clear" w:color="auto" w:fill="auto"/>
          </w:tcPr>
          <w:p w14:paraId="2974AC2A" w14:textId="57C98474" w:rsidR="00D65F7F" w:rsidRPr="002C63B4"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iCs/>
                <w:sz w:val="18"/>
                <w:szCs w:val="18"/>
              </w:rPr>
            </w:pPr>
            <w:r w:rsidRPr="002C63B4">
              <w:rPr>
                <w:rFonts w:ascii="Arial" w:hAnsi="Arial" w:cs="Arial"/>
                <w:b/>
                <w:iCs/>
                <w:sz w:val="18"/>
                <w:szCs w:val="18"/>
              </w:rPr>
              <w:t>B.1 Data</w:t>
            </w:r>
            <w:r>
              <w:rPr>
                <w:rFonts w:ascii="Arial" w:hAnsi="Arial" w:cs="Arial"/>
                <w:b/>
                <w:iCs/>
                <w:sz w:val="18"/>
                <w:szCs w:val="18"/>
              </w:rPr>
              <w:t xml:space="preserve"> for ongoing nutrition surveillance</w:t>
            </w:r>
          </w:p>
        </w:tc>
        <w:tc>
          <w:tcPr>
            <w:tcW w:w="11340" w:type="dxa"/>
            <w:shd w:val="clear" w:color="auto" w:fill="auto"/>
          </w:tcPr>
          <w:p w14:paraId="7BFD87EB" w14:textId="2E8C7A1E" w:rsidR="00D65F7F" w:rsidRPr="002C63B4" w:rsidRDefault="00D65F7F" w:rsidP="00D65F7F">
            <w:pPr>
              <w:rPr>
                <w:rFonts w:ascii="Arial" w:eastAsia="Times New Roman" w:hAnsi="Arial" w:cs="Arial"/>
                <w:b/>
                <w:iCs/>
                <w:sz w:val="18"/>
                <w:szCs w:val="18"/>
                <w:lang w:eastAsia="fr-FR"/>
              </w:rPr>
            </w:pPr>
            <w:r w:rsidRPr="005D323C">
              <w:rPr>
                <w:rFonts w:ascii="Arial" w:eastAsia="Times New Roman" w:hAnsi="Arial" w:cs="Arial"/>
                <w:b/>
                <w:bCs/>
                <w:iCs/>
                <w:sz w:val="18"/>
                <w:szCs w:val="18"/>
                <w:lang w:eastAsia="fr-FR"/>
              </w:rPr>
              <w:t>DESCRIPTION</w:t>
            </w:r>
          </w:p>
        </w:tc>
      </w:tr>
      <w:tr w:rsidR="00D65F7F" w:rsidRPr="0032223F" w14:paraId="16D8D9C3" w14:textId="77777777" w:rsidTr="00F74DBA">
        <w:tc>
          <w:tcPr>
            <w:tcW w:w="3539" w:type="dxa"/>
            <w:shd w:val="clear" w:color="auto" w:fill="auto"/>
          </w:tcPr>
          <w:p w14:paraId="4430E02D" w14:textId="07D3A301" w:rsidR="00D65F7F" w:rsidRDefault="00D65F7F" w:rsidP="00D65F7F">
            <w:pPr>
              <w:pStyle w:val="ListParagraph"/>
              <w:numPr>
                <w:ilvl w:val="0"/>
                <w:numId w:val="16"/>
              </w:numPr>
              <w:rPr>
                <w:rFonts w:ascii="Arial" w:hAnsi="Arial" w:cs="Arial"/>
                <w:iCs/>
                <w:sz w:val="18"/>
                <w:szCs w:val="18"/>
              </w:rPr>
            </w:pPr>
            <w:r>
              <w:rPr>
                <w:rFonts w:ascii="Arial" w:hAnsi="Arial" w:cs="Arial"/>
                <w:iCs/>
                <w:sz w:val="18"/>
                <w:szCs w:val="18"/>
              </w:rPr>
              <w:t>B.1.1 Is data from different areas of the country available</w:t>
            </w:r>
            <w:r w:rsidRPr="00D73CA5">
              <w:rPr>
                <w:rFonts w:ascii="Arial" w:hAnsi="Arial" w:cs="Arial"/>
                <w:iCs/>
                <w:sz w:val="18"/>
                <w:szCs w:val="18"/>
              </w:rPr>
              <w:t>?</w:t>
            </w:r>
          </w:p>
        </w:tc>
        <w:tc>
          <w:tcPr>
            <w:tcW w:w="11340" w:type="dxa"/>
            <w:shd w:val="clear" w:color="auto" w:fill="auto"/>
          </w:tcPr>
          <w:p w14:paraId="2BF280F0" w14:textId="77777777" w:rsidR="00D65F7F" w:rsidRPr="00F00B81" w:rsidRDefault="00D65F7F" w:rsidP="00D65F7F">
            <w:pPr>
              <w:jc w:val="both"/>
              <w:rPr>
                <w:rFonts w:ascii="Arial" w:eastAsia="Times New Roman" w:hAnsi="Arial" w:cs="Arial"/>
                <w:iCs/>
                <w:sz w:val="18"/>
                <w:szCs w:val="18"/>
                <w:lang w:eastAsia="fr-FR"/>
              </w:rPr>
            </w:pPr>
            <w:r w:rsidRPr="00F00B81">
              <w:rPr>
                <w:rFonts w:ascii="Arial" w:eastAsia="Times New Roman" w:hAnsi="Arial" w:cs="Arial"/>
                <w:iCs/>
                <w:sz w:val="18"/>
                <w:szCs w:val="18"/>
                <w:lang w:eastAsia="fr-FR"/>
              </w:rPr>
              <w:t xml:space="preserve">In nutrition surveillance systems, </w:t>
            </w:r>
            <w:r>
              <w:rPr>
                <w:rFonts w:ascii="Arial" w:eastAsia="Times New Roman" w:hAnsi="Arial" w:cs="Arial"/>
                <w:iCs/>
                <w:sz w:val="18"/>
                <w:szCs w:val="18"/>
                <w:lang w:eastAsia="fr-FR"/>
              </w:rPr>
              <w:t>it is critical to have information from all affected parts of the country. I</w:t>
            </w:r>
            <w:r w:rsidRPr="00F00B81">
              <w:rPr>
                <w:rFonts w:ascii="Arial" w:eastAsia="Times New Roman" w:hAnsi="Arial" w:cs="Arial"/>
                <w:iCs/>
                <w:sz w:val="18"/>
                <w:szCs w:val="18"/>
                <w:lang w:eastAsia="fr-FR"/>
              </w:rPr>
              <w:t>nformation should be collected both on the nutritional status of the population and on the underlying causes of malnutrition</w:t>
            </w:r>
            <w:r>
              <w:rPr>
                <w:rFonts w:ascii="Arial" w:eastAsia="Times New Roman" w:hAnsi="Arial" w:cs="Arial"/>
                <w:iCs/>
                <w:sz w:val="18"/>
                <w:szCs w:val="18"/>
                <w:lang w:eastAsia="fr-FR"/>
              </w:rPr>
              <w:t xml:space="preserve">. </w:t>
            </w:r>
            <w:r w:rsidRPr="00D73CA5">
              <w:rPr>
                <w:rFonts w:ascii="Arial" w:eastAsia="Arial Unicode MS" w:hAnsi="Arial" w:cs="Arial"/>
                <w:color w:val="000000"/>
                <w:sz w:val="18"/>
                <w:szCs w:val="18"/>
                <w:u w:color="000000"/>
                <w:bdr w:val="nil"/>
                <w:lang w:eastAsia="fr-FR"/>
              </w:rPr>
              <w:t xml:space="preserve">Accurate </w:t>
            </w:r>
            <w:r w:rsidRPr="00F00B81">
              <w:rPr>
                <w:rFonts w:ascii="Arial" w:eastAsia="Arial Unicode MS" w:hAnsi="Arial" w:cs="Arial"/>
                <w:b/>
                <w:bCs/>
                <w:color w:val="000000"/>
                <w:sz w:val="18"/>
                <w:szCs w:val="18"/>
                <w:u w:color="000000"/>
                <w:bdr w:val="nil"/>
                <w:lang w:eastAsia="fr-FR"/>
              </w:rPr>
              <w:t xml:space="preserve">anthropometric </w:t>
            </w:r>
            <w:r w:rsidRPr="00F00B81">
              <w:rPr>
                <w:rFonts w:ascii="Arial" w:eastAsia="Times New Roman" w:hAnsi="Arial" w:cs="Arial"/>
                <w:b/>
                <w:bCs/>
                <w:iCs/>
                <w:sz w:val="18"/>
                <w:szCs w:val="18"/>
                <w:lang w:eastAsia="fr-FR"/>
              </w:rPr>
              <w:t>indicators</w:t>
            </w:r>
            <w:r w:rsidRPr="00F00B81">
              <w:rPr>
                <w:rFonts w:ascii="Arial" w:eastAsia="Times New Roman" w:hAnsi="Arial" w:cs="Arial"/>
                <w:iCs/>
                <w:sz w:val="18"/>
                <w:szCs w:val="18"/>
                <w:lang w:eastAsia="fr-FR"/>
              </w:rPr>
              <w:t xml:space="preserve"> (bilateral pitting oedema, wasting, stunting, (underweight), MUAC, BMI, low birthweight)</w:t>
            </w:r>
            <w:r>
              <w:rPr>
                <w:rFonts w:ascii="Arial" w:eastAsia="Times New Roman" w:hAnsi="Arial" w:cs="Arial"/>
                <w:iCs/>
                <w:sz w:val="18"/>
                <w:szCs w:val="18"/>
                <w:lang w:eastAsia="fr-FR"/>
              </w:rPr>
              <w:t xml:space="preserve"> </w:t>
            </w:r>
            <w:r w:rsidRPr="00D73CA5">
              <w:rPr>
                <w:rFonts w:ascii="Arial" w:eastAsia="Arial Unicode MS" w:hAnsi="Arial" w:cs="Arial"/>
                <w:color w:val="000000"/>
                <w:sz w:val="18"/>
                <w:szCs w:val="18"/>
                <w:u w:color="000000"/>
                <w:bdr w:val="nil"/>
                <w:lang w:eastAsia="fr-FR"/>
              </w:rPr>
              <w:t>are critical to provide reliable information to policy makers, programme managers, researchers and advocates, especially in the nutrition field. The quality of anthropometric data is also important in assessing how health and nutrition interventions are implemented and in guiding subsequent planning. In population representative surveys, anthropometric data are collected to provide a clear understanding of the magnitude and distribution of malnutrition problems in a country, and to design and monitor interventions to improve the nutritional status of the populations concerned</w:t>
            </w:r>
            <w:r>
              <w:rPr>
                <w:rFonts w:ascii="Arial" w:eastAsia="Arial Unicode MS" w:hAnsi="Arial" w:cs="Arial"/>
                <w:color w:val="000000"/>
                <w:sz w:val="18"/>
                <w:szCs w:val="18"/>
                <w:u w:color="000000"/>
                <w:bdr w:val="nil"/>
                <w:lang w:eastAsia="fr-FR"/>
              </w:rPr>
              <w:t xml:space="preserve">. There are also </w:t>
            </w:r>
            <w:r w:rsidRPr="00F00B81">
              <w:rPr>
                <w:rFonts w:ascii="Arial" w:eastAsia="Arial Unicode MS" w:hAnsi="Arial" w:cs="Arial"/>
                <w:b/>
                <w:bCs/>
                <w:color w:val="000000"/>
                <w:sz w:val="18"/>
                <w:szCs w:val="18"/>
                <w:u w:color="000000"/>
                <w:bdr w:val="nil"/>
                <w:lang w:eastAsia="fr-FR"/>
              </w:rPr>
              <w:t>c</w:t>
            </w:r>
            <w:r w:rsidRPr="00F00B81">
              <w:rPr>
                <w:rFonts w:ascii="Arial" w:eastAsia="Times New Roman" w:hAnsi="Arial" w:cs="Arial"/>
                <w:b/>
                <w:bCs/>
                <w:iCs/>
                <w:sz w:val="18"/>
                <w:szCs w:val="18"/>
                <w:lang w:eastAsia="fr-FR"/>
              </w:rPr>
              <w:t xml:space="preserve">linical and </w:t>
            </w:r>
            <w:r w:rsidRPr="00F00B81">
              <w:rPr>
                <w:rFonts w:ascii="Arial" w:eastAsia="Times New Roman" w:hAnsi="Arial" w:cs="Arial"/>
                <w:b/>
                <w:bCs/>
                <w:iCs/>
                <w:sz w:val="18"/>
                <w:szCs w:val="18"/>
                <w:lang w:eastAsia="fr-FR"/>
              </w:rPr>
              <w:lastRenderedPageBreak/>
              <w:t>biochemical indicators of micronutrient deficiencies</w:t>
            </w:r>
            <w:r w:rsidRPr="00F00B81">
              <w:rPr>
                <w:rFonts w:ascii="Arial" w:eastAsia="Times New Roman" w:hAnsi="Arial" w:cs="Arial"/>
                <w:iCs/>
                <w:sz w:val="18"/>
                <w:szCs w:val="18"/>
                <w:lang w:eastAsia="fr-FR"/>
              </w:rPr>
              <w:t xml:space="preserve"> (iron-deficiency anaemia, Vitamin A, iodine, vitamin C, thiamine and niacin deficiencies)</w:t>
            </w:r>
            <w:r>
              <w:rPr>
                <w:rFonts w:ascii="Arial" w:eastAsia="Times New Roman" w:hAnsi="Arial" w:cs="Arial"/>
                <w:iCs/>
                <w:sz w:val="18"/>
                <w:szCs w:val="18"/>
                <w:lang w:eastAsia="fr-FR"/>
              </w:rPr>
              <w:t xml:space="preserve">. A list of “core” indicators and their interpretation for response planning is provided in Table 1 of </w:t>
            </w:r>
            <w:hyperlink r:id="rId40" w:history="1">
              <w:r w:rsidRPr="00F00B81">
                <w:rPr>
                  <w:rStyle w:val="Hyperlink"/>
                  <w:rFonts w:ascii="Arial" w:eastAsia="Times New Roman" w:hAnsi="Arial" w:cs="Arial"/>
                  <w:iCs/>
                  <w:sz w:val="18"/>
                  <w:szCs w:val="18"/>
                  <w:lang w:eastAsia="fr-FR"/>
                </w:rPr>
                <w:t>Nutrition Humanitarian Needs Analysis Guidance</w:t>
              </w:r>
            </w:hyperlink>
            <w:r w:rsidRPr="00B91EEB">
              <w:rPr>
                <w:rFonts w:ascii="Arial" w:eastAsia="Times New Roman" w:hAnsi="Arial" w:cs="Arial"/>
                <w:iCs/>
                <w:sz w:val="18"/>
                <w:szCs w:val="18"/>
                <w:lang w:eastAsia="fr-FR"/>
              </w:rPr>
              <w:t>.</w:t>
            </w:r>
            <w:r>
              <w:rPr>
                <w:rFonts w:ascii="Arial" w:eastAsia="Times New Roman" w:hAnsi="Arial" w:cs="Arial"/>
                <w:iCs/>
                <w:sz w:val="18"/>
                <w:szCs w:val="18"/>
                <w:lang w:eastAsia="fr-FR"/>
              </w:rPr>
              <w:t xml:space="preserve"> When selecting indicators, it is important to keep in mind the following: </w:t>
            </w:r>
          </w:p>
          <w:p w14:paraId="1149336F" w14:textId="77777777" w:rsidR="00D65F7F" w:rsidRPr="00F00B81" w:rsidRDefault="00D65F7F" w:rsidP="00D65F7F">
            <w:pPr>
              <w:pStyle w:val="ListParagraph"/>
              <w:numPr>
                <w:ilvl w:val="0"/>
                <w:numId w:val="7"/>
              </w:numPr>
              <w:jc w:val="both"/>
              <w:rPr>
                <w:rFonts w:ascii="Arial" w:eastAsia="Times New Roman" w:hAnsi="Arial" w:cs="Arial"/>
                <w:iCs/>
                <w:sz w:val="18"/>
                <w:szCs w:val="18"/>
                <w:lang w:eastAsia="fr-FR"/>
              </w:rPr>
            </w:pPr>
            <w:r w:rsidRPr="00585458">
              <w:rPr>
                <w:rFonts w:ascii="Arial" w:eastAsia="Times New Roman" w:hAnsi="Arial" w:cs="Arial"/>
                <w:b/>
                <w:bCs/>
                <w:iCs/>
                <w:sz w:val="18"/>
                <w:szCs w:val="18"/>
                <w:lang w:eastAsia="fr-FR"/>
              </w:rPr>
              <w:t>Validity:</w:t>
            </w:r>
            <w:r w:rsidRPr="00F00B81">
              <w:rPr>
                <w:rFonts w:ascii="Arial" w:eastAsia="Times New Roman" w:hAnsi="Arial" w:cs="Arial"/>
                <w:iCs/>
                <w:sz w:val="18"/>
                <w:szCs w:val="18"/>
                <w:lang w:eastAsia="fr-FR"/>
              </w:rPr>
              <w:t xml:space="preserve"> the indicator that offers a true and as direct as possible measurement of the phenomenon considered</w:t>
            </w:r>
          </w:p>
          <w:p w14:paraId="4046DE4D" w14:textId="77777777" w:rsidR="00D65F7F" w:rsidRPr="00F00B81" w:rsidRDefault="00D65F7F" w:rsidP="00D65F7F">
            <w:pPr>
              <w:pStyle w:val="ListParagraph"/>
              <w:numPr>
                <w:ilvl w:val="0"/>
                <w:numId w:val="7"/>
              </w:numPr>
              <w:jc w:val="both"/>
              <w:rPr>
                <w:rFonts w:ascii="Arial" w:eastAsia="Times New Roman" w:hAnsi="Arial" w:cs="Arial"/>
                <w:iCs/>
                <w:sz w:val="18"/>
                <w:szCs w:val="18"/>
                <w:lang w:eastAsia="fr-FR"/>
              </w:rPr>
            </w:pPr>
            <w:r w:rsidRPr="00585458">
              <w:rPr>
                <w:rFonts w:ascii="Arial" w:eastAsia="Times New Roman" w:hAnsi="Arial" w:cs="Arial"/>
                <w:b/>
                <w:bCs/>
                <w:iCs/>
                <w:sz w:val="18"/>
                <w:szCs w:val="18"/>
                <w:lang w:eastAsia="fr-FR"/>
              </w:rPr>
              <w:t>Ease and rapidity of measurement:</w:t>
            </w:r>
            <w:r w:rsidRPr="00F00B81">
              <w:rPr>
                <w:rFonts w:ascii="Arial" w:eastAsia="Times New Roman" w:hAnsi="Arial" w:cs="Arial"/>
                <w:iCs/>
                <w:sz w:val="18"/>
                <w:szCs w:val="18"/>
                <w:lang w:eastAsia="fr-FR"/>
              </w:rPr>
              <w:t xml:space="preserve"> the qualities that are relevant to both the measurers and the individuals being measured</w:t>
            </w:r>
          </w:p>
          <w:p w14:paraId="79CAF38E" w14:textId="77777777" w:rsidR="00D65F7F" w:rsidRPr="00F00B81" w:rsidRDefault="00D65F7F" w:rsidP="00D65F7F">
            <w:pPr>
              <w:pStyle w:val="ListParagraph"/>
              <w:numPr>
                <w:ilvl w:val="0"/>
                <w:numId w:val="7"/>
              </w:numPr>
              <w:jc w:val="both"/>
              <w:rPr>
                <w:rFonts w:ascii="Arial" w:eastAsia="Times New Roman" w:hAnsi="Arial" w:cs="Arial"/>
                <w:iCs/>
                <w:sz w:val="18"/>
                <w:szCs w:val="18"/>
                <w:lang w:eastAsia="fr-FR"/>
              </w:rPr>
            </w:pPr>
            <w:r w:rsidRPr="00585458">
              <w:rPr>
                <w:rFonts w:ascii="Arial" w:eastAsia="Times New Roman" w:hAnsi="Arial" w:cs="Arial"/>
                <w:b/>
                <w:bCs/>
                <w:iCs/>
                <w:sz w:val="18"/>
                <w:szCs w:val="18"/>
                <w:lang w:eastAsia="fr-FR"/>
              </w:rPr>
              <w:t>Reproducibility:</w:t>
            </w:r>
            <w:r w:rsidRPr="00F00B81">
              <w:rPr>
                <w:rFonts w:ascii="Arial" w:eastAsia="Times New Roman" w:hAnsi="Arial" w:cs="Arial"/>
                <w:iCs/>
                <w:sz w:val="18"/>
                <w:szCs w:val="18"/>
                <w:lang w:eastAsia="fr-FR"/>
              </w:rPr>
              <w:t xml:space="preserve"> the degree to which the measurement is likely to be influenced by the person or instrument measuring the data, so that the value obtained will be the same, irrespective of the measurer, the place or the measurement instrument</w:t>
            </w:r>
          </w:p>
          <w:p w14:paraId="79EE88A4" w14:textId="77777777" w:rsidR="00D65F7F" w:rsidRDefault="00D65F7F" w:rsidP="00D65F7F">
            <w:pPr>
              <w:pStyle w:val="ListParagraph"/>
              <w:numPr>
                <w:ilvl w:val="0"/>
                <w:numId w:val="7"/>
              </w:numPr>
              <w:jc w:val="both"/>
              <w:rPr>
                <w:rFonts w:ascii="Arial" w:eastAsia="Times New Roman" w:hAnsi="Arial" w:cs="Arial"/>
                <w:iCs/>
                <w:sz w:val="18"/>
                <w:szCs w:val="18"/>
                <w:lang w:eastAsia="fr-FR"/>
              </w:rPr>
            </w:pPr>
            <w:r w:rsidRPr="00585458">
              <w:rPr>
                <w:rFonts w:ascii="Arial" w:eastAsia="Times New Roman" w:hAnsi="Arial" w:cs="Arial"/>
                <w:b/>
                <w:bCs/>
                <w:iCs/>
                <w:sz w:val="18"/>
                <w:szCs w:val="18"/>
                <w:lang w:eastAsia="fr-FR"/>
              </w:rPr>
              <w:t>Strength of association</w:t>
            </w:r>
            <w:r w:rsidRPr="00F00B81">
              <w:rPr>
                <w:rFonts w:ascii="Arial" w:eastAsia="Times New Roman" w:hAnsi="Arial" w:cs="Arial"/>
                <w:iCs/>
                <w:sz w:val="18"/>
                <w:szCs w:val="18"/>
                <w:lang w:eastAsia="fr-FR"/>
              </w:rPr>
              <w:t>: the indicator should be as closely related to changes in nutritional status, from documented evidence if possible, if not it must be at least part of the causal framework used.</w:t>
            </w:r>
          </w:p>
          <w:p w14:paraId="2214E66E" w14:textId="4EFCF7BC" w:rsidR="00D65F7F" w:rsidRPr="00047251" w:rsidRDefault="00D65F7F" w:rsidP="00D65F7F">
            <w:pPr>
              <w:rPr>
                <w:rFonts w:ascii="Arial" w:eastAsia="Times New Roman" w:hAnsi="Arial" w:cs="Arial"/>
                <w:iCs/>
                <w:sz w:val="18"/>
                <w:szCs w:val="18"/>
                <w:lang w:eastAsia="fr-FR"/>
              </w:rPr>
            </w:pPr>
            <w:r w:rsidRPr="00E41F74">
              <w:rPr>
                <w:rFonts w:ascii="Arial" w:eastAsia="Times New Roman" w:hAnsi="Arial" w:cs="Arial"/>
                <w:b/>
                <w:bCs/>
                <w:iCs/>
                <w:sz w:val="18"/>
                <w:szCs w:val="18"/>
                <w:lang w:eastAsia="fr-FR"/>
              </w:rPr>
              <w:t>Will initiate a response in their own right:</w:t>
            </w:r>
            <w:r w:rsidRPr="00E41F74">
              <w:rPr>
                <w:rFonts w:ascii="Arial" w:eastAsia="Times New Roman" w:hAnsi="Arial" w:cs="Arial"/>
                <w:iCs/>
                <w:sz w:val="18"/>
                <w:szCs w:val="18"/>
                <w:lang w:eastAsia="fr-FR"/>
              </w:rPr>
              <w:t xml:space="preserve"> data collection is expensive and therefore data collected must be useable and should be part of defining a response.</w:t>
            </w:r>
          </w:p>
        </w:tc>
      </w:tr>
      <w:tr w:rsidR="00D65F7F" w:rsidRPr="0032223F" w14:paraId="299618BF" w14:textId="77777777" w:rsidTr="00F74DBA">
        <w:tc>
          <w:tcPr>
            <w:tcW w:w="3539" w:type="dxa"/>
            <w:shd w:val="clear" w:color="auto" w:fill="auto"/>
          </w:tcPr>
          <w:p w14:paraId="53AF4C00" w14:textId="3B55A850" w:rsidR="00D65F7F" w:rsidRPr="002C63B4" w:rsidRDefault="00D65F7F" w:rsidP="00D65F7F">
            <w:pPr>
              <w:pStyle w:val="ListParagraph"/>
              <w:numPr>
                <w:ilvl w:val="0"/>
                <w:numId w:val="16"/>
              </w:numPr>
              <w:rPr>
                <w:rFonts w:ascii="Arial" w:hAnsi="Arial" w:cs="Arial"/>
                <w:iCs/>
                <w:sz w:val="18"/>
                <w:szCs w:val="18"/>
              </w:rPr>
            </w:pPr>
            <w:r>
              <w:rPr>
                <w:rFonts w:ascii="Arial" w:hAnsi="Arial" w:cs="Arial"/>
                <w:iCs/>
                <w:sz w:val="18"/>
                <w:szCs w:val="18"/>
              </w:rPr>
              <w:lastRenderedPageBreak/>
              <w:t xml:space="preserve">B1.2 </w:t>
            </w:r>
            <w:r w:rsidRPr="00D73CA5">
              <w:rPr>
                <w:rFonts w:ascii="Arial" w:hAnsi="Arial" w:cs="Arial"/>
                <w:iCs/>
                <w:sz w:val="18"/>
                <w:szCs w:val="18"/>
              </w:rPr>
              <w:t xml:space="preserve">Are key indicators from different nutrition themes such as </w:t>
            </w:r>
            <w:r w:rsidRPr="00047251">
              <w:rPr>
                <w:rFonts w:ascii="Arial" w:hAnsi="Arial" w:cs="Arial"/>
                <w:iCs/>
                <w:sz w:val="18"/>
                <w:szCs w:val="18"/>
              </w:rPr>
              <w:t>IYCF-E</w:t>
            </w:r>
            <w:r w:rsidRPr="00D73CA5">
              <w:rPr>
                <w:rFonts w:ascii="Arial" w:hAnsi="Arial" w:cs="Arial"/>
                <w:iCs/>
                <w:sz w:val="18"/>
                <w:szCs w:val="18"/>
              </w:rPr>
              <w:t xml:space="preserve"> indicators collected and analyzed?</w:t>
            </w:r>
          </w:p>
        </w:tc>
        <w:tc>
          <w:tcPr>
            <w:tcW w:w="11340" w:type="dxa"/>
            <w:shd w:val="clear" w:color="auto" w:fill="auto"/>
          </w:tcPr>
          <w:p w14:paraId="755078BF" w14:textId="77777777" w:rsidR="00D65F7F" w:rsidRDefault="00D65F7F" w:rsidP="00D65F7F">
            <w:pPr>
              <w:rPr>
                <w:rFonts w:ascii="Arial" w:eastAsia="Times New Roman" w:hAnsi="Arial" w:cs="Arial"/>
                <w:iCs/>
                <w:sz w:val="18"/>
                <w:szCs w:val="18"/>
                <w:lang w:eastAsia="fr-FR"/>
              </w:rPr>
            </w:pPr>
            <w:r w:rsidRPr="00047251">
              <w:rPr>
                <w:rFonts w:ascii="Arial" w:eastAsia="Times New Roman" w:hAnsi="Arial" w:cs="Arial"/>
                <w:iCs/>
                <w:sz w:val="18"/>
                <w:szCs w:val="18"/>
                <w:lang w:eastAsia="fr-FR"/>
              </w:rPr>
              <w:t>Routinely</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collecting data on key IYCF indicators will allow monitoring of feeding practices and have a baseline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to compare changes during and after an emergency. A country or an area with a low to very low percentage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exclusive breastfeeding for infants below 6 months is a warning sign that those infants are at a greater risk</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when an emergency occurs, and steps need to be taken in the cluster to ensure non breastfed infants are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protected</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In</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addition,</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it</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may</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be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useful</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to</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be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collecting</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data</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that</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can</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affect</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IYCF</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practices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and</w:t>
            </w:r>
            <w:r>
              <w:rPr>
                <w:rFonts w:ascii="Arial" w:eastAsia="Times New Roman" w:hAnsi="Arial" w:cs="Arial"/>
                <w:iCs/>
                <w:sz w:val="18"/>
                <w:szCs w:val="18"/>
                <w:lang w:eastAsia="fr-FR"/>
              </w:rPr>
              <w:t>/</w:t>
            </w:r>
            <w:r w:rsidRPr="00047251">
              <w:rPr>
                <w:rFonts w:ascii="Arial" w:eastAsia="Times New Roman" w:hAnsi="Arial" w:cs="Arial"/>
                <w:iCs/>
                <w:sz w:val="18"/>
                <w:szCs w:val="18"/>
                <w:lang w:eastAsia="fr-FR"/>
              </w:rPr>
              <w:t>or</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beliefs–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such</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as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trends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in</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education</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levels,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socioeconomics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or</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cultural</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customs</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to</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better</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understand</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the</w:t>
            </w:r>
            <w:r>
              <w:rPr>
                <w:rFonts w:ascii="Arial" w:eastAsia="Times New Roman" w:hAnsi="Arial" w:cs="Arial"/>
                <w:iCs/>
                <w:sz w:val="18"/>
                <w:szCs w:val="18"/>
                <w:lang w:eastAsia="fr-FR"/>
              </w:rPr>
              <w:t xml:space="preserve"> </w:t>
            </w:r>
            <w:r w:rsidRPr="00047251">
              <w:rPr>
                <w:rFonts w:ascii="Arial" w:eastAsia="Times New Roman" w:hAnsi="Arial" w:cs="Arial"/>
                <w:iCs/>
                <w:sz w:val="18"/>
                <w:szCs w:val="18"/>
                <w:lang w:eastAsia="fr-FR"/>
              </w:rPr>
              <w:t>context.</w:t>
            </w:r>
          </w:p>
          <w:p w14:paraId="07036DC0" w14:textId="2B352E00"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047251">
              <w:rPr>
                <w:rFonts w:ascii="Arial" w:eastAsia="Times New Roman" w:hAnsi="Arial" w:cs="Arial"/>
                <w:iCs/>
                <w:sz w:val="18"/>
                <w:szCs w:val="18"/>
              </w:rPr>
              <w:t>NCCs</w:t>
            </w:r>
            <w:r>
              <w:rPr>
                <w:rFonts w:ascii="Arial" w:eastAsia="Times New Roman" w:hAnsi="Arial" w:cs="Arial"/>
                <w:iCs/>
                <w:sz w:val="18"/>
                <w:szCs w:val="18"/>
              </w:rPr>
              <w:t xml:space="preserve"> </w:t>
            </w:r>
            <w:r w:rsidRPr="00047251">
              <w:rPr>
                <w:rFonts w:ascii="Arial" w:eastAsia="Times New Roman" w:hAnsi="Arial" w:cs="Arial"/>
                <w:iCs/>
                <w:sz w:val="18"/>
                <w:szCs w:val="18"/>
              </w:rPr>
              <w:t>should</w:t>
            </w:r>
            <w:r>
              <w:rPr>
                <w:rFonts w:ascii="Arial" w:eastAsia="Times New Roman" w:hAnsi="Arial" w:cs="Arial"/>
                <w:iCs/>
                <w:sz w:val="18"/>
                <w:szCs w:val="18"/>
              </w:rPr>
              <w:t xml:space="preserve"> </w:t>
            </w:r>
            <w:r w:rsidRPr="00047251">
              <w:rPr>
                <w:rFonts w:ascii="Arial" w:eastAsia="Times New Roman" w:hAnsi="Arial" w:cs="Arial"/>
                <w:iCs/>
                <w:sz w:val="18"/>
                <w:szCs w:val="18"/>
              </w:rPr>
              <w:t>use</w:t>
            </w:r>
            <w:r>
              <w:rPr>
                <w:rFonts w:ascii="Arial" w:eastAsia="Times New Roman" w:hAnsi="Arial" w:cs="Arial"/>
                <w:iCs/>
                <w:sz w:val="18"/>
                <w:szCs w:val="18"/>
              </w:rPr>
              <w:t xml:space="preserve"> </w:t>
            </w:r>
            <w:r w:rsidRPr="00047251">
              <w:rPr>
                <w:rFonts w:ascii="Arial" w:eastAsia="Times New Roman" w:hAnsi="Arial" w:cs="Arial"/>
                <w:iCs/>
                <w:sz w:val="18"/>
                <w:szCs w:val="18"/>
              </w:rPr>
              <w:t>the</w:t>
            </w:r>
            <w:r>
              <w:rPr>
                <w:rFonts w:ascii="Arial" w:eastAsia="Times New Roman" w:hAnsi="Arial" w:cs="Arial"/>
                <w:iCs/>
                <w:sz w:val="18"/>
                <w:szCs w:val="18"/>
              </w:rPr>
              <w:t xml:space="preserve"> </w:t>
            </w:r>
            <w:r w:rsidRPr="00047251">
              <w:rPr>
                <w:rFonts w:ascii="Arial" w:eastAsia="Times New Roman" w:hAnsi="Arial" w:cs="Arial"/>
                <w:iCs/>
                <w:sz w:val="18"/>
                <w:szCs w:val="18"/>
              </w:rPr>
              <w:t>indicators</w:t>
            </w:r>
            <w:r>
              <w:rPr>
                <w:rFonts w:ascii="Arial" w:eastAsia="Times New Roman" w:hAnsi="Arial" w:cs="Arial"/>
                <w:iCs/>
                <w:sz w:val="18"/>
                <w:szCs w:val="18"/>
              </w:rPr>
              <w:t xml:space="preserve"> </w:t>
            </w:r>
            <w:r w:rsidRPr="00047251">
              <w:rPr>
                <w:rFonts w:ascii="Arial" w:eastAsia="Times New Roman" w:hAnsi="Arial" w:cs="Arial"/>
                <w:iCs/>
                <w:sz w:val="18"/>
                <w:szCs w:val="18"/>
              </w:rPr>
              <w:t>from</w:t>
            </w:r>
            <w:r>
              <w:rPr>
                <w:rFonts w:ascii="Arial" w:eastAsia="Times New Roman" w:hAnsi="Arial" w:cs="Arial"/>
                <w:iCs/>
                <w:sz w:val="18"/>
                <w:szCs w:val="18"/>
              </w:rPr>
              <w:t xml:space="preserve"> </w:t>
            </w:r>
            <w:r w:rsidRPr="00047251">
              <w:rPr>
                <w:rFonts w:ascii="Arial" w:eastAsia="Times New Roman" w:hAnsi="Arial" w:cs="Arial"/>
                <w:iCs/>
                <w:sz w:val="18"/>
                <w:szCs w:val="18"/>
              </w:rPr>
              <w:t>the</w:t>
            </w:r>
            <w:r>
              <w:rPr>
                <w:rFonts w:ascii="Arial" w:eastAsia="Times New Roman" w:hAnsi="Arial" w:cs="Arial"/>
                <w:iCs/>
                <w:sz w:val="18"/>
                <w:szCs w:val="18"/>
              </w:rPr>
              <w:t xml:space="preserve"> </w:t>
            </w:r>
            <w:hyperlink r:id="rId41" w:history="1">
              <w:r w:rsidRPr="00047251">
                <w:rPr>
                  <w:rStyle w:val="Hyperlink"/>
                  <w:rFonts w:ascii="Arial" w:eastAsia="Times New Roman" w:hAnsi="Arial" w:cs="Arial"/>
                  <w:iCs/>
                  <w:sz w:val="18"/>
                  <w:szCs w:val="18"/>
                </w:rPr>
                <w:t>Humanitarian Indicator Registry</w:t>
              </w:r>
            </w:hyperlink>
            <w:r>
              <w:rPr>
                <w:rFonts w:ascii="Arial" w:eastAsia="Times New Roman" w:hAnsi="Arial" w:cs="Arial"/>
                <w:iCs/>
                <w:sz w:val="18"/>
                <w:szCs w:val="18"/>
              </w:rPr>
              <w:t xml:space="preserve"> while consulting those present in  Table 1 of </w:t>
            </w:r>
            <w:hyperlink r:id="rId42" w:history="1">
              <w:r w:rsidRPr="00F00B81">
                <w:rPr>
                  <w:rStyle w:val="Hyperlink"/>
                  <w:rFonts w:ascii="Arial" w:eastAsia="Times New Roman" w:hAnsi="Arial" w:cs="Arial"/>
                  <w:iCs/>
                  <w:sz w:val="18"/>
                  <w:szCs w:val="18"/>
                </w:rPr>
                <w:t>Nutrition Humanitarian Needs Analysis Guidance</w:t>
              </w:r>
            </w:hyperlink>
            <w:r w:rsidRPr="00B91EEB">
              <w:rPr>
                <w:rFonts w:ascii="Arial" w:eastAsia="Times New Roman" w:hAnsi="Arial" w:cs="Arial"/>
                <w:iCs/>
                <w:sz w:val="18"/>
                <w:szCs w:val="18"/>
              </w:rPr>
              <w:t>.</w:t>
            </w:r>
            <w:r>
              <w:rPr>
                <w:rFonts w:ascii="Arial" w:eastAsia="Times New Roman" w:hAnsi="Arial" w:cs="Arial"/>
                <w:iCs/>
                <w:sz w:val="18"/>
                <w:szCs w:val="18"/>
              </w:rPr>
              <w:t xml:space="preserve"> W</w:t>
            </w:r>
            <w:r w:rsidRPr="00047251">
              <w:rPr>
                <w:rFonts w:ascii="Arial" w:eastAsia="Times New Roman" w:hAnsi="Arial" w:cs="Arial"/>
                <w:iCs/>
                <w:sz w:val="18"/>
                <w:szCs w:val="18"/>
              </w:rPr>
              <w:t>HO</w:t>
            </w:r>
            <w:r>
              <w:rPr>
                <w:rFonts w:ascii="Arial" w:eastAsia="Times New Roman" w:hAnsi="Arial" w:cs="Arial"/>
                <w:iCs/>
                <w:sz w:val="18"/>
                <w:szCs w:val="18"/>
              </w:rPr>
              <w:t xml:space="preserve"> </w:t>
            </w:r>
            <w:r w:rsidRPr="00047251">
              <w:rPr>
                <w:rFonts w:ascii="Arial" w:eastAsia="Times New Roman" w:hAnsi="Arial" w:cs="Arial"/>
                <w:iCs/>
                <w:sz w:val="18"/>
                <w:szCs w:val="18"/>
              </w:rPr>
              <w:t>has</w:t>
            </w:r>
            <w:r>
              <w:rPr>
                <w:rFonts w:ascii="Arial" w:eastAsia="Times New Roman" w:hAnsi="Arial" w:cs="Arial"/>
                <w:iCs/>
                <w:sz w:val="18"/>
                <w:szCs w:val="18"/>
              </w:rPr>
              <w:t xml:space="preserve"> </w:t>
            </w:r>
            <w:r w:rsidRPr="00047251">
              <w:rPr>
                <w:rFonts w:ascii="Arial" w:eastAsia="Times New Roman" w:hAnsi="Arial" w:cs="Arial"/>
                <w:iCs/>
                <w:sz w:val="18"/>
                <w:szCs w:val="18"/>
              </w:rPr>
              <w:t>published</w:t>
            </w:r>
            <w:r>
              <w:rPr>
                <w:rFonts w:ascii="Arial" w:eastAsia="Times New Roman" w:hAnsi="Arial" w:cs="Arial"/>
                <w:iCs/>
                <w:sz w:val="18"/>
                <w:szCs w:val="18"/>
              </w:rPr>
              <w:t xml:space="preserve"> </w:t>
            </w:r>
            <w:r w:rsidRPr="00047251">
              <w:rPr>
                <w:rFonts w:ascii="Arial" w:eastAsia="Times New Roman" w:hAnsi="Arial" w:cs="Arial"/>
                <w:iCs/>
                <w:sz w:val="18"/>
                <w:szCs w:val="18"/>
              </w:rPr>
              <w:t>in</w:t>
            </w:r>
            <w:r>
              <w:rPr>
                <w:rFonts w:ascii="Arial" w:eastAsia="Times New Roman" w:hAnsi="Arial" w:cs="Arial"/>
                <w:iCs/>
                <w:sz w:val="18"/>
                <w:szCs w:val="18"/>
              </w:rPr>
              <w:t xml:space="preserve"> </w:t>
            </w:r>
            <w:r w:rsidRPr="00047251">
              <w:rPr>
                <w:rFonts w:ascii="Arial" w:eastAsia="Times New Roman" w:hAnsi="Arial" w:cs="Arial"/>
                <w:iCs/>
                <w:sz w:val="18"/>
                <w:szCs w:val="18"/>
              </w:rPr>
              <w:t>2008</w:t>
            </w:r>
            <w:r>
              <w:rPr>
                <w:rFonts w:ascii="Arial" w:eastAsia="Times New Roman" w:hAnsi="Arial" w:cs="Arial"/>
                <w:iCs/>
                <w:sz w:val="18"/>
                <w:szCs w:val="18"/>
              </w:rPr>
              <w:t xml:space="preserve"> </w:t>
            </w:r>
            <w:r w:rsidRPr="00047251">
              <w:rPr>
                <w:rFonts w:ascii="Arial" w:eastAsia="Times New Roman" w:hAnsi="Arial" w:cs="Arial"/>
                <w:iCs/>
                <w:sz w:val="18"/>
                <w:szCs w:val="18"/>
              </w:rPr>
              <w:t>the</w:t>
            </w:r>
            <w:r>
              <w:rPr>
                <w:rFonts w:ascii="Arial" w:eastAsia="Times New Roman" w:hAnsi="Arial" w:cs="Arial"/>
                <w:iCs/>
                <w:sz w:val="18"/>
                <w:szCs w:val="18"/>
              </w:rPr>
              <w:t xml:space="preserve"> </w:t>
            </w:r>
            <w:r w:rsidRPr="00047251">
              <w:rPr>
                <w:rFonts w:ascii="Arial" w:eastAsia="Times New Roman" w:hAnsi="Arial" w:cs="Arial"/>
                <w:iCs/>
                <w:sz w:val="18"/>
                <w:szCs w:val="18"/>
              </w:rPr>
              <w:t>document</w:t>
            </w:r>
            <w:r>
              <w:rPr>
                <w:rFonts w:ascii="Arial" w:eastAsia="Times New Roman" w:hAnsi="Arial" w:cs="Arial"/>
                <w:iCs/>
                <w:sz w:val="18"/>
                <w:szCs w:val="18"/>
              </w:rPr>
              <w:t xml:space="preserve"> </w:t>
            </w:r>
            <w:r w:rsidRPr="00047251">
              <w:rPr>
                <w:rFonts w:ascii="Arial" w:eastAsia="Times New Roman" w:hAnsi="Arial" w:cs="Arial"/>
                <w:iCs/>
                <w:sz w:val="18"/>
                <w:szCs w:val="18"/>
              </w:rPr>
              <w:t>called</w:t>
            </w:r>
            <w:r>
              <w:rPr>
                <w:rFonts w:ascii="Arial" w:eastAsia="Times New Roman" w:hAnsi="Arial" w:cs="Arial"/>
                <w:iCs/>
                <w:sz w:val="18"/>
                <w:szCs w:val="18"/>
              </w:rPr>
              <w:t xml:space="preserve"> </w:t>
            </w:r>
            <w:hyperlink r:id="rId43" w:history="1">
              <w:r w:rsidRPr="00C530AD">
                <w:rPr>
                  <w:rStyle w:val="Hyperlink"/>
                  <w:rFonts w:ascii="Arial" w:eastAsia="Times New Roman" w:hAnsi="Arial" w:cs="Arial"/>
                  <w:iCs/>
                  <w:sz w:val="18"/>
                  <w:szCs w:val="18"/>
                </w:rPr>
                <w:t>Indicators for assessing IYCF practices</w:t>
              </w:r>
            </w:hyperlink>
            <w:r w:rsidRPr="00047251">
              <w:rPr>
                <w:rFonts w:ascii="Arial" w:eastAsia="Times New Roman" w:hAnsi="Arial" w:cs="Arial"/>
                <w:iCs/>
                <w:sz w:val="18"/>
                <w:szCs w:val="18"/>
              </w:rPr>
              <w:t>.</w:t>
            </w:r>
            <w:r>
              <w:rPr>
                <w:rFonts w:ascii="Arial" w:eastAsia="Times New Roman" w:hAnsi="Arial" w:cs="Arial"/>
                <w:iCs/>
                <w:sz w:val="18"/>
                <w:szCs w:val="18"/>
              </w:rPr>
              <w:t xml:space="preserve"> </w:t>
            </w:r>
            <w:r w:rsidRPr="00047251">
              <w:rPr>
                <w:rFonts w:ascii="Arial" w:eastAsia="Times New Roman" w:hAnsi="Arial" w:cs="Arial"/>
                <w:iCs/>
                <w:sz w:val="18"/>
                <w:szCs w:val="18"/>
              </w:rPr>
              <w:t>UNHCR</w:t>
            </w:r>
            <w:r>
              <w:rPr>
                <w:rFonts w:ascii="Arial" w:eastAsia="Times New Roman" w:hAnsi="Arial" w:cs="Arial"/>
                <w:iCs/>
                <w:sz w:val="18"/>
                <w:szCs w:val="18"/>
              </w:rPr>
              <w:t xml:space="preserve"> </w:t>
            </w:r>
            <w:r w:rsidRPr="00047251">
              <w:rPr>
                <w:rFonts w:ascii="Arial" w:eastAsia="Times New Roman" w:hAnsi="Arial" w:cs="Arial"/>
                <w:iCs/>
                <w:sz w:val="18"/>
                <w:szCs w:val="18"/>
              </w:rPr>
              <w:t>has</w:t>
            </w:r>
            <w:r>
              <w:rPr>
                <w:rFonts w:ascii="Arial" w:eastAsia="Times New Roman" w:hAnsi="Arial" w:cs="Arial"/>
                <w:iCs/>
                <w:sz w:val="18"/>
                <w:szCs w:val="18"/>
              </w:rPr>
              <w:t xml:space="preserve"> </w:t>
            </w:r>
            <w:r w:rsidRPr="00047251">
              <w:rPr>
                <w:rFonts w:ascii="Arial" w:eastAsia="Times New Roman" w:hAnsi="Arial" w:cs="Arial"/>
                <w:iCs/>
                <w:sz w:val="18"/>
                <w:szCs w:val="18"/>
              </w:rPr>
              <w:t>also</w:t>
            </w:r>
            <w:r>
              <w:rPr>
                <w:rFonts w:ascii="Arial" w:eastAsia="Times New Roman" w:hAnsi="Arial" w:cs="Arial"/>
                <w:iCs/>
                <w:sz w:val="18"/>
                <w:szCs w:val="18"/>
              </w:rPr>
              <w:t xml:space="preserve"> </w:t>
            </w:r>
            <w:r w:rsidRPr="00047251">
              <w:rPr>
                <w:rFonts w:ascii="Arial" w:eastAsia="Times New Roman" w:hAnsi="Arial" w:cs="Arial"/>
                <w:iCs/>
                <w:sz w:val="18"/>
                <w:szCs w:val="18"/>
              </w:rPr>
              <w:t>a</w:t>
            </w:r>
            <w:r>
              <w:rPr>
                <w:rFonts w:ascii="Arial" w:eastAsia="Times New Roman" w:hAnsi="Arial" w:cs="Arial"/>
                <w:iCs/>
                <w:sz w:val="18"/>
                <w:szCs w:val="18"/>
              </w:rPr>
              <w:t xml:space="preserve"> </w:t>
            </w:r>
            <w:hyperlink r:id="rId44" w:history="1">
              <w:r w:rsidRPr="00C530AD">
                <w:rPr>
                  <w:rStyle w:val="Hyperlink"/>
                  <w:rFonts w:ascii="Arial" w:eastAsia="Times New Roman" w:hAnsi="Arial" w:cs="Arial"/>
                  <w:iCs/>
                  <w:sz w:val="18"/>
                  <w:szCs w:val="18"/>
                </w:rPr>
                <w:t>specific module for assessing IYCF practices</w:t>
              </w:r>
            </w:hyperlink>
            <w:r>
              <w:rPr>
                <w:rFonts w:ascii="Arial" w:eastAsia="Times New Roman" w:hAnsi="Arial" w:cs="Arial"/>
                <w:iCs/>
                <w:sz w:val="18"/>
                <w:szCs w:val="18"/>
              </w:rPr>
              <w:t xml:space="preserve"> </w:t>
            </w:r>
            <w:r w:rsidRPr="00047251">
              <w:rPr>
                <w:rFonts w:ascii="Arial" w:eastAsia="Times New Roman" w:hAnsi="Arial" w:cs="Arial"/>
                <w:iCs/>
                <w:sz w:val="18"/>
                <w:szCs w:val="18"/>
              </w:rPr>
              <w:t>as</w:t>
            </w:r>
            <w:r>
              <w:rPr>
                <w:rFonts w:ascii="Arial" w:eastAsia="Times New Roman" w:hAnsi="Arial" w:cs="Arial"/>
                <w:iCs/>
                <w:sz w:val="18"/>
                <w:szCs w:val="18"/>
              </w:rPr>
              <w:t xml:space="preserve"> </w:t>
            </w:r>
            <w:r w:rsidRPr="00047251">
              <w:rPr>
                <w:rFonts w:ascii="Arial" w:eastAsia="Times New Roman" w:hAnsi="Arial" w:cs="Arial"/>
                <w:iCs/>
                <w:sz w:val="18"/>
                <w:szCs w:val="18"/>
              </w:rPr>
              <w:t>part</w:t>
            </w:r>
            <w:r>
              <w:rPr>
                <w:rFonts w:ascii="Arial" w:eastAsia="Times New Roman" w:hAnsi="Arial" w:cs="Arial"/>
                <w:iCs/>
                <w:sz w:val="18"/>
                <w:szCs w:val="18"/>
              </w:rPr>
              <w:t xml:space="preserve"> </w:t>
            </w:r>
            <w:r w:rsidRPr="00047251">
              <w:rPr>
                <w:rFonts w:ascii="Arial" w:eastAsia="Times New Roman" w:hAnsi="Arial" w:cs="Arial"/>
                <w:iCs/>
                <w:sz w:val="18"/>
                <w:szCs w:val="18"/>
              </w:rPr>
              <w:t>of</w:t>
            </w:r>
            <w:r>
              <w:rPr>
                <w:rFonts w:ascii="Arial" w:eastAsia="Times New Roman" w:hAnsi="Arial" w:cs="Arial"/>
                <w:iCs/>
                <w:sz w:val="18"/>
                <w:szCs w:val="18"/>
              </w:rPr>
              <w:t xml:space="preserve"> </w:t>
            </w:r>
            <w:r w:rsidRPr="00047251">
              <w:rPr>
                <w:rFonts w:ascii="Arial" w:eastAsia="Times New Roman" w:hAnsi="Arial" w:cs="Arial"/>
                <w:iCs/>
                <w:sz w:val="18"/>
                <w:szCs w:val="18"/>
              </w:rPr>
              <w:t>its</w:t>
            </w:r>
            <w:r>
              <w:rPr>
                <w:rFonts w:ascii="Arial" w:eastAsia="Times New Roman" w:hAnsi="Arial" w:cs="Arial"/>
                <w:iCs/>
                <w:sz w:val="18"/>
                <w:szCs w:val="18"/>
              </w:rPr>
              <w:t xml:space="preserve"> </w:t>
            </w:r>
            <w:r w:rsidRPr="00047251">
              <w:rPr>
                <w:rFonts w:ascii="Arial" w:eastAsia="Times New Roman" w:hAnsi="Arial" w:cs="Arial"/>
                <w:iCs/>
                <w:sz w:val="18"/>
                <w:szCs w:val="18"/>
              </w:rPr>
              <w:t>SENS</w:t>
            </w:r>
            <w:r>
              <w:rPr>
                <w:rFonts w:ascii="Arial" w:eastAsia="Times New Roman" w:hAnsi="Arial" w:cs="Arial"/>
                <w:iCs/>
                <w:sz w:val="18"/>
                <w:szCs w:val="18"/>
              </w:rPr>
              <w:t xml:space="preserve"> </w:t>
            </w:r>
            <w:r w:rsidRPr="00047251">
              <w:rPr>
                <w:rFonts w:ascii="Arial" w:eastAsia="Times New Roman" w:hAnsi="Arial" w:cs="Arial"/>
                <w:iCs/>
                <w:sz w:val="18"/>
                <w:szCs w:val="18"/>
              </w:rPr>
              <w:t>survey.</w:t>
            </w:r>
          </w:p>
        </w:tc>
      </w:tr>
      <w:tr w:rsidR="00D65F7F" w:rsidRPr="0032223F" w14:paraId="4ADD096E" w14:textId="77777777" w:rsidTr="00F74DBA">
        <w:tc>
          <w:tcPr>
            <w:tcW w:w="3539" w:type="dxa"/>
            <w:shd w:val="clear" w:color="auto" w:fill="auto"/>
          </w:tcPr>
          <w:p w14:paraId="41162860" w14:textId="6026DD54" w:rsidR="00D65F7F" w:rsidRPr="002C63B4"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B1.3 </w:t>
            </w:r>
            <w:r w:rsidRPr="00D73CA5">
              <w:rPr>
                <w:rFonts w:ascii="Arial" w:hAnsi="Arial" w:cs="Arial"/>
                <w:iCs/>
                <w:sz w:val="18"/>
                <w:szCs w:val="18"/>
              </w:rPr>
              <w:t>Are key indicators from different nutrition themes such as Sphere performance indicators, micronutrient supplementation indicators collected and analyzed?</w:t>
            </w:r>
          </w:p>
        </w:tc>
        <w:tc>
          <w:tcPr>
            <w:tcW w:w="11340" w:type="dxa"/>
            <w:shd w:val="clear" w:color="auto" w:fill="auto"/>
          </w:tcPr>
          <w:p w14:paraId="561E9B4C" w14:textId="77777777" w:rsidR="00D65F7F" w:rsidRDefault="00D65F7F" w:rsidP="00D65F7F">
            <w:pPr>
              <w:rPr>
                <w:rFonts w:ascii="Arial" w:hAnsi="Arial" w:cs="Arial"/>
                <w:b/>
                <w:bCs/>
                <w:sz w:val="18"/>
                <w:szCs w:val="18"/>
              </w:rPr>
            </w:pPr>
            <w:r>
              <w:rPr>
                <w:rFonts w:ascii="Arial" w:eastAsia="Times New Roman" w:hAnsi="Arial" w:cs="Arial"/>
                <w:iCs/>
                <w:sz w:val="18"/>
                <w:szCs w:val="18"/>
                <w:lang w:eastAsia="fr-FR"/>
              </w:rPr>
              <w:t xml:space="preserve">A list of “core” indicators relating to the key drivers/determinants of malnutrition and their interpretation for response planning is provided in Table 1 of </w:t>
            </w:r>
            <w:hyperlink r:id="rId45" w:history="1">
              <w:r w:rsidRPr="00F00B81">
                <w:rPr>
                  <w:rStyle w:val="Hyperlink"/>
                  <w:rFonts w:ascii="Arial" w:eastAsia="Times New Roman" w:hAnsi="Arial" w:cs="Arial"/>
                  <w:iCs/>
                  <w:sz w:val="18"/>
                  <w:szCs w:val="18"/>
                  <w:lang w:eastAsia="fr-FR"/>
                </w:rPr>
                <w:t>Nutrition Humanitarian Needs Analysis Guidance</w:t>
              </w:r>
            </w:hyperlink>
            <w:r w:rsidRPr="00B91EEB">
              <w:rPr>
                <w:rFonts w:ascii="Arial" w:eastAsia="Times New Roman" w:hAnsi="Arial" w:cs="Arial"/>
                <w:iCs/>
                <w:sz w:val="18"/>
                <w:szCs w:val="18"/>
                <w:lang w:eastAsia="fr-FR"/>
              </w:rPr>
              <w:t>.</w:t>
            </w:r>
            <w:r>
              <w:rPr>
                <w:rFonts w:ascii="Arial" w:eastAsia="Times New Roman" w:hAnsi="Arial" w:cs="Arial"/>
                <w:iCs/>
                <w:sz w:val="18"/>
                <w:szCs w:val="18"/>
                <w:lang w:eastAsia="fr-FR"/>
              </w:rPr>
              <w:t xml:space="preserve"> </w:t>
            </w:r>
            <w:r>
              <w:rPr>
                <w:rFonts w:ascii="Arial" w:hAnsi="Arial" w:cs="Arial"/>
                <w:sz w:val="18"/>
                <w:szCs w:val="18"/>
              </w:rPr>
              <w:t>This list</w:t>
            </w:r>
            <w:r w:rsidRPr="00712331">
              <w:rPr>
                <w:rFonts w:ascii="Arial" w:hAnsi="Arial" w:cs="Arial"/>
                <w:sz w:val="18"/>
                <w:szCs w:val="18"/>
              </w:rPr>
              <w:t xml:space="preserve"> is meant to </w:t>
            </w:r>
            <w:r w:rsidRPr="00712331">
              <w:rPr>
                <w:rFonts w:ascii="Arial" w:hAnsi="Arial" w:cs="Arial"/>
                <w:b/>
                <w:bCs/>
                <w:sz w:val="18"/>
                <w:szCs w:val="18"/>
              </w:rPr>
              <w:t>streamline th</w:t>
            </w:r>
            <w:r>
              <w:rPr>
                <w:rFonts w:ascii="Arial" w:hAnsi="Arial" w:cs="Arial"/>
                <w:b/>
                <w:bCs/>
                <w:sz w:val="18"/>
                <w:szCs w:val="18"/>
              </w:rPr>
              <w:t>e response</w:t>
            </w:r>
            <w:r w:rsidRPr="00712331">
              <w:rPr>
                <w:rFonts w:ascii="Arial" w:hAnsi="Arial" w:cs="Arial"/>
                <w:b/>
                <w:bCs/>
                <w:sz w:val="18"/>
                <w:szCs w:val="18"/>
              </w:rPr>
              <w:t xml:space="preserve"> analysis process and is not intended to override the extensive list of nutrition indicators that can be used for </w:t>
            </w:r>
            <w:hyperlink r:id="rId46" w:history="1">
              <w:r w:rsidRPr="00712331">
                <w:rPr>
                  <w:rStyle w:val="Hyperlink"/>
                  <w:rFonts w:ascii="Arial" w:hAnsi="Arial" w:cs="Arial"/>
                  <w:b/>
                  <w:bCs/>
                  <w:sz w:val="18"/>
                  <w:szCs w:val="18"/>
                </w:rPr>
                <w:t>programming performance or monitoring purposes</w:t>
              </w:r>
            </w:hyperlink>
          </w:p>
          <w:p w14:paraId="0A17B73B" w14:textId="77777777"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p>
        </w:tc>
      </w:tr>
      <w:tr w:rsidR="00D65F7F" w:rsidRPr="0032223F" w14:paraId="7478B22F" w14:textId="77777777" w:rsidTr="00F74DBA">
        <w:tc>
          <w:tcPr>
            <w:tcW w:w="3539" w:type="dxa"/>
            <w:shd w:val="clear" w:color="auto" w:fill="auto"/>
          </w:tcPr>
          <w:p w14:paraId="5F2A1AAE" w14:textId="4E05B84E" w:rsidR="00D65F7F" w:rsidRPr="002C63B4"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B1.4 </w:t>
            </w:r>
            <w:r w:rsidRPr="00D73CA5">
              <w:rPr>
                <w:rFonts w:ascii="Arial" w:hAnsi="Arial" w:cs="Arial"/>
                <w:iCs/>
                <w:sz w:val="18"/>
                <w:szCs w:val="18"/>
              </w:rPr>
              <w:t>Do nutrition indicators collect data from different groups namely PLW, U5</w:t>
            </w:r>
            <w:r>
              <w:rPr>
                <w:rFonts w:ascii="Arial" w:hAnsi="Arial" w:cs="Arial"/>
                <w:iCs/>
                <w:sz w:val="18"/>
                <w:szCs w:val="18"/>
              </w:rPr>
              <w:t xml:space="preserve"> girls and boys</w:t>
            </w:r>
            <w:r w:rsidRPr="00D73CA5">
              <w:rPr>
                <w:rFonts w:ascii="Arial" w:hAnsi="Arial" w:cs="Arial"/>
                <w:iCs/>
                <w:sz w:val="18"/>
                <w:szCs w:val="18"/>
              </w:rPr>
              <w:t>, the chronically ill, older people, adolescent girls and boys</w:t>
            </w:r>
            <w:r>
              <w:rPr>
                <w:rFonts w:ascii="Arial" w:hAnsi="Arial" w:cs="Arial"/>
                <w:iCs/>
                <w:sz w:val="18"/>
                <w:szCs w:val="18"/>
              </w:rPr>
              <w:t>, persons with disabilities,</w:t>
            </w:r>
            <w:r w:rsidRPr="00D73CA5">
              <w:rPr>
                <w:rFonts w:ascii="Arial" w:hAnsi="Arial" w:cs="Arial"/>
                <w:iCs/>
                <w:sz w:val="18"/>
                <w:szCs w:val="18"/>
              </w:rPr>
              <w:t xml:space="preserve"> and adult men and women?  </w:t>
            </w:r>
          </w:p>
        </w:tc>
        <w:tc>
          <w:tcPr>
            <w:tcW w:w="11340" w:type="dxa"/>
            <w:shd w:val="clear" w:color="auto" w:fill="auto"/>
          </w:tcPr>
          <w:p w14:paraId="696512F2" w14:textId="14AC1E5A" w:rsidR="00D65F7F" w:rsidRPr="003C45EE" w:rsidRDefault="00D65F7F" w:rsidP="00D65F7F">
            <w:pPr>
              <w:rPr>
                <w:rFonts w:ascii="Arial" w:hAnsi="Arial" w:cs="Arial"/>
                <w:sz w:val="18"/>
                <w:szCs w:val="18"/>
              </w:rPr>
            </w:pPr>
            <w:r w:rsidRPr="003C45EE">
              <w:rPr>
                <w:rFonts w:ascii="Arial" w:hAnsi="Arial" w:cs="Arial"/>
                <w:sz w:val="18"/>
                <w:szCs w:val="18"/>
              </w:rPr>
              <w:t>When reviewing primary data needs, it is important to keep in mind the importance of sex, age, disability, vulnerabilities of certain population groups (i.e.</w:t>
            </w:r>
            <w:r>
              <w:rPr>
                <w:rFonts w:ascii="Arial" w:hAnsi="Arial" w:cs="Arial"/>
                <w:sz w:val="18"/>
                <w:szCs w:val="18"/>
              </w:rPr>
              <w:t>,</w:t>
            </w:r>
            <w:r w:rsidRPr="003C45EE">
              <w:rPr>
                <w:rFonts w:ascii="Arial" w:hAnsi="Arial" w:cs="Arial"/>
                <w:sz w:val="18"/>
                <w:szCs w:val="18"/>
              </w:rPr>
              <w:t xml:space="preserve"> PLW) and other diversity characteristics when reviewing or discussion </w:t>
            </w:r>
            <w:r>
              <w:rPr>
                <w:rFonts w:ascii="Arial" w:hAnsi="Arial" w:cs="Arial"/>
                <w:sz w:val="18"/>
                <w:szCs w:val="18"/>
              </w:rPr>
              <w:t xml:space="preserve">the availability of </w:t>
            </w:r>
            <w:r w:rsidRPr="003C45EE">
              <w:rPr>
                <w:rFonts w:ascii="Arial" w:hAnsi="Arial" w:cs="Arial"/>
                <w:sz w:val="18"/>
                <w:szCs w:val="18"/>
              </w:rPr>
              <w:t xml:space="preserve">nutrition outcome data. </w:t>
            </w:r>
            <w:r>
              <w:rPr>
                <w:rFonts w:ascii="Arial" w:hAnsi="Arial" w:cs="Arial"/>
                <w:sz w:val="18"/>
                <w:szCs w:val="18"/>
              </w:rPr>
              <w:t xml:space="preserve">For example, there may be </w:t>
            </w:r>
            <w:r w:rsidRPr="003C45EE">
              <w:rPr>
                <w:rFonts w:ascii="Arial" w:hAnsi="Arial" w:cs="Arial"/>
                <w:sz w:val="18"/>
                <w:szCs w:val="18"/>
              </w:rPr>
              <w:t>gender-based barriers and gender norms that may negatively impact on nutrition outcomes</w:t>
            </w:r>
            <w:r>
              <w:rPr>
                <w:rFonts w:ascii="Arial" w:hAnsi="Arial" w:cs="Arial"/>
                <w:sz w:val="18"/>
                <w:szCs w:val="18"/>
              </w:rPr>
              <w:t xml:space="preserve"> - </w:t>
            </w:r>
            <w:r w:rsidRPr="003C45EE">
              <w:rPr>
                <w:rFonts w:ascii="Arial" w:hAnsi="Arial" w:cs="Arial"/>
                <w:sz w:val="18"/>
                <w:szCs w:val="18"/>
              </w:rPr>
              <w:t xml:space="preserve">women may not have a decision-making power at home about what they eat or how they use money, or there could be dietary taboos or cultural feeding practices related to food consumption that can disadvantage young girls. Nuanced information may also be needed to inform the need for action to scale up malnutrition treatment and prevention for </w:t>
            </w:r>
            <w:r>
              <w:rPr>
                <w:rFonts w:ascii="Arial" w:hAnsi="Arial" w:cs="Arial"/>
                <w:sz w:val="18"/>
                <w:szCs w:val="18"/>
              </w:rPr>
              <w:t xml:space="preserve">these different population groups </w:t>
            </w:r>
            <w:r w:rsidRPr="003C45EE">
              <w:rPr>
                <w:rFonts w:ascii="Arial" w:hAnsi="Arial" w:cs="Arial"/>
                <w:sz w:val="18"/>
                <w:szCs w:val="18"/>
              </w:rPr>
              <w:t xml:space="preserve">based on the following: </w:t>
            </w:r>
          </w:p>
          <w:p w14:paraId="6594B324" w14:textId="3D56C2ED" w:rsidR="00D65F7F" w:rsidRDefault="00D65F7F" w:rsidP="00D65F7F">
            <w:pPr>
              <w:pStyle w:val="ListParagraph"/>
              <w:numPr>
                <w:ilvl w:val="0"/>
                <w:numId w:val="21"/>
              </w:numPr>
              <w:rPr>
                <w:rFonts w:ascii="Arial" w:hAnsi="Arial" w:cs="Arial"/>
                <w:sz w:val="18"/>
                <w:szCs w:val="18"/>
              </w:rPr>
            </w:pPr>
            <w:r w:rsidRPr="007A79F8">
              <w:rPr>
                <w:rFonts w:ascii="Arial" w:hAnsi="Arial" w:cs="Arial"/>
                <w:sz w:val="18"/>
                <w:szCs w:val="18"/>
              </w:rPr>
              <w:t>What is the prevalence of different forms of malnutrition (e.g.</w:t>
            </w:r>
            <w:r>
              <w:rPr>
                <w:rFonts w:ascii="Arial" w:hAnsi="Arial" w:cs="Arial"/>
                <w:sz w:val="18"/>
                <w:szCs w:val="18"/>
              </w:rPr>
              <w:t>,</w:t>
            </w:r>
            <w:r w:rsidRPr="007A79F8">
              <w:rPr>
                <w:rFonts w:ascii="Arial" w:hAnsi="Arial" w:cs="Arial"/>
                <w:sz w:val="18"/>
                <w:szCs w:val="18"/>
              </w:rPr>
              <w:t xml:space="preserve"> acute and chronic malnutrition outcomes, micronutrient deficiencies) in the geographical areas of interest? Are there important differences by age group (e.g.</w:t>
            </w:r>
            <w:r>
              <w:rPr>
                <w:rFonts w:ascii="Arial" w:hAnsi="Arial" w:cs="Arial"/>
                <w:sz w:val="18"/>
                <w:szCs w:val="18"/>
              </w:rPr>
              <w:t>,</w:t>
            </w:r>
            <w:r w:rsidRPr="007A79F8">
              <w:rPr>
                <w:rFonts w:ascii="Arial" w:hAnsi="Arial" w:cs="Arial"/>
                <w:sz w:val="18"/>
                <w:szCs w:val="18"/>
              </w:rPr>
              <w:t xml:space="preserve"> infants, chronically ill adults, older people) or by sex to consider (e.g</w:t>
            </w:r>
            <w:r>
              <w:rPr>
                <w:rFonts w:ascii="Arial" w:hAnsi="Arial" w:cs="Arial"/>
                <w:sz w:val="18"/>
                <w:szCs w:val="18"/>
              </w:rPr>
              <w:t>.,</w:t>
            </w:r>
            <w:r w:rsidRPr="007A79F8">
              <w:rPr>
                <w:rFonts w:ascii="Arial" w:hAnsi="Arial" w:cs="Arial"/>
                <w:sz w:val="18"/>
                <w:szCs w:val="18"/>
              </w:rPr>
              <w:t xml:space="preserve"> are U5 girls more likely to suffer from malnutrition)?</w:t>
            </w:r>
          </w:p>
          <w:p w14:paraId="14A95521" w14:textId="123AC0E2" w:rsidR="00D65F7F" w:rsidRDefault="00D65F7F" w:rsidP="00D65F7F">
            <w:pPr>
              <w:pStyle w:val="ListParagraph"/>
              <w:numPr>
                <w:ilvl w:val="0"/>
                <w:numId w:val="21"/>
              </w:numPr>
              <w:rPr>
                <w:rFonts w:ascii="Arial" w:hAnsi="Arial" w:cs="Arial"/>
                <w:sz w:val="18"/>
                <w:szCs w:val="18"/>
              </w:rPr>
            </w:pPr>
            <w:r w:rsidRPr="007A79F8">
              <w:rPr>
                <w:rFonts w:ascii="Arial" w:hAnsi="Arial" w:cs="Arial"/>
                <w:sz w:val="18"/>
                <w:szCs w:val="18"/>
              </w:rPr>
              <w:t>Are certain geographical areas more affected than others by malnutrition accompanied by high or increasing levels of its drivers (e.g.</w:t>
            </w:r>
            <w:r>
              <w:rPr>
                <w:rFonts w:ascii="Arial" w:hAnsi="Arial" w:cs="Arial"/>
                <w:sz w:val="18"/>
                <w:szCs w:val="18"/>
              </w:rPr>
              <w:t>.,</w:t>
            </w:r>
            <w:r w:rsidRPr="007A79F8">
              <w:rPr>
                <w:rFonts w:ascii="Arial" w:hAnsi="Arial" w:cs="Arial"/>
                <w:sz w:val="18"/>
                <w:szCs w:val="18"/>
              </w:rPr>
              <w:t xml:space="preserve"> individual food consumption gaps)?</w:t>
            </w:r>
          </w:p>
          <w:p w14:paraId="3F339FCA" w14:textId="5F6AEE18" w:rsidR="00D65F7F" w:rsidRPr="007A79F8" w:rsidRDefault="00D65F7F" w:rsidP="00D65F7F">
            <w:pPr>
              <w:pStyle w:val="ListParagraph"/>
              <w:numPr>
                <w:ilvl w:val="0"/>
                <w:numId w:val="21"/>
              </w:numPr>
              <w:rPr>
                <w:rFonts w:ascii="Arial" w:hAnsi="Arial" w:cs="Arial"/>
                <w:sz w:val="18"/>
                <w:szCs w:val="18"/>
              </w:rPr>
            </w:pPr>
            <w:r w:rsidRPr="007A79F8">
              <w:rPr>
                <w:rFonts w:ascii="Arial" w:hAnsi="Arial" w:cs="Arial"/>
                <w:sz w:val="18"/>
                <w:szCs w:val="18"/>
              </w:rPr>
              <w:t>Are certain livelihoods, socio-economic, age or gender groups (e.g.</w:t>
            </w:r>
            <w:r>
              <w:rPr>
                <w:rFonts w:ascii="Arial" w:hAnsi="Arial" w:cs="Arial"/>
                <w:sz w:val="18"/>
                <w:szCs w:val="18"/>
              </w:rPr>
              <w:t>,</w:t>
            </w:r>
            <w:r w:rsidRPr="007A79F8">
              <w:rPr>
                <w:rFonts w:ascii="Arial" w:hAnsi="Arial" w:cs="Arial"/>
                <w:sz w:val="18"/>
                <w:szCs w:val="18"/>
              </w:rPr>
              <w:t xml:space="preserve"> adolescent PLW) more affected by malnutrition than others? What factors make them vulnerable to malnutrition (e.g.</w:t>
            </w:r>
            <w:r>
              <w:rPr>
                <w:rFonts w:ascii="Arial" w:hAnsi="Arial" w:cs="Arial"/>
                <w:sz w:val="18"/>
                <w:szCs w:val="18"/>
              </w:rPr>
              <w:t>,</w:t>
            </w:r>
            <w:r w:rsidRPr="007A79F8">
              <w:rPr>
                <w:rFonts w:ascii="Arial" w:hAnsi="Arial" w:cs="Arial"/>
                <w:sz w:val="18"/>
                <w:szCs w:val="18"/>
              </w:rPr>
              <w:t xml:space="preserve"> social norms related to diets)?</w:t>
            </w:r>
          </w:p>
          <w:p w14:paraId="3A85E931" w14:textId="77777777" w:rsidR="00D65F7F" w:rsidRPr="007A79F8" w:rsidRDefault="00D65F7F" w:rsidP="00D65F7F">
            <w:pPr>
              <w:pStyle w:val="ListParagraph"/>
              <w:numPr>
                <w:ilvl w:val="0"/>
                <w:numId w:val="21"/>
              </w:numPr>
              <w:rPr>
                <w:rFonts w:ascii="Arial" w:hAnsi="Arial" w:cs="Arial"/>
                <w:sz w:val="18"/>
                <w:szCs w:val="18"/>
              </w:rPr>
            </w:pPr>
            <w:r w:rsidRPr="007A79F8">
              <w:rPr>
                <w:rFonts w:ascii="Arial" w:hAnsi="Arial" w:cs="Arial"/>
                <w:sz w:val="18"/>
                <w:szCs w:val="18"/>
              </w:rPr>
              <w:t>Are there any trends, seasonal and/or long term, in the prevalence of malnutrition?</w:t>
            </w:r>
          </w:p>
          <w:p w14:paraId="6D4E6B56" w14:textId="293C33BC"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cs="Arial"/>
                <w:sz w:val="18"/>
                <w:szCs w:val="18"/>
              </w:rPr>
              <w:t xml:space="preserve">These considerations would provide information on who is impacted differently for decision-making and planning purposes. Qualitative methods (i.e., </w:t>
            </w:r>
            <w:hyperlink r:id="rId47" w:history="1">
              <w:r w:rsidRPr="00361A01">
                <w:rPr>
                  <w:rStyle w:val="Hyperlink"/>
                  <w:rFonts w:ascii="Arial" w:hAnsi="Arial" w:cs="Arial"/>
                  <w:sz w:val="18"/>
                  <w:szCs w:val="18"/>
                </w:rPr>
                <w:t>consultations</w:t>
              </w:r>
            </w:hyperlink>
            <w:r>
              <w:rPr>
                <w:sz w:val="18"/>
                <w:szCs w:val="18"/>
              </w:rPr>
              <w:t xml:space="preserve"> or </w:t>
            </w:r>
            <w:r w:rsidRPr="003C45EE">
              <w:rPr>
                <w:rFonts w:ascii="Arial" w:hAnsi="Arial" w:cs="Arial"/>
                <w:sz w:val="18"/>
                <w:szCs w:val="18"/>
              </w:rPr>
              <w:t>focus group discussions</w:t>
            </w:r>
            <w:r>
              <w:rPr>
                <w:rFonts w:ascii="Arial" w:hAnsi="Arial" w:cs="Arial"/>
                <w:sz w:val="18"/>
                <w:szCs w:val="18"/>
              </w:rPr>
              <w:t xml:space="preserve">) can also be used to </w:t>
            </w:r>
            <w:r w:rsidRPr="003C45EE">
              <w:rPr>
                <w:rFonts w:ascii="Arial" w:hAnsi="Arial" w:cs="Arial"/>
                <w:sz w:val="18"/>
                <w:szCs w:val="18"/>
              </w:rPr>
              <w:t>obtain voices and opinions from the community</w:t>
            </w:r>
            <w:r>
              <w:rPr>
                <w:rFonts w:ascii="Arial" w:hAnsi="Arial" w:cs="Arial"/>
                <w:sz w:val="18"/>
                <w:szCs w:val="18"/>
              </w:rPr>
              <w:t xml:space="preserve"> to better understand why differences may be occurring. </w:t>
            </w:r>
          </w:p>
        </w:tc>
      </w:tr>
      <w:tr w:rsidR="00D65F7F" w:rsidRPr="0032223F" w14:paraId="0E6F807C" w14:textId="77777777" w:rsidTr="00F74DBA">
        <w:tc>
          <w:tcPr>
            <w:tcW w:w="3539" w:type="dxa"/>
            <w:shd w:val="clear" w:color="auto" w:fill="auto"/>
          </w:tcPr>
          <w:p w14:paraId="23F1880A" w14:textId="4C7C6B8A" w:rsidR="00D65F7F"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B1.5 </w:t>
            </w:r>
            <w:r w:rsidRPr="00007870">
              <w:rPr>
                <w:rFonts w:ascii="Arial" w:hAnsi="Arial" w:cs="Arial"/>
                <w:iCs/>
                <w:sz w:val="18"/>
                <w:szCs w:val="18"/>
              </w:rPr>
              <w:t>Are sampling methods and their use clearly defined?</w:t>
            </w:r>
          </w:p>
        </w:tc>
        <w:tc>
          <w:tcPr>
            <w:tcW w:w="11340" w:type="dxa"/>
            <w:shd w:val="clear" w:color="auto" w:fill="auto"/>
          </w:tcPr>
          <w:p w14:paraId="03FCA5C1" w14:textId="24A877D4" w:rsidR="00D65F7F" w:rsidRPr="003C45EE" w:rsidRDefault="00D65F7F" w:rsidP="00D65F7F">
            <w:pPr>
              <w:rPr>
                <w:rFonts w:ascii="Arial" w:hAnsi="Arial" w:cs="Arial"/>
                <w:sz w:val="18"/>
                <w:szCs w:val="18"/>
              </w:rPr>
            </w:pPr>
            <w:r w:rsidRPr="00007870">
              <w:rPr>
                <w:rFonts w:ascii="Arial" w:hAnsi="Arial" w:cs="Arial"/>
                <w:iCs/>
                <w:sz w:val="18"/>
                <w:szCs w:val="18"/>
              </w:rPr>
              <w:t>The level and degree of representativeness of nutrition information depends on its sampling methods. It is important to keep this in mind for data interpretation and comparability purposes. In population-based surveys, the standard sampling approach used is the two-stage cluster sampling, which applies simple or systematic random sampling at village (i.e.</w:t>
            </w:r>
            <w:r>
              <w:rPr>
                <w:rFonts w:ascii="Arial" w:hAnsi="Arial" w:cs="Arial"/>
                <w:iCs/>
                <w:sz w:val="18"/>
                <w:szCs w:val="18"/>
              </w:rPr>
              <w:t>,</w:t>
            </w:r>
            <w:r w:rsidRPr="00007870">
              <w:rPr>
                <w:rFonts w:ascii="Arial" w:hAnsi="Arial" w:cs="Arial"/>
                <w:iCs/>
                <w:sz w:val="18"/>
                <w:szCs w:val="18"/>
              </w:rPr>
              <w:t xml:space="preserve"> cluster) level. Wherever this is applied, the results are </w:t>
            </w:r>
            <w:r w:rsidRPr="00007870">
              <w:rPr>
                <w:rFonts w:ascii="Arial" w:hAnsi="Arial" w:cs="Arial"/>
                <w:iCs/>
                <w:sz w:val="18"/>
                <w:szCs w:val="18"/>
              </w:rPr>
              <w:lastRenderedPageBreak/>
              <w:t xml:space="preserve">comparable between populations and over time. It may be difficult to apply cluster sampling to some populations such as pastoralist or mobile populations. Purposive sampling is generally used in sentinel site surveillance, where specific sites are selected </w:t>
            </w:r>
            <w:r>
              <w:rPr>
                <w:rFonts w:ascii="Arial" w:hAnsi="Arial" w:cs="Arial"/>
                <w:iCs/>
                <w:sz w:val="18"/>
                <w:szCs w:val="18"/>
              </w:rPr>
              <w:t>based on</w:t>
            </w:r>
            <w:r w:rsidRPr="00007870">
              <w:rPr>
                <w:rFonts w:ascii="Arial" w:hAnsi="Arial" w:cs="Arial"/>
                <w:iCs/>
                <w:sz w:val="18"/>
                <w:szCs w:val="18"/>
              </w:rPr>
              <w:t xml:space="preserve"> particular vulnerabilities. The results are not therefore representative of the larger population but trends over time can be detected. Although there are no agreed guidelines, current practice suggests that 50 to 120 children per site are enough to monitor nutritional changes in a population. For rapid assessments, there are two main types of rapid assessments; rapid assessment where qualitative data is collected, and rapid screening assessments based on MUAC. For both types of rapid assessments, the sampling approach is not designed to ensure a representative sample of the community and can be referred to as convenience sampling. Results should therefore always be interpreted with caution. </w:t>
            </w:r>
            <w:r w:rsidRPr="00007870">
              <w:rPr>
                <w:rFonts w:ascii="Arial" w:hAnsi="Arial" w:cs="Arial"/>
                <w:iCs/>
                <w:sz w:val="18"/>
                <w:szCs w:val="18"/>
              </w:rPr>
              <w:br w:type="page"/>
            </w:r>
          </w:p>
        </w:tc>
      </w:tr>
      <w:tr w:rsidR="00D65F7F" w:rsidRPr="0032223F" w14:paraId="2147CF7B" w14:textId="77777777" w:rsidTr="00F74DBA">
        <w:tc>
          <w:tcPr>
            <w:tcW w:w="3539" w:type="dxa"/>
            <w:shd w:val="clear" w:color="auto" w:fill="auto"/>
          </w:tcPr>
          <w:p w14:paraId="55589D4C" w14:textId="336D0C74"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highlight w:val="yellow"/>
                <w:u w:color="E36C0A"/>
              </w:rPr>
            </w:pPr>
            <w:r>
              <w:rPr>
                <w:rFonts w:ascii="Arial" w:hAnsi="Arial" w:cs="Arial"/>
                <w:b/>
                <w:bCs/>
                <w:sz w:val="18"/>
                <w:szCs w:val="18"/>
              </w:rPr>
              <w:lastRenderedPageBreak/>
              <w:t xml:space="preserve">B.2 </w:t>
            </w:r>
            <w:r w:rsidRPr="00AF0D44">
              <w:rPr>
                <w:rFonts w:ascii="Arial" w:hAnsi="Arial" w:cs="Arial"/>
                <w:b/>
                <w:bCs/>
                <w:sz w:val="18"/>
                <w:szCs w:val="18"/>
              </w:rPr>
              <w:t>Interface with other sectors</w:t>
            </w:r>
          </w:p>
        </w:tc>
        <w:tc>
          <w:tcPr>
            <w:tcW w:w="11340" w:type="dxa"/>
            <w:shd w:val="clear" w:color="auto" w:fill="auto"/>
          </w:tcPr>
          <w:p w14:paraId="43975FED" w14:textId="31EF19AC"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5D323C">
              <w:rPr>
                <w:rFonts w:ascii="Arial" w:eastAsia="Times New Roman" w:hAnsi="Arial" w:cs="Arial"/>
                <w:b/>
                <w:bCs/>
                <w:iCs/>
                <w:sz w:val="18"/>
                <w:szCs w:val="18"/>
              </w:rPr>
              <w:t>DESCRIPTION</w:t>
            </w:r>
          </w:p>
        </w:tc>
      </w:tr>
      <w:tr w:rsidR="00D65F7F" w:rsidRPr="0032223F" w14:paraId="7A089B84" w14:textId="77777777" w:rsidTr="00F74DBA">
        <w:tc>
          <w:tcPr>
            <w:tcW w:w="3539" w:type="dxa"/>
            <w:shd w:val="clear" w:color="auto" w:fill="auto"/>
          </w:tcPr>
          <w:p w14:paraId="026C0B23" w14:textId="44E1A27B" w:rsidR="00D65F7F" w:rsidRPr="00EB1F42"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B.2.1 </w:t>
            </w:r>
            <w:r w:rsidRPr="00EB1F42">
              <w:rPr>
                <w:rFonts w:ascii="Arial" w:hAnsi="Arial" w:cs="Arial"/>
                <w:iCs/>
                <w:sz w:val="18"/>
                <w:szCs w:val="18"/>
              </w:rPr>
              <w:t>Are key indicators from different sectors, namely WASH, FSL</w:t>
            </w:r>
            <w:r>
              <w:rPr>
                <w:rFonts w:ascii="Arial" w:hAnsi="Arial" w:cs="Arial"/>
                <w:iCs/>
                <w:sz w:val="18"/>
                <w:szCs w:val="18"/>
              </w:rPr>
              <w:t>,</w:t>
            </w:r>
            <w:r w:rsidRPr="00EB1F42">
              <w:rPr>
                <w:rFonts w:ascii="Arial" w:hAnsi="Arial" w:cs="Arial"/>
                <w:iCs/>
                <w:sz w:val="18"/>
                <w:szCs w:val="18"/>
              </w:rPr>
              <w:t xml:space="preserve"> and Health collected?  </w:t>
            </w:r>
          </w:p>
        </w:tc>
        <w:tc>
          <w:tcPr>
            <w:tcW w:w="11340" w:type="dxa"/>
            <w:shd w:val="clear" w:color="auto" w:fill="auto"/>
          </w:tcPr>
          <w:p w14:paraId="54DB3E2D" w14:textId="06208FF9" w:rsidR="00D65F7F" w:rsidRPr="006B0E8F" w:rsidRDefault="00D65F7F" w:rsidP="00D65F7F">
            <w:pPr>
              <w:pStyle w:val="paragraph"/>
              <w:spacing w:before="0" w:beforeAutospacing="0" w:after="60" w:afterAutospacing="0"/>
              <w:jc w:val="both"/>
              <w:textAlignment w:val="baseline"/>
              <w:rPr>
                <w:rFonts w:ascii="Arial" w:hAnsi="Arial" w:cs="Arial"/>
                <w:iCs/>
                <w:sz w:val="18"/>
                <w:szCs w:val="18"/>
                <w:lang w:val="en-CA"/>
              </w:rPr>
            </w:pPr>
            <w:r>
              <w:rPr>
                <w:rFonts w:ascii="Arial" w:hAnsi="Arial" w:cs="Arial"/>
                <w:iCs/>
                <w:sz w:val="18"/>
                <w:szCs w:val="18"/>
                <w:lang w:val="en-CA"/>
              </w:rPr>
              <w:t>A</w:t>
            </w:r>
            <w:r w:rsidRPr="006B0E8F">
              <w:rPr>
                <w:rFonts w:ascii="Arial" w:hAnsi="Arial" w:cs="Arial"/>
                <w:iCs/>
                <w:sz w:val="18"/>
                <w:szCs w:val="18"/>
                <w:lang w:val="en-CA"/>
              </w:rPr>
              <w:t xml:space="preserve"> large list of </w:t>
            </w:r>
            <w:r w:rsidRPr="006B0E8F">
              <w:rPr>
                <w:rFonts w:ascii="Arial" w:hAnsi="Arial" w:cs="Arial"/>
                <w:b/>
                <w:bCs/>
                <w:iCs/>
                <w:sz w:val="18"/>
                <w:szCs w:val="18"/>
                <w:lang w:val="en-CA"/>
              </w:rPr>
              <w:t>key drivers/determinants</w:t>
            </w:r>
            <w:r w:rsidRPr="006B0E8F">
              <w:rPr>
                <w:rFonts w:ascii="Arial" w:hAnsi="Arial" w:cs="Arial"/>
                <w:iCs/>
                <w:sz w:val="18"/>
                <w:szCs w:val="18"/>
                <w:lang w:val="en-CA"/>
              </w:rPr>
              <w:t xml:space="preserve"> contribute to malnutrition: care practices (infant and young child feeding, home health, hygiene practices, food preparation and storage); health status (morbidity, vaccination status and coverage), water and sanitation, other indicators (such as population displacement, shelter conditions, mortality, HIV and AIDS, etc.); food security (access to food, availability of food, utilisation of food, copying strategies). A list of “core” indicators relating to the key drivers/determinants of malnutrition and their interpretation for response planning is provided in Table 1 of </w:t>
            </w:r>
            <w:hyperlink r:id="rId48" w:history="1">
              <w:r w:rsidRPr="006B0E8F">
                <w:rPr>
                  <w:rStyle w:val="Hyperlink"/>
                  <w:rFonts w:ascii="Arial" w:hAnsi="Arial" w:cs="Arial"/>
                  <w:iCs/>
                  <w:sz w:val="18"/>
                  <w:szCs w:val="18"/>
                  <w:lang w:val="en-CA"/>
                </w:rPr>
                <w:t>Nutrition Humanitarian Needs Analysis Guidance</w:t>
              </w:r>
            </w:hyperlink>
            <w:r w:rsidRPr="006B0E8F">
              <w:rPr>
                <w:rFonts w:ascii="Arial" w:hAnsi="Arial" w:cs="Arial"/>
                <w:iCs/>
                <w:sz w:val="18"/>
                <w:szCs w:val="18"/>
                <w:lang w:val="en-CA"/>
              </w:rPr>
              <w:t xml:space="preserve">. It is important to review which indicators for the key contributing factors are available, missing and needed, and then agree with other Clusters/Sectors on which nutrition-sensitive indicators will be included in their assessment methodologies and the rationale for their collection and use. This would avoid any duplication of efforts.  </w:t>
            </w:r>
          </w:p>
          <w:p w14:paraId="05F3EE46" w14:textId="53F87F46" w:rsidR="00D65F7F" w:rsidRPr="0032223F"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6B0E8F">
              <w:rPr>
                <w:rFonts w:ascii="Arial" w:hAnsi="Arial" w:cs="Arial"/>
                <w:iCs/>
                <w:sz w:val="18"/>
                <w:szCs w:val="18"/>
              </w:rPr>
              <w:t>Generally</w:t>
            </w:r>
            <w:r>
              <w:rPr>
                <w:rFonts w:ascii="Arial" w:hAnsi="Arial" w:cs="Arial"/>
                <w:iCs/>
                <w:sz w:val="18"/>
                <w:szCs w:val="18"/>
              </w:rPr>
              <w:t>,</w:t>
            </w:r>
            <w:r w:rsidRPr="006B0E8F">
              <w:rPr>
                <w:rFonts w:ascii="Arial" w:hAnsi="Arial" w:cs="Arial"/>
                <w:iCs/>
                <w:sz w:val="18"/>
                <w:szCs w:val="18"/>
              </w:rPr>
              <w:t xml:space="preserve"> the other relevant sectors will lead their data collection unless a population-based representative survey like a MICS or DHS has been recently conducted which would contain all information from across sectors. There are also </w:t>
            </w:r>
            <w:hyperlink r:id="rId49" w:history="1">
              <w:r w:rsidRPr="006B0E8F">
                <w:rPr>
                  <w:rStyle w:val="Hyperlink"/>
                  <w:rFonts w:ascii="Arial" w:hAnsi="Arial" w:cs="Arial"/>
                  <w:iCs/>
                  <w:sz w:val="18"/>
                  <w:szCs w:val="18"/>
                </w:rPr>
                <w:t>coordinated assessments</w:t>
              </w:r>
            </w:hyperlink>
            <w:r w:rsidRPr="006B0E8F">
              <w:rPr>
                <w:rFonts w:ascii="Arial" w:hAnsi="Arial" w:cs="Arial"/>
                <w:iCs/>
                <w:sz w:val="18"/>
                <w:szCs w:val="18"/>
              </w:rPr>
              <w:t xml:space="preserve"> (also considered as Joint or Multi-sectoral); these occur when assessments are planned and carried out in partnership with other humanitarian actors, with the results shared for the benefit of the broader humanitarian community to identify the needs of the affected population of a humanitarian situation. As part of the humanitarian programme cycle, additional guidance on more </w:t>
            </w:r>
            <w:hyperlink r:id="rId50" w:history="1">
              <w:r w:rsidRPr="006B0E8F">
                <w:rPr>
                  <w:rStyle w:val="Hyperlink"/>
                  <w:rFonts w:ascii="Arial" w:hAnsi="Arial" w:cs="Arial"/>
                  <w:iCs/>
                  <w:sz w:val="18"/>
                  <w:szCs w:val="18"/>
                </w:rPr>
                <w:t>general needs assessments</w:t>
              </w:r>
            </w:hyperlink>
            <w:r w:rsidRPr="006B0E8F">
              <w:rPr>
                <w:rFonts w:ascii="Arial" w:hAnsi="Arial" w:cs="Arial"/>
                <w:iCs/>
                <w:sz w:val="18"/>
                <w:szCs w:val="18"/>
              </w:rPr>
              <w:t xml:space="preserve"> beyond nutrition may include indicators from different sectors, in addition to those provided in the </w:t>
            </w:r>
            <w:hyperlink r:id="rId51" w:history="1">
              <w:r w:rsidRPr="006B0E8F">
                <w:rPr>
                  <w:rStyle w:val="Hyperlink"/>
                  <w:rFonts w:ascii="Arial" w:hAnsi="Arial" w:cs="Arial"/>
                  <w:iCs/>
                  <w:sz w:val="18"/>
                  <w:szCs w:val="18"/>
                </w:rPr>
                <w:t>Sphere guidelines</w:t>
              </w:r>
            </w:hyperlink>
            <w:r w:rsidRPr="006B0E8F">
              <w:rPr>
                <w:rFonts w:ascii="Arial" w:hAnsi="Arial" w:cs="Arial"/>
                <w:iCs/>
                <w:sz w:val="18"/>
                <w:szCs w:val="18"/>
              </w:rPr>
              <w:t xml:space="preserve">. Given the quality and training requirements for anthropometric surveys, these types of assessments are generally not used for nutrition indicators. </w:t>
            </w:r>
          </w:p>
        </w:tc>
      </w:tr>
      <w:tr w:rsidR="00D65F7F" w:rsidRPr="00D73CA5" w14:paraId="53B87F33" w14:textId="77777777" w:rsidTr="0068350A">
        <w:trPr>
          <w:trHeight w:val="324"/>
        </w:trPr>
        <w:tc>
          <w:tcPr>
            <w:tcW w:w="3539" w:type="dxa"/>
            <w:shd w:val="clear" w:color="auto" w:fill="auto"/>
          </w:tcPr>
          <w:p w14:paraId="2C0B842C" w14:textId="2A400206"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b/>
                <w:bCs/>
                <w:iCs/>
                <w:sz w:val="18"/>
                <w:szCs w:val="18"/>
              </w:rPr>
              <w:t xml:space="preserve">B.3 </w:t>
            </w:r>
            <w:r w:rsidRPr="005273A8">
              <w:rPr>
                <w:rFonts w:ascii="Arial" w:hAnsi="Arial" w:cs="Arial"/>
                <w:b/>
                <w:bCs/>
                <w:iCs/>
                <w:sz w:val="18"/>
                <w:szCs w:val="18"/>
              </w:rPr>
              <w:t>Need assessment and analysis</w:t>
            </w:r>
            <w:r>
              <w:rPr>
                <w:rFonts w:ascii="Arial" w:hAnsi="Arial" w:cs="Arial"/>
                <w:iCs/>
                <w:sz w:val="18"/>
                <w:szCs w:val="18"/>
              </w:rPr>
              <w:t xml:space="preserve">: </w:t>
            </w:r>
            <w:r w:rsidRPr="00CC236A">
              <w:rPr>
                <w:rFonts w:ascii="Arial" w:hAnsi="Arial" w:cs="Arial"/>
                <w:iCs/>
                <w:sz w:val="18"/>
                <w:szCs w:val="18"/>
              </w:rPr>
              <w:t xml:space="preserve">At the onset of and during </w:t>
            </w:r>
            <w:r>
              <w:rPr>
                <w:rFonts w:ascii="Arial" w:hAnsi="Arial" w:cs="Arial"/>
                <w:iCs/>
                <w:sz w:val="18"/>
                <w:szCs w:val="18"/>
              </w:rPr>
              <w:t>an</w:t>
            </w:r>
            <w:r w:rsidRPr="00CC236A">
              <w:rPr>
                <w:rFonts w:ascii="Arial" w:hAnsi="Arial" w:cs="Arial"/>
                <w:iCs/>
                <w:sz w:val="18"/>
                <w:szCs w:val="18"/>
              </w:rPr>
              <w:t xml:space="preserve"> emergency response</w:t>
            </w:r>
          </w:p>
        </w:tc>
        <w:tc>
          <w:tcPr>
            <w:tcW w:w="11340" w:type="dxa"/>
            <w:shd w:val="clear" w:color="auto" w:fill="auto"/>
          </w:tcPr>
          <w:p w14:paraId="494E1640" w14:textId="60E3B83F" w:rsidR="00D65F7F" w:rsidRPr="00D73CA5" w:rsidRDefault="00D65F7F" w:rsidP="00D65F7F">
            <w:pPr>
              <w:spacing w:after="60"/>
              <w:rPr>
                <w:rFonts w:ascii="Arial" w:eastAsia="Arial Unicode MS" w:hAnsi="Arial" w:cs="Arial"/>
                <w:color w:val="000000"/>
                <w:sz w:val="18"/>
                <w:szCs w:val="18"/>
                <w:u w:color="000000"/>
                <w:bdr w:val="nil"/>
                <w:lang w:eastAsia="fr-FR"/>
              </w:rPr>
            </w:pPr>
            <w:r w:rsidRPr="005D323C">
              <w:rPr>
                <w:rFonts w:ascii="Arial" w:eastAsia="Times New Roman" w:hAnsi="Arial" w:cs="Arial"/>
                <w:b/>
                <w:bCs/>
                <w:iCs/>
                <w:sz w:val="18"/>
                <w:szCs w:val="18"/>
                <w:lang w:eastAsia="fr-FR"/>
              </w:rPr>
              <w:t>DESCRIPTION</w:t>
            </w:r>
          </w:p>
        </w:tc>
      </w:tr>
      <w:tr w:rsidR="00D65F7F" w:rsidRPr="00D73CA5" w14:paraId="27729917" w14:textId="77777777" w:rsidTr="00655FDB">
        <w:trPr>
          <w:trHeight w:val="297"/>
        </w:trPr>
        <w:tc>
          <w:tcPr>
            <w:tcW w:w="3539" w:type="dxa"/>
            <w:shd w:val="clear" w:color="auto" w:fill="auto"/>
          </w:tcPr>
          <w:p w14:paraId="1BA58186" w14:textId="0451AC1F" w:rsidR="00D65F7F" w:rsidRPr="007240AA" w:rsidRDefault="00D65F7F" w:rsidP="00D65F7F">
            <w:pPr>
              <w:pStyle w:val="ListParagraph"/>
              <w:numPr>
                <w:ilvl w:val="0"/>
                <w:numId w:val="17"/>
              </w:numPr>
              <w:rPr>
                <w:rFonts w:ascii="Arial" w:hAnsi="Arial" w:cs="Arial"/>
                <w:iCs/>
                <w:sz w:val="18"/>
                <w:szCs w:val="18"/>
              </w:rPr>
            </w:pPr>
            <w:r>
              <w:rPr>
                <w:rFonts w:ascii="Arial" w:hAnsi="Arial" w:cs="Arial"/>
                <w:iCs/>
                <w:sz w:val="18"/>
                <w:szCs w:val="18"/>
              </w:rPr>
              <w:t>B3.1 Is</w:t>
            </w:r>
            <w:r w:rsidRPr="007240AA">
              <w:rPr>
                <w:rFonts w:ascii="Arial" w:hAnsi="Arial" w:cs="Arial"/>
                <w:iCs/>
                <w:sz w:val="18"/>
                <w:szCs w:val="18"/>
              </w:rPr>
              <w:t xml:space="preserve"> a quick secondary data review done? </w:t>
            </w:r>
          </w:p>
          <w:p w14:paraId="6837DB26" w14:textId="77777777" w:rsidR="00D65F7F" w:rsidRDefault="00D65F7F" w:rsidP="00D65F7F">
            <w:pPr>
              <w:pStyle w:val="ListParagraph"/>
              <w:ind w:left="360"/>
              <w:rPr>
                <w:rFonts w:ascii="Arial" w:eastAsia="Arial Unicode MS" w:hAnsi="Arial" w:cs="Arial"/>
                <w:color w:val="000000"/>
                <w:sz w:val="18"/>
                <w:szCs w:val="18"/>
                <w:u w:color="000000"/>
                <w:bdr w:val="nil"/>
                <w:lang w:eastAsia="fr-FR"/>
              </w:rPr>
            </w:pPr>
          </w:p>
        </w:tc>
        <w:tc>
          <w:tcPr>
            <w:tcW w:w="11340" w:type="dxa"/>
            <w:shd w:val="clear" w:color="auto" w:fill="auto"/>
          </w:tcPr>
          <w:p w14:paraId="41DF1D44" w14:textId="63621958"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iCs/>
                <w:sz w:val="18"/>
                <w:szCs w:val="18"/>
              </w:rPr>
              <w:t>T</w:t>
            </w:r>
            <w:r w:rsidRPr="007240AA">
              <w:rPr>
                <w:rFonts w:ascii="Arial" w:hAnsi="Arial" w:cs="Arial"/>
                <w:iCs/>
                <w:sz w:val="18"/>
                <w:szCs w:val="18"/>
              </w:rPr>
              <w:t xml:space="preserve">o better understand the context prior to the emergency, it is important to review the </w:t>
            </w:r>
            <w:r>
              <w:rPr>
                <w:rFonts w:ascii="Arial" w:hAnsi="Arial" w:cs="Arial"/>
                <w:iCs/>
                <w:sz w:val="18"/>
                <w:szCs w:val="18"/>
              </w:rPr>
              <w:t xml:space="preserve">available </w:t>
            </w:r>
            <w:r w:rsidRPr="007240AA">
              <w:rPr>
                <w:rFonts w:ascii="Arial" w:hAnsi="Arial" w:cs="Arial"/>
                <w:iCs/>
                <w:sz w:val="18"/>
                <w:szCs w:val="18"/>
              </w:rPr>
              <w:t>nutrition data prior to the emergency</w:t>
            </w:r>
            <w:r>
              <w:rPr>
                <w:rFonts w:ascii="Arial" w:hAnsi="Arial" w:cs="Arial"/>
                <w:iCs/>
                <w:sz w:val="18"/>
                <w:szCs w:val="18"/>
              </w:rPr>
              <w:t xml:space="preserve">, in addition to the impact on contributing factors. Trend analysis based on secondary data from past emergencies (if similar in nature) is useful for response planning and appeals serving as the </w:t>
            </w:r>
            <w:r w:rsidRPr="00D73CA5">
              <w:rPr>
                <w:rStyle w:val="normaltextrun"/>
                <w:rFonts w:ascii="Arial" w:eastAsiaTheme="majorEastAsia" w:hAnsi="Arial" w:cs="Arial"/>
                <w:sz w:val="18"/>
                <w:szCs w:val="18"/>
                <w:lang w:val="en-GB"/>
              </w:rPr>
              <w:t xml:space="preserve">baselines for monitoring and evaluating the response. </w:t>
            </w:r>
            <w:r>
              <w:rPr>
                <w:rFonts w:ascii="Arial" w:hAnsi="Arial" w:cs="Arial"/>
                <w:iCs/>
                <w:sz w:val="18"/>
                <w:szCs w:val="18"/>
              </w:rPr>
              <w:t xml:space="preserve"> </w:t>
            </w:r>
          </w:p>
        </w:tc>
      </w:tr>
      <w:tr w:rsidR="00D65F7F" w:rsidRPr="00D73CA5" w14:paraId="761861A7" w14:textId="77777777" w:rsidTr="00655FDB">
        <w:trPr>
          <w:trHeight w:val="297"/>
        </w:trPr>
        <w:tc>
          <w:tcPr>
            <w:tcW w:w="3539" w:type="dxa"/>
            <w:shd w:val="clear" w:color="auto" w:fill="auto"/>
          </w:tcPr>
          <w:p w14:paraId="324EE465" w14:textId="6D46734C"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B3.2 Is there a plan for </w:t>
            </w:r>
            <w:r w:rsidRPr="005B7939">
              <w:rPr>
                <w:rFonts w:ascii="Arial" w:hAnsi="Arial" w:cs="Arial"/>
                <w:iCs/>
                <w:sz w:val="18"/>
                <w:szCs w:val="18"/>
              </w:rPr>
              <w:t xml:space="preserve">an initial rapid assessment that includes </w:t>
            </w:r>
            <w:r>
              <w:rPr>
                <w:rFonts w:ascii="Arial" w:hAnsi="Arial" w:cs="Arial"/>
                <w:iCs/>
                <w:sz w:val="18"/>
                <w:szCs w:val="18"/>
              </w:rPr>
              <w:t>nutrition indicators</w:t>
            </w:r>
            <w:r w:rsidRPr="005B7939">
              <w:rPr>
                <w:rFonts w:ascii="Arial" w:hAnsi="Arial" w:cs="Arial"/>
                <w:iCs/>
                <w:sz w:val="18"/>
                <w:szCs w:val="18"/>
              </w:rPr>
              <w:t xml:space="preserve"> in the first weeks and months following </w:t>
            </w:r>
            <w:r>
              <w:rPr>
                <w:rFonts w:ascii="Arial" w:hAnsi="Arial" w:cs="Arial"/>
                <w:iCs/>
                <w:sz w:val="18"/>
                <w:szCs w:val="18"/>
              </w:rPr>
              <w:t>an</w:t>
            </w:r>
            <w:r w:rsidRPr="005B7939">
              <w:rPr>
                <w:rFonts w:ascii="Arial" w:hAnsi="Arial" w:cs="Arial"/>
                <w:iCs/>
                <w:sz w:val="18"/>
                <w:szCs w:val="18"/>
              </w:rPr>
              <w:t xml:space="preserve"> </w:t>
            </w:r>
            <w:r>
              <w:rPr>
                <w:rFonts w:ascii="Arial" w:hAnsi="Arial" w:cs="Arial"/>
                <w:iCs/>
                <w:sz w:val="18"/>
                <w:szCs w:val="18"/>
              </w:rPr>
              <w:t>emergency</w:t>
            </w:r>
            <w:r w:rsidRPr="005B7939">
              <w:rPr>
                <w:rFonts w:ascii="Arial" w:hAnsi="Arial" w:cs="Arial"/>
                <w:iCs/>
                <w:sz w:val="18"/>
                <w:szCs w:val="18"/>
              </w:rPr>
              <w:t>?</w:t>
            </w:r>
          </w:p>
        </w:tc>
        <w:tc>
          <w:tcPr>
            <w:tcW w:w="11340" w:type="dxa"/>
            <w:shd w:val="clear" w:color="auto" w:fill="auto"/>
          </w:tcPr>
          <w:p w14:paraId="3BB30718" w14:textId="77777777" w:rsidR="00D65F7F" w:rsidRDefault="00D65F7F" w:rsidP="00D65F7F">
            <w:pPr>
              <w:pStyle w:val="paragraph"/>
              <w:spacing w:before="0" w:beforeAutospacing="0" w:after="60" w:afterAutospacing="0"/>
              <w:jc w:val="both"/>
              <w:textAlignment w:val="baseline"/>
              <w:rPr>
                <w:rStyle w:val="normaltextrun"/>
                <w:rFonts w:ascii="Arial" w:eastAsiaTheme="majorEastAsia" w:hAnsi="Arial" w:cs="Arial"/>
                <w:sz w:val="18"/>
                <w:szCs w:val="18"/>
                <w:lang w:val="en-CA"/>
              </w:rPr>
            </w:pPr>
            <w:r>
              <w:rPr>
                <w:rFonts w:ascii="Arial" w:hAnsi="Arial" w:cs="Arial"/>
                <w:iCs/>
                <w:sz w:val="18"/>
                <w:szCs w:val="18"/>
                <w:lang w:val="en-CA"/>
              </w:rPr>
              <w:t>Once life-saving activities have started their uptake following a rapid-onset emergency, the NIS TWG can explore the need to up-to-date nutrition information to guide decision-making and the response, generally around 2-3 months after the onset. Th</w:t>
            </w:r>
            <w:r w:rsidRPr="00572A88">
              <w:rPr>
                <w:rStyle w:val="normaltextrun"/>
                <w:rFonts w:ascii="Arial" w:eastAsiaTheme="majorEastAsia" w:hAnsi="Arial" w:cs="Arial"/>
                <w:sz w:val="18"/>
                <w:szCs w:val="18"/>
                <w:lang w:val="en-CA"/>
              </w:rPr>
              <w:t>e </w:t>
            </w:r>
            <w:hyperlink r:id="rId52" w:tgtFrame="_blank" w:history="1">
              <w:r w:rsidRPr="00572A88">
                <w:rPr>
                  <w:rStyle w:val="normaltextrun"/>
                  <w:rFonts w:ascii="Arial" w:eastAsiaTheme="majorEastAsia" w:hAnsi="Arial" w:cs="Arial"/>
                  <w:color w:val="0563C1"/>
                  <w:sz w:val="18"/>
                  <w:szCs w:val="18"/>
                  <w:u w:val="single"/>
                  <w:lang w:val="en-CA"/>
                </w:rPr>
                <w:t>Rapid SMART methodology</w:t>
              </w:r>
            </w:hyperlink>
            <w:r w:rsidRPr="00572A88">
              <w:rPr>
                <w:rStyle w:val="normaltextrun"/>
                <w:rFonts w:ascii="Arial" w:eastAsiaTheme="majorEastAsia" w:hAnsi="Arial" w:cs="Arial"/>
                <w:sz w:val="18"/>
                <w:szCs w:val="18"/>
                <w:lang w:val="en-CA"/>
              </w:rPr>
              <w:t> </w:t>
            </w:r>
            <w:r>
              <w:rPr>
                <w:rStyle w:val="normaltextrun"/>
                <w:rFonts w:ascii="Arial" w:eastAsiaTheme="majorEastAsia" w:hAnsi="Arial" w:cs="Arial"/>
                <w:sz w:val="18"/>
                <w:szCs w:val="18"/>
                <w:lang w:val="en-CA"/>
              </w:rPr>
              <w:t xml:space="preserve">would be one option to </w:t>
            </w:r>
            <w:r w:rsidRPr="00572A88">
              <w:rPr>
                <w:rStyle w:val="normaltextrun"/>
                <w:rFonts w:ascii="Arial" w:eastAsiaTheme="majorEastAsia" w:hAnsi="Arial" w:cs="Arial"/>
                <w:sz w:val="18"/>
                <w:szCs w:val="18"/>
                <w:lang w:val="en-CA"/>
              </w:rPr>
              <w:t>collecting key anthropometric information for small areas or populations in minimal time by smaller teams</w:t>
            </w:r>
            <w:r>
              <w:rPr>
                <w:rStyle w:val="normaltextrun"/>
                <w:rFonts w:ascii="Arial" w:eastAsiaTheme="majorEastAsia" w:hAnsi="Arial" w:cs="Arial"/>
                <w:sz w:val="18"/>
                <w:szCs w:val="18"/>
                <w:lang w:val="en-CA"/>
              </w:rPr>
              <w:t xml:space="preserve">, yet it is only limited to anthropometry and in some instances, mortality as well. If information is required on </w:t>
            </w:r>
            <w:r w:rsidRPr="005E3224">
              <w:rPr>
                <w:rStyle w:val="normaltextrun"/>
                <w:rFonts w:ascii="Arial" w:eastAsiaTheme="majorEastAsia" w:hAnsi="Arial" w:cs="Arial"/>
                <w:sz w:val="18"/>
                <w:szCs w:val="18"/>
                <w:lang w:val="en-CA"/>
              </w:rPr>
              <w:t>IYCF-E practices</w:t>
            </w:r>
            <w:r>
              <w:rPr>
                <w:rStyle w:val="normaltextrun"/>
                <w:rFonts w:ascii="Arial" w:eastAsiaTheme="majorEastAsia" w:hAnsi="Arial" w:cs="Arial"/>
                <w:sz w:val="18"/>
                <w:szCs w:val="18"/>
                <w:lang w:val="en-CA"/>
              </w:rPr>
              <w:t xml:space="preserve"> (or using </w:t>
            </w:r>
            <w:hyperlink r:id="rId53" w:anchor="assessingtheneed" w:history="1">
              <w:r w:rsidRPr="005E3224">
                <w:rPr>
                  <w:rStyle w:val="Hyperlink"/>
                  <w:rFonts w:ascii="Arial" w:eastAsiaTheme="majorEastAsia" w:hAnsi="Arial" w:cs="Arial"/>
                  <w:sz w:val="18"/>
                  <w:szCs w:val="18"/>
                  <w:lang w:val="en-CA"/>
                </w:rPr>
                <w:t>an IYCF-E rapid assessment</w:t>
              </w:r>
            </w:hyperlink>
            <w:r>
              <w:rPr>
                <w:rStyle w:val="normaltextrun"/>
                <w:rFonts w:ascii="Arial" w:eastAsiaTheme="majorEastAsia" w:hAnsi="Arial" w:cs="Arial"/>
                <w:sz w:val="18"/>
                <w:szCs w:val="18"/>
                <w:lang w:val="en-CA"/>
              </w:rPr>
              <w:t xml:space="preserve">) and contributing factors, then a survey following </w:t>
            </w:r>
            <w:r w:rsidRPr="00572A88">
              <w:rPr>
                <w:rStyle w:val="normaltextrun"/>
                <w:rFonts w:ascii="Arial" w:eastAsiaTheme="majorEastAsia" w:hAnsi="Arial" w:cs="Arial"/>
                <w:sz w:val="18"/>
                <w:szCs w:val="18"/>
                <w:lang w:val="en-CA"/>
              </w:rPr>
              <w:t>the standard </w:t>
            </w:r>
            <w:hyperlink r:id="rId54" w:tgtFrame="_blank" w:history="1">
              <w:r w:rsidRPr="00572A88">
                <w:rPr>
                  <w:rStyle w:val="normaltextrun"/>
                  <w:rFonts w:ascii="Arial" w:eastAsiaTheme="majorEastAsia" w:hAnsi="Arial" w:cs="Arial"/>
                  <w:color w:val="0563C1"/>
                  <w:sz w:val="18"/>
                  <w:szCs w:val="18"/>
                  <w:u w:val="single"/>
                  <w:lang w:val="en-CA"/>
                </w:rPr>
                <w:t>SMART methodology</w:t>
              </w:r>
            </w:hyperlink>
            <w:r w:rsidRPr="00572A88">
              <w:rPr>
                <w:rStyle w:val="normaltextrun"/>
                <w:rFonts w:ascii="Arial" w:eastAsiaTheme="majorEastAsia" w:hAnsi="Arial" w:cs="Arial"/>
                <w:sz w:val="18"/>
                <w:szCs w:val="18"/>
                <w:lang w:val="en-CA"/>
              </w:rPr>
              <w:t> </w:t>
            </w:r>
            <w:r>
              <w:rPr>
                <w:rStyle w:val="normaltextrun"/>
                <w:rFonts w:ascii="Arial" w:eastAsiaTheme="majorEastAsia" w:hAnsi="Arial" w:cs="Arial"/>
                <w:sz w:val="18"/>
                <w:szCs w:val="18"/>
                <w:lang w:val="en-CA"/>
              </w:rPr>
              <w:t xml:space="preserve">would be more appropriate. </w:t>
            </w:r>
          </w:p>
          <w:p w14:paraId="179CD15C" w14:textId="5E23F983" w:rsidR="00D65F7F" w:rsidRPr="00D73CA5" w:rsidRDefault="00D65F7F" w:rsidP="00D65F7F">
            <w:pPr>
              <w:spacing w:after="60"/>
              <w:rPr>
                <w:rFonts w:ascii="Arial" w:eastAsia="Arial Unicode MS" w:hAnsi="Arial" w:cs="Arial"/>
                <w:color w:val="000000"/>
                <w:sz w:val="18"/>
                <w:szCs w:val="18"/>
                <w:u w:color="000000"/>
                <w:bdr w:val="nil"/>
                <w:lang w:eastAsia="fr-FR"/>
              </w:rPr>
            </w:pPr>
            <w:r>
              <w:rPr>
                <w:rStyle w:val="normaltextrun"/>
                <w:rFonts w:ascii="Arial" w:eastAsiaTheme="majorEastAsia" w:hAnsi="Arial" w:cs="Arial"/>
                <w:sz w:val="18"/>
                <w:szCs w:val="18"/>
              </w:rPr>
              <w:t xml:space="preserve">The NIS TWG should liaise with </w:t>
            </w:r>
            <w:r w:rsidRPr="00572A88">
              <w:rPr>
                <w:rStyle w:val="normaltextrun"/>
                <w:rFonts w:ascii="Arial" w:eastAsiaTheme="majorEastAsia" w:hAnsi="Arial" w:cs="Arial"/>
                <w:sz w:val="18"/>
                <w:szCs w:val="18"/>
              </w:rPr>
              <w:t>the Nutrition Cluster partners</w:t>
            </w:r>
            <w:r>
              <w:rPr>
                <w:rStyle w:val="normaltextrun"/>
                <w:rFonts w:ascii="Arial" w:eastAsiaTheme="majorEastAsia" w:hAnsi="Arial" w:cs="Arial"/>
                <w:sz w:val="18"/>
                <w:szCs w:val="18"/>
              </w:rPr>
              <w:t xml:space="preserve"> and the local government</w:t>
            </w:r>
            <w:r w:rsidRPr="00572A88">
              <w:rPr>
                <w:rStyle w:val="normaltextrun"/>
                <w:rFonts w:ascii="Arial" w:eastAsiaTheme="majorEastAsia" w:hAnsi="Arial" w:cs="Arial"/>
                <w:sz w:val="18"/>
                <w:szCs w:val="18"/>
              </w:rPr>
              <w:t xml:space="preserve"> </w:t>
            </w:r>
            <w:r>
              <w:rPr>
                <w:rStyle w:val="normaltextrun"/>
                <w:rFonts w:ascii="Arial" w:eastAsiaTheme="majorEastAsia" w:hAnsi="Arial" w:cs="Arial"/>
                <w:sz w:val="18"/>
                <w:szCs w:val="18"/>
              </w:rPr>
              <w:t xml:space="preserve">to determine the survey timeline, resources, and priority areas. This consensus should be discussed shared with </w:t>
            </w:r>
            <w:r w:rsidRPr="00361A01">
              <w:rPr>
                <w:rFonts w:ascii="Arial" w:hAnsi="Arial" w:cs="Arial"/>
                <w:iCs/>
                <w:sz w:val="18"/>
                <w:szCs w:val="18"/>
              </w:rPr>
              <w:t xml:space="preserve">other Clusters/Sectors </w:t>
            </w:r>
            <w:r>
              <w:rPr>
                <w:rFonts w:ascii="Arial" w:hAnsi="Arial" w:cs="Arial"/>
                <w:iCs/>
                <w:sz w:val="18"/>
                <w:szCs w:val="18"/>
              </w:rPr>
              <w:t>in case key</w:t>
            </w:r>
            <w:r w:rsidRPr="00361A01">
              <w:rPr>
                <w:rFonts w:ascii="Arial" w:hAnsi="Arial" w:cs="Arial"/>
                <w:iCs/>
                <w:sz w:val="18"/>
                <w:szCs w:val="18"/>
              </w:rPr>
              <w:t xml:space="preserve"> nutrition-sensitive indicators </w:t>
            </w:r>
            <w:r>
              <w:rPr>
                <w:rFonts w:ascii="Arial" w:hAnsi="Arial" w:cs="Arial"/>
                <w:iCs/>
                <w:sz w:val="18"/>
                <w:szCs w:val="18"/>
              </w:rPr>
              <w:t>can also be included in this assessment</w:t>
            </w:r>
            <w:r w:rsidRPr="00361A01">
              <w:rPr>
                <w:rFonts w:ascii="Arial" w:hAnsi="Arial" w:cs="Arial"/>
                <w:iCs/>
                <w:sz w:val="18"/>
                <w:szCs w:val="18"/>
              </w:rPr>
              <w:t xml:space="preserve">. </w:t>
            </w:r>
            <w:r>
              <w:rPr>
                <w:rFonts w:ascii="Arial" w:hAnsi="Arial" w:cs="Arial"/>
                <w:iCs/>
                <w:sz w:val="18"/>
                <w:szCs w:val="18"/>
              </w:rPr>
              <w:t xml:space="preserve">This would </w:t>
            </w:r>
            <w:r w:rsidRPr="00361A01">
              <w:rPr>
                <w:rFonts w:ascii="Arial" w:hAnsi="Arial" w:cs="Arial"/>
                <w:iCs/>
                <w:sz w:val="18"/>
                <w:szCs w:val="18"/>
              </w:rPr>
              <w:t xml:space="preserve">avoid any duplication of efforts.  </w:t>
            </w:r>
          </w:p>
        </w:tc>
      </w:tr>
      <w:tr w:rsidR="00D65F7F" w:rsidRPr="00D73CA5" w14:paraId="641E2739" w14:textId="77777777" w:rsidTr="00655FDB">
        <w:trPr>
          <w:trHeight w:val="297"/>
        </w:trPr>
        <w:tc>
          <w:tcPr>
            <w:tcW w:w="3539" w:type="dxa"/>
            <w:shd w:val="clear" w:color="auto" w:fill="auto"/>
          </w:tcPr>
          <w:p w14:paraId="5D2A86C9" w14:textId="5C7B578B" w:rsidR="00D65F7F" w:rsidRDefault="00D65F7F" w:rsidP="00D65F7F">
            <w:pPr>
              <w:pStyle w:val="ListParagraph"/>
              <w:numPr>
                <w:ilvl w:val="0"/>
                <w:numId w:val="16"/>
              </w:numPr>
              <w:rPr>
                <w:rFonts w:ascii="Arial" w:eastAsia="Arial Unicode MS" w:hAnsi="Arial" w:cs="Arial"/>
                <w:color w:val="000000"/>
                <w:sz w:val="18"/>
                <w:szCs w:val="18"/>
                <w:u w:color="000000"/>
                <w:bdr w:val="nil"/>
                <w:lang w:eastAsia="fr-FR"/>
              </w:rPr>
            </w:pPr>
            <w:r>
              <w:rPr>
                <w:rFonts w:ascii="Arial" w:hAnsi="Arial" w:cs="Arial"/>
                <w:iCs/>
                <w:sz w:val="18"/>
                <w:szCs w:val="18"/>
              </w:rPr>
              <w:t xml:space="preserve">B3.3 </w:t>
            </w:r>
            <w:r w:rsidRPr="00E60E52">
              <w:rPr>
                <w:rFonts w:ascii="Arial" w:hAnsi="Arial" w:cs="Arial"/>
                <w:iCs/>
                <w:sz w:val="18"/>
                <w:szCs w:val="18"/>
              </w:rPr>
              <w:t>Are communities consulted and involved in the assessment of needs?</w:t>
            </w:r>
          </w:p>
        </w:tc>
        <w:tc>
          <w:tcPr>
            <w:tcW w:w="11340" w:type="dxa"/>
            <w:shd w:val="clear" w:color="auto" w:fill="auto"/>
          </w:tcPr>
          <w:p w14:paraId="4381C2E2" w14:textId="081FDF0F"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iCs/>
                <w:sz w:val="18"/>
                <w:szCs w:val="18"/>
              </w:rPr>
              <w:t>It is important to c</w:t>
            </w:r>
            <w:r w:rsidRPr="00E60E52">
              <w:rPr>
                <w:rFonts w:ascii="Arial" w:hAnsi="Arial" w:cs="Arial"/>
                <w:iCs/>
                <w:sz w:val="18"/>
                <w:szCs w:val="18"/>
              </w:rPr>
              <w:t xml:space="preserve">onsider </w:t>
            </w:r>
            <w:hyperlink r:id="rId55" w:history="1">
              <w:r w:rsidRPr="00E60E52">
                <w:rPr>
                  <w:rStyle w:val="Hyperlink"/>
                  <w:rFonts w:ascii="Arial" w:hAnsi="Arial" w:cs="Arial"/>
                  <w:iCs/>
                  <w:sz w:val="18"/>
                  <w:szCs w:val="18"/>
                </w:rPr>
                <w:t>consultations</w:t>
              </w:r>
            </w:hyperlink>
            <w:r w:rsidRPr="00E60E52">
              <w:rPr>
                <w:rFonts w:ascii="Arial" w:hAnsi="Arial" w:cs="Arial"/>
                <w:iCs/>
                <w:sz w:val="18"/>
                <w:szCs w:val="18"/>
              </w:rPr>
              <w:t xml:space="preserve"> and other qualitative methods, such as focus group discussions, to obtain voices and opinions from the community, providing information on who is impacted differently and why</w:t>
            </w:r>
            <w:r>
              <w:rPr>
                <w:rFonts w:ascii="Arial" w:hAnsi="Arial" w:cs="Arial"/>
                <w:iCs/>
                <w:sz w:val="18"/>
                <w:szCs w:val="18"/>
              </w:rPr>
              <w:t xml:space="preserve">. </w:t>
            </w:r>
            <w:r w:rsidRPr="00E60E52">
              <w:rPr>
                <w:rFonts w:ascii="Arial" w:hAnsi="Arial" w:cs="Arial"/>
                <w:iCs/>
                <w:sz w:val="18"/>
                <w:szCs w:val="18"/>
              </w:rPr>
              <w:t>When reviewing primary data needs, the importance of sex, age, and disability disaggregated data</w:t>
            </w:r>
            <w:r>
              <w:rPr>
                <w:rFonts w:ascii="Arial" w:hAnsi="Arial" w:cs="Arial"/>
                <w:iCs/>
                <w:sz w:val="18"/>
                <w:szCs w:val="18"/>
              </w:rPr>
              <w:t xml:space="preserve"> also provides information on potential </w:t>
            </w:r>
            <w:r w:rsidRPr="00E60E52">
              <w:rPr>
                <w:rFonts w:ascii="Arial" w:hAnsi="Arial" w:cs="Arial"/>
                <w:iCs/>
                <w:sz w:val="18"/>
                <w:szCs w:val="18"/>
              </w:rPr>
              <w:t xml:space="preserve">gender-based barriers and gender norms that may negatively impact on nutrition outcomes. </w:t>
            </w:r>
          </w:p>
        </w:tc>
      </w:tr>
      <w:tr w:rsidR="00D65F7F" w:rsidRPr="0032223F" w14:paraId="7BEF3039" w14:textId="77777777" w:rsidTr="0097465B">
        <w:tc>
          <w:tcPr>
            <w:tcW w:w="14879" w:type="dxa"/>
            <w:gridSpan w:val="2"/>
            <w:shd w:val="clear" w:color="auto" w:fill="D9D9D9" w:themeFill="background1" w:themeFillShade="D9"/>
          </w:tcPr>
          <w:p w14:paraId="2A578DFF" w14:textId="494D3774" w:rsidR="00D65F7F" w:rsidRPr="0032223F" w:rsidRDefault="00D65F7F" w:rsidP="000E5640">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3" w:name="_Ref86075638"/>
            <w:r w:rsidRPr="003A4799">
              <w:rPr>
                <w:rFonts w:ascii="Arial" w:hAnsi="Arial" w:cs="Arial"/>
                <w:b/>
                <w:bCs/>
                <w:color w:val="000000" w:themeColor="text1"/>
                <w:sz w:val="18"/>
                <w:szCs w:val="18"/>
                <w:u w:color="E36C0A"/>
              </w:rPr>
              <w:lastRenderedPageBreak/>
              <w:t>Data Use</w:t>
            </w:r>
            <w:r>
              <w:rPr>
                <w:rFonts w:ascii="Arial" w:hAnsi="Arial" w:cs="Arial"/>
                <w:b/>
                <w:bCs/>
                <w:color w:val="000000" w:themeColor="text1"/>
                <w:sz w:val="18"/>
                <w:szCs w:val="18"/>
                <w:u w:color="E36C0A"/>
              </w:rPr>
              <w:t xml:space="preserve">, </w:t>
            </w:r>
            <w:r w:rsidRPr="003A4799">
              <w:rPr>
                <w:rFonts w:ascii="Arial" w:hAnsi="Arial" w:cs="Arial"/>
                <w:b/>
                <w:bCs/>
                <w:color w:val="000000" w:themeColor="text1"/>
                <w:sz w:val="18"/>
                <w:szCs w:val="18"/>
                <w:u w:color="E36C0A"/>
              </w:rPr>
              <w:t>Analysis, Dissemination</w:t>
            </w:r>
            <w:r>
              <w:rPr>
                <w:rFonts w:ascii="Arial" w:hAnsi="Arial" w:cs="Arial"/>
                <w:b/>
                <w:bCs/>
                <w:color w:val="000000" w:themeColor="text1"/>
                <w:sz w:val="18"/>
                <w:szCs w:val="18"/>
                <w:u w:color="E36C0A"/>
              </w:rPr>
              <w:t>,</w:t>
            </w:r>
            <w:r w:rsidRPr="003A4799">
              <w:rPr>
                <w:rFonts w:ascii="Arial" w:hAnsi="Arial" w:cs="Arial"/>
                <w:b/>
                <w:bCs/>
                <w:color w:val="000000" w:themeColor="text1"/>
                <w:sz w:val="18"/>
                <w:szCs w:val="18"/>
                <w:u w:color="E36C0A"/>
              </w:rPr>
              <w:t xml:space="preserve"> and Communication</w:t>
            </w:r>
            <w:bookmarkEnd w:id="3"/>
          </w:p>
        </w:tc>
      </w:tr>
      <w:tr w:rsidR="00D65F7F" w:rsidRPr="00D73CA5" w14:paraId="36D0FD80" w14:textId="77777777" w:rsidTr="00026B3D">
        <w:tc>
          <w:tcPr>
            <w:tcW w:w="14879" w:type="dxa"/>
            <w:gridSpan w:val="2"/>
            <w:shd w:val="clear" w:color="auto" w:fill="auto"/>
          </w:tcPr>
          <w:p w14:paraId="026D5135" w14:textId="769274E9" w:rsidR="00D65F7F" w:rsidRPr="00D73CA5" w:rsidRDefault="00D65F7F" w:rsidP="00294360">
            <w:pPr>
              <w:spacing w:after="60"/>
              <w:rPr>
                <w:rFonts w:ascii="Arial" w:eastAsia="Arial Unicode MS" w:hAnsi="Arial" w:cs="Arial"/>
                <w:color w:val="000000"/>
                <w:sz w:val="18"/>
                <w:szCs w:val="18"/>
                <w:u w:color="000000"/>
                <w:bdr w:val="nil"/>
                <w:lang w:eastAsia="fr-FR"/>
              </w:rPr>
            </w:pPr>
            <w:r>
              <w:rPr>
                <w:rFonts w:ascii="Arial" w:hAnsi="Arial" w:cs="Arial"/>
                <w:b/>
                <w:bCs/>
                <w:sz w:val="18"/>
                <w:szCs w:val="18"/>
              </w:rPr>
              <w:t>C.</w:t>
            </w:r>
            <w:r w:rsidR="00294360">
              <w:rPr>
                <w:rFonts w:ascii="Arial" w:hAnsi="Arial" w:cs="Arial"/>
                <w:b/>
                <w:bCs/>
                <w:sz w:val="18"/>
                <w:szCs w:val="18"/>
              </w:rPr>
              <w:t>1</w:t>
            </w:r>
            <w:r>
              <w:rPr>
                <w:rFonts w:ascii="Arial" w:hAnsi="Arial" w:cs="Arial"/>
                <w:b/>
                <w:bCs/>
                <w:sz w:val="18"/>
                <w:szCs w:val="18"/>
              </w:rPr>
              <w:t xml:space="preserve"> Data use and analysis</w:t>
            </w:r>
          </w:p>
        </w:tc>
      </w:tr>
      <w:tr w:rsidR="00D65F7F" w:rsidRPr="00D73CA5" w14:paraId="3B076158" w14:textId="77777777" w:rsidTr="00F74DBA">
        <w:tc>
          <w:tcPr>
            <w:tcW w:w="3539" w:type="dxa"/>
            <w:shd w:val="clear" w:color="auto" w:fill="auto"/>
          </w:tcPr>
          <w:p w14:paraId="33BEEEA6" w14:textId="70996E13" w:rsidR="00D65F7F"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C.1.1 </w:t>
            </w:r>
            <w:r w:rsidRPr="003A4799">
              <w:rPr>
                <w:rFonts w:ascii="Arial" w:hAnsi="Arial" w:cs="Arial"/>
                <w:iCs/>
                <w:sz w:val="18"/>
                <w:szCs w:val="18"/>
              </w:rPr>
              <w:t>Has the relationship between weight-for-height and MUAC been analyzed for the context?</w:t>
            </w:r>
          </w:p>
        </w:tc>
        <w:tc>
          <w:tcPr>
            <w:tcW w:w="11340" w:type="dxa"/>
            <w:shd w:val="clear" w:color="auto" w:fill="auto"/>
          </w:tcPr>
          <w:p w14:paraId="3ED636F6" w14:textId="4920CEBB" w:rsidR="00D65F7F" w:rsidRPr="00172C4A" w:rsidRDefault="00D65F7F" w:rsidP="00D65F7F">
            <w:pPr>
              <w:rPr>
                <w:rStyle w:val="normaltextrun"/>
                <w:rFonts w:ascii="Arial" w:eastAsiaTheme="majorEastAsia" w:hAnsi="Arial" w:cs="Arial"/>
                <w:sz w:val="18"/>
                <w:szCs w:val="18"/>
              </w:rPr>
            </w:pPr>
            <w:r w:rsidRPr="00007870">
              <w:rPr>
                <w:rFonts w:ascii="Arial" w:hAnsi="Arial" w:cs="Arial"/>
                <w:iCs/>
                <w:sz w:val="18"/>
                <w:szCs w:val="18"/>
              </w:rPr>
              <w:t>Wasting can be independently diagnosed using weight-for-height, MUAC, and/or bilateral pitting edema. Although routine nutrition data may collect some or all these indicators, the relationship between weight-for-height and MUAC can vary significantly by context and have implications for nutrition programming, strategic planning, and the interpretation of assessment results. It is therefore recommended to analyze country-level wasting data to understand what proportion of children are wasted by weight-for-height-only, by MUAC-only, and by both criteria simultaneously.</w:t>
            </w:r>
          </w:p>
        </w:tc>
      </w:tr>
      <w:tr w:rsidR="00D65F7F" w:rsidRPr="00D73CA5" w14:paraId="15433A86" w14:textId="77777777" w:rsidTr="00F74DBA">
        <w:tc>
          <w:tcPr>
            <w:tcW w:w="3539" w:type="dxa"/>
            <w:shd w:val="clear" w:color="auto" w:fill="auto"/>
          </w:tcPr>
          <w:p w14:paraId="23A4D1FC" w14:textId="7241835C" w:rsidR="00D65F7F" w:rsidRPr="006432A9" w:rsidRDefault="00D65F7F" w:rsidP="00294360">
            <w:pPr>
              <w:pStyle w:val="ListParagraph"/>
              <w:numPr>
                <w:ilvl w:val="0"/>
                <w:numId w:val="16"/>
              </w:numPr>
              <w:rPr>
                <w:rFonts w:ascii="Arial" w:hAnsi="Arial" w:cs="Arial"/>
                <w:iCs/>
                <w:sz w:val="18"/>
                <w:szCs w:val="18"/>
              </w:rPr>
            </w:pPr>
            <w:r>
              <w:rPr>
                <w:rFonts w:ascii="Arial" w:hAnsi="Arial" w:cs="Arial"/>
                <w:iCs/>
                <w:sz w:val="18"/>
                <w:szCs w:val="18"/>
              </w:rPr>
              <w:t>C.</w:t>
            </w:r>
            <w:r w:rsidR="00294360">
              <w:rPr>
                <w:rFonts w:ascii="Arial" w:hAnsi="Arial" w:cs="Arial"/>
                <w:iCs/>
                <w:sz w:val="18"/>
                <w:szCs w:val="18"/>
              </w:rPr>
              <w:t>1</w:t>
            </w:r>
            <w:r>
              <w:rPr>
                <w:rFonts w:ascii="Arial" w:hAnsi="Arial" w:cs="Arial"/>
                <w:iCs/>
                <w:sz w:val="18"/>
                <w:szCs w:val="18"/>
              </w:rPr>
              <w:t xml:space="preserve">.1 </w:t>
            </w:r>
            <w:r w:rsidRPr="006432A9">
              <w:rPr>
                <w:rFonts w:ascii="Arial" w:hAnsi="Arial" w:cs="Arial"/>
                <w:iCs/>
                <w:sz w:val="18"/>
                <w:szCs w:val="18"/>
              </w:rPr>
              <w:t>Are qualitative indicators being used to monitor programming or are only output indicators used?</w:t>
            </w:r>
          </w:p>
        </w:tc>
        <w:tc>
          <w:tcPr>
            <w:tcW w:w="11340" w:type="dxa"/>
            <w:shd w:val="clear" w:color="auto" w:fill="auto"/>
          </w:tcPr>
          <w:p w14:paraId="4C3F1801" w14:textId="77777777" w:rsidR="00D65F7F" w:rsidRDefault="00D65F7F" w:rsidP="00D65F7F">
            <w:pPr>
              <w:rPr>
                <w:rFonts w:ascii="Arial" w:hAnsi="Arial" w:cs="Arial"/>
                <w:b/>
                <w:bCs/>
                <w:sz w:val="18"/>
                <w:szCs w:val="18"/>
              </w:rPr>
            </w:pPr>
            <w:r w:rsidRPr="00172C4A">
              <w:rPr>
                <w:rStyle w:val="normaltextrun"/>
                <w:rFonts w:ascii="Arial" w:eastAsiaTheme="majorEastAsia" w:hAnsi="Arial" w:cs="Arial"/>
                <w:sz w:val="18"/>
                <w:szCs w:val="18"/>
              </w:rPr>
              <w:t xml:space="preserve">It is recommended to </w:t>
            </w:r>
            <w:r w:rsidRPr="00172C4A">
              <w:rPr>
                <w:rFonts w:ascii="Arial" w:hAnsi="Arial" w:cs="Arial"/>
                <w:sz w:val="18"/>
                <w:szCs w:val="18"/>
              </w:rPr>
              <w:t xml:space="preserve">consult the extensive list of nutrition indicators that can be used for </w:t>
            </w:r>
            <w:hyperlink r:id="rId56" w:history="1">
              <w:r w:rsidRPr="00172C4A">
                <w:rPr>
                  <w:rStyle w:val="Hyperlink"/>
                  <w:rFonts w:ascii="Arial" w:hAnsi="Arial" w:cs="Arial"/>
                  <w:sz w:val="18"/>
                  <w:szCs w:val="18"/>
                </w:rPr>
                <w:t>programming performance or monitoring purposes</w:t>
              </w:r>
            </w:hyperlink>
            <w:r w:rsidRPr="00172C4A">
              <w:rPr>
                <w:rStyle w:val="Hyperlink"/>
                <w:rFonts w:ascii="Arial" w:hAnsi="Arial" w:cs="Arial"/>
                <w:sz w:val="18"/>
                <w:szCs w:val="18"/>
              </w:rPr>
              <w:t xml:space="preserve"> </w:t>
            </w:r>
            <w:r w:rsidRPr="00172C4A">
              <w:rPr>
                <w:rStyle w:val="normaltextrun"/>
                <w:rFonts w:ascii="Arial" w:eastAsiaTheme="majorEastAsia" w:hAnsi="Arial" w:cs="Arial"/>
                <w:sz w:val="18"/>
                <w:szCs w:val="18"/>
              </w:rPr>
              <w:t>and ensure both quantitative and qualitative indicators</w:t>
            </w:r>
            <w:r>
              <w:rPr>
                <w:rStyle w:val="normaltextrun"/>
                <w:rFonts w:ascii="Arial" w:eastAsiaTheme="majorEastAsia" w:hAnsi="Arial" w:cs="Arial"/>
                <w:sz w:val="18"/>
                <w:szCs w:val="18"/>
              </w:rPr>
              <w:t xml:space="preserve"> are being considered for regular monitoring.</w:t>
            </w:r>
          </w:p>
          <w:p w14:paraId="05186E11" w14:textId="77777777" w:rsidR="00D65F7F" w:rsidRPr="00172C4A" w:rsidRDefault="00D65F7F" w:rsidP="00D65F7F">
            <w:pPr>
              <w:rPr>
                <w:rStyle w:val="normaltextrun"/>
                <w:rFonts w:ascii="Arial" w:eastAsiaTheme="majorEastAsia" w:hAnsi="Arial" w:cs="Arial"/>
                <w:sz w:val="18"/>
                <w:szCs w:val="18"/>
              </w:rPr>
            </w:pPr>
          </w:p>
        </w:tc>
      </w:tr>
      <w:tr w:rsidR="00D65F7F" w:rsidRPr="00795F43" w14:paraId="5A572303" w14:textId="77777777" w:rsidTr="0068350A">
        <w:tc>
          <w:tcPr>
            <w:tcW w:w="3539" w:type="dxa"/>
            <w:shd w:val="clear" w:color="auto" w:fill="auto"/>
          </w:tcPr>
          <w:p w14:paraId="67499E5B" w14:textId="5D992514" w:rsidR="00D65F7F" w:rsidRPr="00795F43" w:rsidRDefault="00D65F7F" w:rsidP="00294360">
            <w:pPr>
              <w:spacing w:after="60"/>
              <w:rPr>
                <w:rStyle w:val="normaltextrun"/>
                <w:rFonts w:ascii="Arial" w:eastAsiaTheme="majorEastAsia" w:hAnsi="Arial" w:cs="Arial"/>
                <w:b/>
                <w:sz w:val="18"/>
                <w:szCs w:val="18"/>
              </w:rPr>
            </w:pPr>
            <w:r>
              <w:rPr>
                <w:rFonts w:ascii="Arial" w:hAnsi="Arial" w:cs="Arial"/>
                <w:b/>
                <w:iCs/>
                <w:sz w:val="18"/>
                <w:szCs w:val="18"/>
              </w:rPr>
              <w:t>C.</w:t>
            </w:r>
            <w:r w:rsidR="00294360">
              <w:rPr>
                <w:rFonts w:ascii="Arial" w:hAnsi="Arial" w:cs="Arial"/>
                <w:b/>
                <w:iCs/>
                <w:sz w:val="18"/>
                <w:szCs w:val="18"/>
              </w:rPr>
              <w:t>2</w:t>
            </w:r>
            <w:r>
              <w:rPr>
                <w:rFonts w:ascii="Arial" w:hAnsi="Arial" w:cs="Arial"/>
                <w:b/>
                <w:iCs/>
                <w:sz w:val="18"/>
                <w:szCs w:val="18"/>
              </w:rPr>
              <w:t xml:space="preserve"> </w:t>
            </w:r>
            <w:r w:rsidRPr="00795F43">
              <w:rPr>
                <w:rFonts w:ascii="Arial" w:hAnsi="Arial" w:cs="Arial"/>
                <w:b/>
                <w:iCs/>
                <w:sz w:val="18"/>
                <w:szCs w:val="18"/>
              </w:rPr>
              <w:t>Dissemination</w:t>
            </w:r>
            <w:r>
              <w:rPr>
                <w:rFonts w:ascii="Arial" w:hAnsi="Arial" w:cs="Arial"/>
                <w:b/>
                <w:iCs/>
                <w:sz w:val="18"/>
                <w:szCs w:val="18"/>
              </w:rPr>
              <w:t xml:space="preserve"> and communication</w:t>
            </w:r>
          </w:p>
        </w:tc>
        <w:tc>
          <w:tcPr>
            <w:tcW w:w="11340" w:type="dxa"/>
            <w:shd w:val="clear" w:color="auto" w:fill="auto"/>
          </w:tcPr>
          <w:p w14:paraId="2E85B400" w14:textId="7B8FE61B" w:rsidR="00D65F7F" w:rsidRPr="00795F43" w:rsidRDefault="00D65F7F" w:rsidP="00D65F7F">
            <w:pPr>
              <w:spacing w:after="60"/>
              <w:rPr>
                <w:rStyle w:val="normaltextrun"/>
                <w:rFonts w:ascii="Arial" w:eastAsiaTheme="majorEastAsia" w:hAnsi="Arial" w:cs="Arial"/>
                <w:b/>
                <w:sz w:val="18"/>
                <w:szCs w:val="18"/>
              </w:rPr>
            </w:pPr>
            <w:r w:rsidRPr="005D323C">
              <w:rPr>
                <w:rFonts w:ascii="Arial" w:eastAsia="Times New Roman" w:hAnsi="Arial" w:cs="Arial"/>
                <w:b/>
                <w:bCs/>
                <w:iCs/>
                <w:sz w:val="18"/>
                <w:szCs w:val="18"/>
                <w:lang w:eastAsia="fr-FR"/>
              </w:rPr>
              <w:t>DESCRIPTION</w:t>
            </w:r>
          </w:p>
        </w:tc>
      </w:tr>
      <w:tr w:rsidR="00D65F7F" w:rsidRPr="00D73CA5" w14:paraId="28338DCE" w14:textId="77777777" w:rsidTr="00F74DBA">
        <w:tc>
          <w:tcPr>
            <w:tcW w:w="3539" w:type="dxa"/>
            <w:shd w:val="clear" w:color="auto" w:fill="auto"/>
          </w:tcPr>
          <w:p w14:paraId="0A99E788" w14:textId="3953601F" w:rsidR="00D65F7F" w:rsidRDefault="00D65F7F" w:rsidP="00294360">
            <w:pPr>
              <w:pStyle w:val="ListParagraph"/>
              <w:numPr>
                <w:ilvl w:val="0"/>
                <w:numId w:val="16"/>
              </w:numPr>
              <w:rPr>
                <w:rFonts w:ascii="Arial" w:hAnsi="Arial" w:cs="Arial"/>
                <w:b/>
                <w:bCs/>
                <w:sz w:val="18"/>
                <w:szCs w:val="18"/>
              </w:rPr>
            </w:pPr>
            <w:r>
              <w:rPr>
                <w:rFonts w:ascii="Arial" w:hAnsi="Arial" w:cs="Arial"/>
                <w:iCs/>
                <w:sz w:val="18"/>
                <w:szCs w:val="18"/>
              </w:rPr>
              <w:t>C.</w:t>
            </w:r>
            <w:r w:rsidR="00294360">
              <w:rPr>
                <w:rFonts w:ascii="Arial" w:hAnsi="Arial" w:cs="Arial"/>
                <w:iCs/>
                <w:sz w:val="18"/>
                <w:szCs w:val="18"/>
              </w:rPr>
              <w:t>2</w:t>
            </w:r>
            <w:r>
              <w:rPr>
                <w:rFonts w:ascii="Arial" w:hAnsi="Arial" w:cs="Arial"/>
                <w:iCs/>
                <w:sz w:val="18"/>
                <w:szCs w:val="18"/>
              </w:rPr>
              <w:t xml:space="preserve">.1 </w:t>
            </w:r>
            <w:r w:rsidRPr="006432A9">
              <w:rPr>
                <w:rFonts w:ascii="Arial" w:hAnsi="Arial" w:cs="Arial"/>
                <w:iCs/>
                <w:sz w:val="18"/>
                <w:szCs w:val="18"/>
              </w:rPr>
              <w:t>Is reporting timely? Is the database/repository updated regularly?</w:t>
            </w:r>
          </w:p>
        </w:tc>
        <w:tc>
          <w:tcPr>
            <w:tcW w:w="11340" w:type="dxa"/>
            <w:shd w:val="clear" w:color="auto" w:fill="auto"/>
          </w:tcPr>
          <w:p w14:paraId="4D53F039" w14:textId="50E263FA" w:rsidR="00D65F7F" w:rsidRPr="00D73CA5" w:rsidRDefault="00D65F7F" w:rsidP="00D65F7F">
            <w:pPr>
              <w:spacing w:after="60"/>
              <w:rPr>
                <w:rFonts w:ascii="Arial" w:eastAsia="Arial Unicode MS" w:hAnsi="Arial" w:cs="Arial"/>
                <w:color w:val="000000"/>
                <w:sz w:val="18"/>
                <w:szCs w:val="18"/>
                <w:u w:color="000000"/>
                <w:bdr w:val="nil"/>
                <w:lang w:eastAsia="fr-FR"/>
              </w:rPr>
            </w:pPr>
            <w:r>
              <w:rPr>
                <w:rStyle w:val="normaltextrun"/>
                <w:rFonts w:ascii="Arial" w:eastAsiaTheme="majorEastAsia" w:hAnsi="Arial" w:cs="Arial"/>
                <w:sz w:val="18"/>
                <w:szCs w:val="18"/>
              </w:rPr>
              <w:t xml:space="preserve">For reporting, the </w:t>
            </w:r>
            <w:hyperlink r:id="rId57" w:history="1">
              <w:r w:rsidRPr="00172C4A">
                <w:rPr>
                  <w:rStyle w:val="Hyperlink"/>
                  <w:rFonts w:ascii="Arial" w:eastAsiaTheme="majorEastAsia" w:hAnsi="Arial" w:cs="Arial"/>
                  <w:sz w:val="18"/>
                  <w:szCs w:val="18"/>
                </w:rPr>
                <w:t>Humanitarian Response Website</w:t>
              </w:r>
            </w:hyperlink>
            <w:r>
              <w:rPr>
                <w:rStyle w:val="normaltextrun"/>
                <w:rFonts w:ascii="Arial" w:eastAsiaTheme="majorEastAsia" w:hAnsi="Arial" w:cs="Arial"/>
                <w:sz w:val="18"/>
                <w:szCs w:val="18"/>
              </w:rPr>
              <w:t xml:space="preserve"> </w:t>
            </w:r>
            <w:r w:rsidRPr="008653CA">
              <w:rPr>
                <w:rStyle w:val="normaltextrun"/>
                <w:rFonts w:ascii="Arial" w:eastAsiaTheme="majorEastAsia" w:hAnsi="Arial" w:cs="Arial"/>
                <w:sz w:val="18"/>
                <w:szCs w:val="18"/>
              </w:rPr>
              <w:t>is an aid to self reflect on how timely the collective reporting is and whether the current reporting</w:t>
            </w:r>
            <w:r>
              <w:rPr>
                <w:rStyle w:val="normaltextrun"/>
                <w:rFonts w:ascii="Arial" w:eastAsiaTheme="majorEastAsia" w:hAnsi="Arial" w:cs="Arial"/>
                <w:sz w:val="18"/>
                <w:szCs w:val="18"/>
              </w:rPr>
              <w:t>.</w:t>
            </w:r>
          </w:p>
        </w:tc>
      </w:tr>
      <w:tr w:rsidR="00D65F7F" w:rsidRPr="00D73CA5" w14:paraId="3515AB01" w14:textId="77777777" w:rsidTr="00F74DBA">
        <w:tc>
          <w:tcPr>
            <w:tcW w:w="3539" w:type="dxa"/>
            <w:shd w:val="clear" w:color="auto" w:fill="auto"/>
          </w:tcPr>
          <w:p w14:paraId="3167BE21" w14:textId="3720F6B3" w:rsidR="00D65F7F" w:rsidRDefault="00D65F7F" w:rsidP="00294360">
            <w:pPr>
              <w:pStyle w:val="ListParagraph"/>
              <w:numPr>
                <w:ilvl w:val="0"/>
                <w:numId w:val="16"/>
              </w:numPr>
              <w:rPr>
                <w:rFonts w:ascii="Arial" w:hAnsi="Arial" w:cs="Arial"/>
                <w:b/>
                <w:bCs/>
                <w:sz w:val="18"/>
                <w:szCs w:val="18"/>
              </w:rPr>
            </w:pPr>
            <w:r>
              <w:rPr>
                <w:rFonts w:ascii="Arial" w:hAnsi="Arial" w:cs="Arial"/>
                <w:iCs/>
                <w:sz w:val="18"/>
                <w:szCs w:val="18"/>
              </w:rPr>
              <w:t>C.</w:t>
            </w:r>
            <w:r w:rsidR="00294360">
              <w:rPr>
                <w:rFonts w:ascii="Arial" w:hAnsi="Arial" w:cs="Arial"/>
                <w:iCs/>
                <w:sz w:val="18"/>
                <w:szCs w:val="18"/>
              </w:rPr>
              <w:t>2</w:t>
            </w:r>
            <w:r>
              <w:rPr>
                <w:rFonts w:ascii="Arial" w:hAnsi="Arial" w:cs="Arial"/>
                <w:iCs/>
                <w:sz w:val="18"/>
                <w:szCs w:val="18"/>
              </w:rPr>
              <w:t xml:space="preserve">.2 </w:t>
            </w:r>
            <w:r w:rsidRPr="00D73CA5">
              <w:rPr>
                <w:rFonts w:ascii="Arial" w:hAnsi="Arial" w:cs="Arial"/>
                <w:iCs/>
                <w:sz w:val="18"/>
                <w:szCs w:val="18"/>
              </w:rPr>
              <w:t xml:space="preserve">Is </w:t>
            </w:r>
            <w:r>
              <w:rPr>
                <w:rFonts w:ascii="Arial" w:hAnsi="Arial" w:cs="Arial"/>
                <w:iCs/>
                <w:sz w:val="18"/>
                <w:szCs w:val="18"/>
              </w:rPr>
              <w:t xml:space="preserve">nutrition data consolidated into a centralized repository </w:t>
            </w:r>
            <w:r w:rsidRPr="00D73CA5">
              <w:rPr>
                <w:rFonts w:ascii="Arial" w:hAnsi="Arial" w:cs="Arial"/>
                <w:iCs/>
                <w:sz w:val="18"/>
                <w:szCs w:val="18"/>
              </w:rPr>
              <w:t xml:space="preserve">and does </w:t>
            </w:r>
            <w:r>
              <w:rPr>
                <w:rFonts w:ascii="Arial" w:hAnsi="Arial" w:cs="Arial"/>
                <w:iCs/>
                <w:sz w:val="18"/>
                <w:szCs w:val="18"/>
              </w:rPr>
              <w:t>it</w:t>
            </w:r>
            <w:r w:rsidRPr="00D73CA5">
              <w:rPr>
                <w:rFonts w:ascii="Arial" w:hAnsi="Arial" w:cs="Arial"/>
                <w:iCs/>
                <w:sz w:val="18"/>
                <w:szCs w:val="18"/>
              </w:rPr>
              <w:t xml:space="preserve"> inform </w:t>
            </w:r>
            <w:r>
              <w:rPr>
                <w:rFonts w:ascii="Arial" w:hAnsi="Arial" w:cs="Arial"/>
                <w:iCs/>
                <w:sz w:val="18"/>
                <w:szCs w:val="18"/>
              </w:rPr>
              <w:t xml:space="preserve">early warning systems and </w:t>
            </w:r>
            <w:r w:rsidRPr="00D73CA5">
              <w:rPr>
                <w:rFonts w:ascii="Arial" w:hAnsi="Arial" w:cs="Arial"/>
                <w:iCs/>
                <w:sz w:val="18"/>
                <w:szCs w:val="18"/>
              </w:rPr>
              <w:t>program orientations?</w:t>
            </w:r>
          </w:p>
        </w:tc>
        <w:tc>
          <w:tcPr>
            <w:tcW w:w="11340" w:type="dxa"/>
            <w:shd w:val="clear" w:color="auto" w:fill="auto"/>
          </w:tcPr>
          <w:p w14:paraId="02E58105" w14:textId="77777777" w:rsidR="00D65F7F" w:rsidRDefault="00D65F7F" w:rsidP="00D65F7F">
            <w:pPr>
              <w:pStyle w:val="paragraph"/>
              <w:spacing w:before="0" w:beforeAutospacing="0" w:after="60" w:afterAutospacing="0"/>
              <w:jc w:val="both"/>
              <w:textAlignment w:val="baseline"/>
              <w:rPr>
                <w:rFonts w:ascii="Arial" w:hAnsi="Arial" w:cs="Arial"/>
                <w:iCs/>
                <w:sz w:val="18"/>
                <w:szCs w:val="18"/>
                <w:lang w:val="en-CA"/>
              </w:rPr>
            </w:pPr>
            <w:r>
              <w:rPr>
                <w:rFonts w:ascii="Arial" w:hAnsi="Arial" w:cs="Arial"/>
                <w:iCs/>
                <w:sz w:val="18"/>
                <w:szCs w:val="18"/>
                <w:lang w:val="en-CA"/>
              </w:rPr>
              <w:t xml:space="preserve">The centralization of nutrition data at country-level coming from nutrition assessments and surveillance systems is critical to ensure effective utilization for decision-making and planning. </w:t>
            </w:r>
            <w:r w:rsidRPr="001A716E">
              <w:rPr>
                <w:rFonts w:ascii="Arial" w:hAnsi="Arial" w:cs="Arial"/>
                <w:iCs/>
                <w:sz w:val="18"/>
                <w:szCs w:val="18"/>
                <w:lang w:val="en-CA"/>
              </w:rPr>
              <w:t xml:space="preserve">It is a good practice to extract information from </w:t>
            </w:r>
            <w:r>
              <w:rPr>
                <w:rFonts w:ascii="Arial" w:hAnsi="Arial" w:cs="Arial"/>
                <w:iCs/>
                <w:sz w:val="18"/>
                <w:szCs w:val="18"/>
                <w:lang w:val="en-CA"/>
              </w:rPr>
              <w:t xml:space="preserve">survey </w:t>
            </w:r>
            <w:r w:rsidRPr="001A716E">
              <w:rPr>
                <w:rFonts w:ascii="Arial" w:hAnsi="Arial" w:cs="Arial"/>
                <w:iCs/>
                <w:sz w:val="18"/>
                <w:szCs w:val="18"/>
                <w:lang w:val="en-CA"/>
              </w:rPr>
              <w:t>reports to a database</w:t>
            </w:r>
            <w:r>
              <w:rPr>
                <w:rFonts w:ascii="Arial" w:hAnsi="Arial" w:cs="Arial"/>
                <w:iCs/>
                <w:sz w:val="18"/>
                <w:szCs w:val="18"/>
                <w:lang w:val="en-CA"/>
              </w:rPr>
              <w:t>/repository</w:t>
            </w:r>
            <w:r w:rsidRPr="001A716E">
              <w:rPr>
                <w:rFonts w:ascii="Arial" w:hAnsi="Arial" w:cs="Arial"/>
                <w:iCs/>
                <w:sz w:val="18"/>
                <w:szCs w:val="18"/>
                <w:lang w:val="en-CA"/>
              </w:rPr>
              <w:t xml:space="preserve"> in order to have a quick access to information</w:t>
            </w:r>
            <w:r>
              <w:rPr>
                <w:rFonts w:ascii="Arial" w:hAnsi="Arial" w:cs="Arial"/>
                <w:iCs/>
                <w:sz w:val="18"/>
                <w:szCs w:val="18"/>
                <w:lang w:val="en-CA"/>
              </w:rPr>
              <w:t xml:space="preserve"> </w:t>
            </w:r>
            <w:r w:rsidRPr="001A716E">
              <w:rPr>
                <w:rFonts w:ascii="Arial" w:hAnsi="Arial" w:cs="Arial"/>
                <w:iCs/>
                <w:sz w:val="18"/>
                <w:szCs w:val="18"/>
                <w:lang w:val="en-CA"/>
              </w:rPr>
              <w:t>immediately after the reports were validate</w:t>
            </w:r>
            <w:r>
              <w:rPr>
                <w:rFonts w:ascii="Arial" w:hAnsi="Arial" w:cs="Arial"/>
                <w:iCs/>
                <w:sz w:val="18"/>
                <w:szCs w:val="18"/>
                <w:lang w:val="en-CA"/>
              </w:rPr>
              <w:t xml:space="preserve">d – see example of an </w:t>
            </w:r>
            <w:hyperlink r:id="rId58" w:history="1">
              <w:r w:rsidRPr="001A716E">
                <w:rPr>
                  <w:rStyle w:val="Hyperlink"/>
                  <w:rFonts w:ascii="Arial" w:hAnsi="Arial" w:cs="Arial"/>
                  <w:iCs/>
                  <w:sz w:val="18"/>
                  <w:szCs w:val="18"/>
                  <w:lang w:val="en-CA"/>
                </w:rPr>
                <w:t>assessment database template</w:t>
              </w:r>
            </w:hyperlink>
            <w:r>
              <w:rPr>
                <w:rFonts w:ascii="Arial" w:hAnsi="Arial" w:cs="Arial"/>
                <w:iCs/>
                <w:sz w:val="18"/>
                <w:szCs w:val="18"/>
                <w:lang w:val="en-CA"/>
              </w:rPr>
              <w:t xml:space="preserve">. </w:t>
            </w:r>
            <w:r w:rsidRPr="001A716E">
              <w:rPr>
                <w:rFonts w:ascii="Arial" w:hAnsi="Arial" w:cs="Arial"/>
                <w:iCs/>
                <w:sz w:val="18"/>
                <w:szCs w:val="18"/>
                <w:lang w:val="en-CA"/>
              </w:rPr>
              <w:t>It is important to recognize that rarely an entirely new nutrition information system with an embedded data repository is necessary, rather to work with the elements that are already established</w:t>
            </w:r>
            <w:r>
              <w:rPr>
                <w:rFonts w:ascii="Arial" w:hAnsi="Arial" w:cs="Arial"/>
                <w:iCs/>
                <w:sz w:val="18"/>
                <w:szCs w:val="18"/>
                <w:lang w:val="en-CA"/>
              </w:rPr>
              <w:t xml:space="preserve"> – for example, linking this database/repository with HMIS and related systems</w:t>
            </w:r>
            <w:r w:rsidRPr="001A716E">
              <w:rPr>
                <w:rFonts w:ascii="Arial" w:hAnsi="Arial" w:cs="Arial"/>
                <w:iCs/>
                <w:sz w:val="18"/>
                <w:szCs w:val="18"/>
                <w:lang w:val="en-CA"/>
              </w:rPr>
              <w:t xml:space="preserve">. </w:t>
            </w:r>
          </w:p>
          <w:p w14:paraId="73F5BB0C" w14:textId="39933D1C" w:rsidR="00D65F7F" w:rsidRPr="00D73CA5" w:rsidRDefault="00D65F7F" w:rsidP="00D65F7F">
            <w:pPr>
              <w:spacing w:after="60"/>
              <w:rPr>
                <w:rFonts w:ascii="Arial" w:eastAsia="Arial Unicode MS" w:hAnsi="Arial" w:cs="Arial"/>
                <w:color w:val="000000"/>
                <w:sz w:val="18"/>
                <w:szCs w:val="18"/>
                <w:u w:color="000000"/>
                <w:bdr w:val="nil"/>
                <w:lang w:eastAsia="fr-FR"/>
              </w:rPr>
            </w:pPr>
            <w:r w:rsidRPr="001A716E">
              <w:rPr>
                <w:rFonts w:ascii="Arial" w:hAnsi="Arial" w:cs="Arial"/>
                <w:iCs/>
                <w:sz w:val="18"/>
                <w:szCs w:val="18"/>
              </w:rPr>
              <w:t xml:space="preserve">Issues, such as where the </w:t>
            </w:r>
            <w:r>
              <w:rPr>
                <w:rFonts w:ascii="Arial" w:hAnsi="Arial" w:cs="Arial"/>
                <w:iCs/>
                <w:sz w:val="18"/>
                <w:szCs w:val="18"/>
              </w:rPr>
              <w:t>database/repository</w:t>
            </w:r>
            <w:r w:rsidRPr="001A716E">
              <w:rPr>
                <w:rFonts w:ascii="Arial" w:hAnsi="Arial" w:cs="Arial"/>
                <w:iCs/>
                <w:sz w:val="18"/>
                <w:szCs w:val="18"/>
              </w:rPr>
              <w:t xml:space="preserve"> should be located and how it links with existing early warning systems or health information systems, also need to be considered in terms of who ultimately makes the decisions about the analysis of the information and who determines the appropriate response. The data currently being collected may not be “perfect” for all the nutrition information needs identified but it is important to assess whether it is still useful and “good enough” for meeting information needs that were prioritized. The challenge for many </w:t>
            </w:r>
            <w:r>
              <w:rPr>
                <w:rFonts w:ascii="Arial" w:hAnsi="Arial" w:cs="Arial"/>
                <w:iCs/>
                <w:sz w:val="18"/>
                <w:szCs w:val="18"/>
              </w:rPr>
              <w:t xml:space="preserve">nutrition </w:t>
            </w:r>
            <w:r w:rsidRPr="001A716E">
              <w:rPr>
                <w:rFonts w:ascii="Arial" w:hAnsi="Arial" w:cs="Arial"/>
                <w:iCs/>
                <w:sz w:val="18"/>
                <w:szCs w:val="18"/>
              </w:rPr>
              <w:t xml:space="preserve">information systems is that they rely on a range of information sources that cut across several government ministries including health, agriculture and education while the Bureau of Statistics may have the mandate to deal with data collection in the country. </w:t>
            </w:r>
            <w:r>
              <w:rPr>
                <w:rFonts w:ascii="Arial" w:hAnsi="Arial" w:cs="Arial"/>
                <w:iCs/>
                <w:sz w:val="18"/>
                <w:szCs w:val="18"/>
              </w:rPr>
              <w:t>The continuation of adequate financial resourcing and skilled, committed staff is pivotal to ensure the nutrition database/repository</w:t>
            </w:r>
            <w:r w:rsidRPr="001A716E">
              <w:rPr>
                <w:rFonts w:ascii="Arial" w:hAnsi="Arial" w:cs="Arial"/>
                <w:iCs/>
                <w:sz w:val="18"/>
                <w:szCs w:val="18"/>
              </w:rPr>
              <w:t xml:space="preserve"> proves to be effective and sensitive to monitoring </w:t>
            </w:r>
            <w:r>
              <w:rPr>
                <w:rFonts w:ascii="Arial" w:hAnsi="Arial" w:cs="Arial"/>
                <w:iCs/>
                <w:sz w:val="18"/>
                <w:szCs w:val="18"/>
              </w:rPr>
              <w:t xml:space="preserve">trends and </w:t>
            </w:r>
            <w:r w:rsidRPr="001A716E">
              <w:rPr>
                <w:rFonts w:ascii="Arial" w:hAnsi="Arial" w:cs="Arial"/>
                <w:iCs/>
                <w:sz w:val="18"/>
                <w:szCs w:val="18"/>
              </w:rPr>
              <w:t>change over time</w:t>
            </w:r>
            <w:r>
              <w:rPr>
                <w:rFonts w:ascii="Arial" w:hAnsi="Arial" w:cs="Arial"/>
                <w:iCs/>
                <w:sz w:val="18"/>
                <w:szCs w:val="18"/>
              </w:rPr>
              <w:t xml:space="preserve"> given contextual factors, such a seasonality or the nature of a given shock. Certain </w:t>
            </w:r>
            <w:r w:rsidRPr="001A716E">
              <w:rPr>
                <w:rFonts w:ascii="Arial" w:hAnsi="Arial" w:cs="Arial"/>
                <w:iCs/>
                <w:sz w:val="18"/>
                <w:szCs w:val="18"/>
              </w:rPr>
              <w:t>indicators, such as wasting, can change quickly over time in a rapid-onset emergency while others, such as stunting</w:t>
            </w:r>
            <w:r>
              <w:rPr>
                <w:rFonts w:ascii="Arial" w:hAnsi="Arial" w:cs="Arial"/>
                <w:iCs/>
                <w:sz w:val="18"/>
                <w:szCs w:val="18"/>
              </w:rPr>
              <w:t xml:space="preserve"> or contributing factors</w:t>
            </w:r>
            <w:r w:rsidRPr="001A716E">
              <w:rPr>
                <w:rFonts w:ascii="Arial" w:hAnsi="Arial" w:cs="Arial"/>
                <w:iCs/>
                <w:sz w:val="18"/>
                <w:szCs w:val="18"/>
              </w:rPr>
              <w:t xml:space="preserve">, may take many months to change significantly. However, indicators may also be affected by a further shock, such as a new wave of displacement, so updated information may be necessary to fully understand the altered context and the risk factors. </w:t>
            </w:r>
            <w:r>
              <w:rPr>
                <w:rFonts w:ascii="Arial" w:hAnsi="Arial" w:cs="Arial"/>
                <w:iCs/>
                <w:sz w:val="18"/>
                <w:szCs w:val="18"/>
              </w:rPr>
              <w:t xml:space="preserve">Information </w:t>
            </w:r>
            <w:r w:rsidRPr="001A716E">
              <w:rPr>
                <w:rFonts w:ascii="Arial" w:hAnsi="Arial" w:cs="Arial"/>
                <w:iCs/>
                <w:sz w:val="18"/>
                <w:szCs w:val="18"/>
              </w:rPr>
              <w:t xml:space="preserve">provided by the </w:t>
            </w:r>
            <w:r>
              <w:rPr>
                <w:rFonts w:ascii="Arial" w:hAnsi="Arial" w:cs="Arial"/>
                <w:iCs/>
                <w:sz w:val="18"/>
                <w:szCs w:val="18"/>
              </w:rPr>
              <w:t>nutrition database/repository needs to be</w:t>
            </w:r>
            <w:r w:rsidRPr="001A716E">
              <w:rPr>
                <w:rFonts w:ascii="Arial" w:hAnsi="Arial" w:cs="Arial"/>
                <w:iCs/>
                <w:sz w:val="18"/>
                <w:szCs w:val="18"/>
              </w:rPr>
              <w:t xml:space="preserve"> easily translated into action and reports provide clear indication of where the nutritional problems lie, the scale of the problem and focus the attention of implementing partners on where the greatest needs are.</w:t>
            </w:r>
          </w:p>
        </w:tc>
      </w:tr>
      <w:tr w:rsidR="00D65F7F" w:rsidRPr="00D73CA5" w14:paraId="5DEA3806" w14:textId="77777777" w:rsidTr="00F74DBA">
        <w:tc>
          <w:tcPr>
            <w:tcW w:w="3539" w:type="dxa"/>
            <w:shd w:val="clear" w:color="auto" w:fill="auto"/>
          </w:tcPr>
          <w:p w14:paraId="6ED1A410" w14:textId="030F2A4D" w:rsidR="00D65F7F" w:rsidRPr="00F026B0" w:rsidRDefault="00D65F7F" w:rsidP="00294360">
            <w:pPr>
              <w:pStyle w:val="ListParagraph"/>
              <w:numPr>
                <w:ilvl w:val="0"/>
                <w:numId w:val="16"/>
              </w:numPr>
              <w:rPr>
                <w:rFonts w:ascii="Arial" w:hAnsi="Arial" w:cs="Arial"/>
                <w:iCs/>
                <w:sz w:val="18"/>
                <w:szCs w:val="18"/>
              </w:rPr>
            </w:pPr>
            <w:r>
              <w:rPr>
                <w:rFonts w:ascii="Arial" w:hAnsi="Arial" w:cs="Arial"/>
                <w:iCs/>
                <w:sz w:val="18"/>
                <w:szCs w:val="18"/>
              </w:rPr>
              <w:t>C.</w:t>
            </w:r>
            <w:r w:rsidR="00294360">
              <w:rPr>
                <w:rFonts w:ascii="Arial" w:hAnsi="Arial" w:cs="Arial"/>
                <w:iCs/>
                <w:sz w:val="18"/>
                <w:szCs w:val="18"/>
              </w:rPr>
              <w:t>2</w:t>
            </w:r>
            <w:r>
              <w:rPr>
                <w:rFonts w:ascii="Arial" w:hAnsi="Arial" w:cs="Arial"/>
                <w:iCs/>
                <w:sz w:val="18"/>
                <w:szCs w:val="18"/>
              </w:rPr>
              <w:t xml:space="preserve">.3 </w:t>
            </w:r>
            <w:r w:rsidRPr="00486AF3">
              <w:rPr>
                <w:rFonts w:ascii="Arial" w:hAnsi="Arial" w:cs="Arial"/>
                <w:iCs/>
                <w:sz w:val="18"/>
                <w:szCs w:val="18"/>
              </w:rPr>
              <w:t>Is the nutrition database/repository led by government</w:t>
            </w:r>
            <w:r>
              <w:rPr>
                <w:rFonts w:ascii="Arial" w:hAnsi="Arial" w:cs="Arial"/>
                <w:iCs/>
                <w:sz w:val="18"/>
                <w:szCs w:val="18"/>
              </w:rPr>
              <w:t>?</w:t>
            </w:r>
          </w:p>
        </w:tc>
        <w:tc>
          <w:tcPr>
            <w:tcW w:w="11340" w:type="dxa"/>
            <w:shd w:val="clear" w:color="auto" w:fill="auto"/>
          </w:tcPr>
          <w:p w14:paraId="7B8FFD02" w14:textId="15078AF8" w:rsidR="00D65F7F" w:rsidRDefault="00D65F7F" w:rsidP="00D65F7F">
            <w:pPr>
              <w:spacing w:after="60"/>
              <w:rPr>
                <w:rFonts w:ascii="Arial" w:eastAsia="Times New Roman" w:hAnsi="Arial" w:cs="Arial"/>
                <w:iCs/>
                <w:sz w:val="18"/>
                <w:szCs w:val="18"/>
                <w:lang w:eastAsia="fr-FR"/>
              </w:rPr>
            </w:pPr>
            <w:r w:rsidRPr="00486AF3">
              <w:rPr>
                <w:rFonts w:ascii="Arial" w:hAnsi="Arial" w:cs="Arial"/>
                <w:sz w:val="18"/>
                <w:szCs w:val="18"/>
              </w:rPr>
              <w:t xml:space="preserve">The engagement and commitment of national government is key to the success and sustainability of </w:t>
            </w:r>
            <w:r>
              <w:rPr>
                <w:rFonts w:ascii="Arial" w:hAnsi="Arial" w:cs="Arial"/>
                <w:sz w:val="18"/>
                <w:szCs w:val="18"/>
              </w:rPr>
              <w:t>the nutrition database/repository</w:t>
            </w:r>
            <w:r w:rsidRPr="00486AF3">
              <w:rPr>
                <w:rFonts w:ascii="Arial" w:hAnsi="Arial" w:cs="Arial"/>
                <w:sz w:val="18"/>
                <w:szCs w:val="18"/>
              </w:rPr>
              <w:t xml:space="preserve">. </w:t>
            </w:r>
            <w:r>
              <w:rPr>
                <w:rFonts w:ascii="Arial" w:hAnsi="Arial" w:cs="Arial"/>
                <w:sz w:val="18"/>
                <w:szCs w:val="18"/>
              </w:rPr>
              <w:t>A</w:t>
            </w:r>
            <w:r w:rsidRPr="00486AF3">
              <w:rPr>
                <w:rFonts w:ascii="Arial" w:hAnsi="Arial" w:cs="Arial"/>
                <w:sz w:val="18"/>
                <w:szCs w:val="18"/>
              </w:rPr>
              <w:t>ppropriate integration into government needs to be established and adequate funding acquired from the outset. This includes capacity building, resource planning, and policy support so that the nutrition information can continuously be</w:t>
            </w:r>
            <w:r>
              <w:rPr>
                <w:rFonts w:ascii="Arial" w:hAnsi="Arial" w:cs="Arial"/>
                <w:sz w:val="18"/>
                <w:szCs w:val="18"/>
              </w:rPr>
              <w:t xml:space="preserve"> </w:t>
            </w:r>
            <w:r w:rsidRPr="00486AF3">
              <w:rPr>
                <w:rFonts w:ascii="Arial" w:hAnsi="Arial" w:cs="Arial"/>
                <w:sz w:val="18"/>
                <w:szCs w:val="18"/>
              </w:rPr>
              <w:t>translated into action and reports provide clear indication of where the nutritional problems lie, the scale of the problem and focus the attention of implementing partners on where the greatest needs are.</w:t>
            </w:r>
            <w:r>
              <w:rPr>
                <w:rFonts w:ascii="Arial" w:hAnsi="Arial" w:cs="Arial"/>
                <w:sz w:val="18"/>
                <w:szCs w:val="18"/>
              </w:rPr>
              <w:t xml:space="preserve"> </w:t>
            </w:r>
            <w:r w:rsidRPr="00486AF3">
              <w:rPr>
                <w:rFonts w:ascii="Arial" w:hAnsi="Arial" w:cs="Arial"/>
                <w:sz w:val="18"/>
                <w:szCs w:val="18"/>
              </w:rPr>
              <w:t>If strong ownership or a technical centre cannot be established, over time a system may well be abandoned.</w:t>
            </w:r>
          </w:p>
        </w:tc>
      </w:tr>
      <w:tr w:rsidR="00D65F7F" w:rsidRPr="00D73CA5" w14:paraId="111245BC" w14:textId="77777777" w:rsidTr="00F74DBA">
        <w:tc>
          <w:tcPr>
            <w:tcW w:w="3539" w:type="dxa"/>
            <w:shd w:val="clear" w:color="auto" w:fill="auto"/>
          </w:tcPr>
          <w:p w14:paraId="357DFC62" w14:textId="7A6E55C0" w:rsidR="00D65F7F" w:rsidRDefault="00D65F7F" w:rsidP="00294360">
            <w:pPr>
              <w:pStyle w:val="ListParagraph"/>
              <w:numPr>
                <w:ilvl w:val="0"/>
                <w:numId w:val="16"/>
              </w:numPr>
              <w:rPr>
                <w:rFonts w:ascii="Arial" w:hAnsi="Arial" w:cs="Arial"/>
                <w:b/>
                <w:bCs/>
                <w:sz w:val="18"/>
                <w:szCs w:val="18"/>
              </w:rPr>
            </w:pPr>
            <w:r>
              <w:rPr>
                <w:rFonts w:ascii="Arial" w:hAnsi="Arial" w:cs="Arial"/>
                <w:iCs/>
                <w:sz w:val="18"/>
                <w:szCs w:val="18"/>
              </w:rPr>
              <w:t>C.</w:t>
            </w:r>
            <w:r w:rsidR="00294360">
              <w:rPr>
                <w:rFonts w:ascii="Arial" w:hAnsi="Arial" w:cs="Arial"/>
                <w:iCs/>
                <w:sz w:val="18"/>
                <w:szCs w:val="18"/>
              </w:rPr>
              <w:t>2</w:t>
            </w:r>
            <w:r>
              <w:rPr>
                <w:rFonts w:ascii="Arial" w:hAnsi="Arial" w:cs="Arial"/>
                <w:iCs/>
                <w:sz w:val="18"/>
                <w:szCs w:val="18"/>
              </w:rPr>
              <w:t xml:space="preserve">.4 </w:t>
            </w:r>
            <w:r w:rsidRPr="00F026B0">
              <w:rPr>
                <w:rFonts w:ascii="Arial" w:hAnsi="Arial" w:cs="Arial"/>
                <w:iCs/>
                <w:sz w:val="18"/>
                <w:szCs w:val="18"/>
              </w:rPr>
              <w:t xml:space="preserve">Is there a </w:t>
            </w:r>
            <w:r>
              <w:rPr>
                <w:rFonts w:ascii="Arial" w:hAnsi="Arial" w:cs="Arial"/>
                <w:iCs/>
                <w:sz w:val="18"/>
                <w:szCs w:val="18"/>
              </w:rPr>
              <w:t xml:space="preserve">communication plan to </w:t>
            </w:r>
            <w:r w:rsidRPr="00F026B0">
              <w:rPr>
                <w:rFonts w:ascii="Arial" w:hAnsi="Arial" w:cs="Arial"/>
                <w:iCs/>
                <w:sz w:val="18"/>
                <w:szCs w:val="18"/>
              </w:rPr>
              <w:t xml:space="preserve">alert communities/ enumeration </w:t>
            </w:r>
            <w:r w:rsidRPr="00F026B0">
              <w:rPr>
                <w:rFonts w:ascii="Arial" w:hAnsi="Arial" w:cs="Arial"/>
                <w:iCs/>
                <w:sz w:val="18"/>
                <w:szCs w:val="18"/>
              </w:rPr>
              <w:lastRenderedPageBreak/>
              <w:t>areas of any nutrition assessment plans?</w:t>
            </w:r>
          </w:p>
        </w:tc>
        <w:tc>
          <w:tcPr>
            <w:tcW w:w="11340" w:type="dxa"/>
            <w:shd w:val="clear" w:color="auto" w:fill="auto"/>
          </w:tcPr>
          <w:p w14:paraId="3D48131E" w14:textId="5344CD96"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eastAsia="Times New Roman" w:hAnsi="Arial" w:cs="Arial"/>
                <w:iCs/>
                <w:sz w:val="18"/>
                <w:szCs w:val="18"/>
                <w:lang w:eastAsia="fr-FR"/>
              </w:rPr>
              <w:lastRenderedPageBreak/>
              <w:t>A</w:t>
            </w:r>
            <w:r w:rsidRPr="00F026B0">
              <w:rPr>
                <w:rFonts w:ascii="Arial" w:eastAsia="Times New Roman" w:hAnsi="Arial" w:cs="Arial"/>
                <w:iCs/>
                <w:sz w:val="18"/>
                <w:szCs w:val="18"/>
                <w:lang w:eastAsia="fr-FR"/>
              </w:rPr>
              <w:t xml:space="preserve"> communication plan to alert communities/ enumeration areas</w:t>
            </w:r>
            <w:r>
              <w:rPr>
                <w:rFonts w:ascii="Arial" w:eastAsia="Times New Roman" w:hAnsi="Arial" w:cs="Arial"/>
                <w:iCs/>
                <w:sz w:val="18"/>
                <w:szCs w:val="18"/>
                <w:lang w:eastAsia="fr-FR"/>
              </w:rPr>
              <w:t xml:space="preserve"> is vital to have ready whenever primary data collection is required. It consists of widely disseminating the planned </w:t>
            </w:r>
            <w:r w:rsidRPr="00F026B0">
              <w:rPr>
                <w:rFonts w:ascii="Arial" w:eastAsia="Times New Roman" w:hAnsi="Arial" w:cs="Arial"/>
                <w:iCs/>
                <w:sz w:val="18"/>
                <w:szCs w:val="18"/>
                <w:lang w:eastAsia="fr-FR"/>
              </w:rPr>
              <w:t>date</w:t>
            </w:r>
            <w:r>
              <w:rPr>
                <w:rFonts w:ascii="Arial" w:eastAsia="Times New Roman" w:hAnsi="Arial" w:cs="Arial"/>
                <w:iCs/>
                <w:sz w:val="18"/>
                <w:szCs w:val="18"/>
                <w:lang w:eastAsia="fr-FR"/>
              </w:rPr>
              <w:t>s</w:t>
            </w:r>
            <w:r w:rsidRPr="00F026B0">
              <w:rPr>
                <w:rFonts w:ascii="Arial" w:eastAsia="Times New Roman" w:hAnsi="Arial" w:cs="Arial"/>
                <w:iCs/>
                <w:sz w:val="18"/>
                <w:szCs w:val="18"/>
                <w:lang w:eastAsia="fr-FR"/>
              </w:rPr>
              <w:t xml:space="preserve"> of data collection </w:t>
            </w:r>
            <w:r>
              <w:rPr>
                <w:rFonts w:ascii="Arial" w:eastAsia="Times New Roman" w:hAnsi="Arial" w:cs="Arial"/>
                <w:iCs/>
                <w:sz w:val="18"/>
                <w:szCs w:val="18"/>
                <w:lang w:eastAsia="fr-FR"/>
              </w:rPr>
              <w:t xml:space="preserve">(generally 2-3 weeks at sub-national level, and 1-2 months at national-level) </w:t>
            </w:r>
            <w:r w:rsidRPr="00F026B0">
              <w:rPr>
                <w:rFonts w:ascii="Arial" w:eastAsia="Times New Roman" w:hAnsi="Arial" w:cs="Arial"/>
                <w:iCs/>
                <w:sz w:val="18"/>
                <w:szCs w:val="18"/>
                <w:lang w:eastAsia="fr-FR"/>
              </w:rPr>
              <w:t>and request that households with</w:t>
            </w:r>
            <w:r>
              <w:rPr>
                <w:rFonts w:ascii="Arial" w:eastAsia="Times New Roman" w:hAnsi="Arial" w:cs="Arial"/>
                <w:iCs/>
                <w:sz w:val="18"/>
                <w:szCs w:val="18"/>
                <w:lang w:eastAsia="fr-FR"/>
              </w:rPr>
              <w:t xml:space="preserve"> target groups for the nutrition assessment </w:t>
            </w:r>
            <w:r w:rsidRPr="00F026B0">
              <w:rPr>
                <w:rFonts w:ascii="Arial" w:eastAsia="Times New Roman" w:hAnsi="Arial" w:cs="Arial"/>
                <w:iCs/>
                <w:sz w:val="18"/>
                <w:szCs w:val="18"/>
                <w:lang w:eastAsia="fr-FR"/>
              </w:rPr>
              <w:t xml:space="preserve">be available for interview. Surveys during planting or </w:t>
            </w:r>
            <w:r w:rsidRPr="00F026B0">
              <w:rPr>
                <w:rFonts w:ascii="Arial" w:eastAsia="Times New Roman" w:hAnsi="Arial" w:cs="Arial"/>
                <w:iCs/>
                <w:sz w:val="18"/>
                <w:szCs w:val="18"/>
                <w:lang w:eastAsia="fr-FR"/>
              </w:rPr>
              <w:lastRenderedPageBreak/>
              <w:t>harvest season may have very low response rates as few persons are at home. By communicating with the communities</w:t>
            </w:r>
            <w:r>
              <w:rPr>
                <w:rFonts w:ascii="Arial" w:eastAsia="Times New Roman" w:hAnsi="Arial" w:cs="Arial"/>
                <w:iCs/>
                <w:sz w:val="18"/>
                <w:szCs w:val="18"/>
                <w:lang w:eastAsia="fr-FR"/>
              </w:rPr>
              <w:t>”</w:t>
            </w:r>
            <w:r w:rsidRPr="00F026B0">
              <w:rPr>
                <w:rFonts w:ascii="Arial" w:eastAsia="Times New Roman" w:hAnsi="Arial" w:cs="Arial"/>
                <w:iCs/>
                <w:sz w:val="18"/>
                <w:szCs w:val="18"/>
                <w:lang w:eastAsia="fr-FR"/>
              </w:rPr>
              <w:t xml:space="preserve"> leaders of the selected enumeration areas before the date of data collection, it is possible to ensure high response rates.</w:t>
            </w:r>
            <w:r>
              <w:rPr>
                <w:rFonts w:ascii="Arial" w:eastAsia="Times New Roman" w:hAnsi="Arial" w:cs="Arial"/>
                <w:iCs/>
                <w:sz w:val="18"/>
                <w:szCs w:val="18"/>
                <w:lang w:eastAsia="fr-FR"/>
              </w:rPr>
              <w:t xml:space="preserve"> </w:t>
            </w:r>
          </w:p>
        </w:tc>
      </w:tr>
      <w:tr w:rsidR="00D65F7F" w:rsidRPr="00D73CA5" w14:paraId="59F43283" w14:textId="77777777" w:rsidTr="00F74DBA">
        <w:tc>
          <w:tcPr>
            <w:tcW w:w="3539" w:type="dxa"/>
            <w:shd w:val="clear" w:color="auto" w:fill="auto"/>
          </w:tcPr>
          <w:p w14:paraId="0509FCFD" w14:textId="2CF230E8" w:rsidR="00D65F7F" w:rsidRDefault="00D65F7F" w:rsidP="00294360">
            <w:pPr>
              <w:pStyle w:val="ListParagraph"/>
              <w:numPr>
                <w:ilvl w:val="0"/>
                <w:numId w:val="16"/>
              </w:numPr>
              <w:rPr>
                <w:rFonts w:ascii="Arial" w:hAnsi="Arial" w:cs="Arial"/>
                <w:b/>
                <w:bCs/>
                <w:sz w:val="18"/>
                <w:szCs w:val="18"/>
              </w:rPr>
            </w:pPr>
            <w:r>
              <w:rPr>
                <w:rFonts w:ascii="Arial" w:hAnsi="Arial" w:cs="Arial"/>
                <w:iCs/>
                <w:sz w:val="18"/>
                <w:szCs w:val="18"/>
              </w:rPr>
              <w:lastRenderedPageBreak/>
              <w:t>C.</w:t>
            </w:r>
            <w:r w:rsidR="00294360">
              <w:rPr>
                <w:rFonts w:ascii="Arial" w:hAnsi="Arial" w:cs="Arial"/>
                <w:iCs/>
                <w:sz w:val="18"/>
                <w:szCs w:val="18"/>
              </w:rPr>
              <w:t>2</w:t>
            </w:r>
            <w:r>
              <w:rPr>
                <w:rFonts w:ascii="Arial" w:hAnsi="Arial" w:cs="Arial"/>
                <w:iCs/>
                <w:sz w:val="18"/>
                <w:szCs w:val="18"/>
              </w:rPr>
              <w:t xml:space="preserve">.5 </w:t>
            </w:r>
            <w:r w:rsidRPr="00BF65C7">
              <w:rPr>
                <w:rFonts w:ascii="Arial" w:hAnsi="Arial" w:cs="Arial"/>
                <w:iCs/>
                <w:sz w:val="18"/>
                <w:szCs w:val="18"/>
              </w:rPr>
              <w:t xml:space="preserve">Is there a press release template on </w:t>
            </w:r>
            <w:r>
              <w:rPr>
                <w:rFonts w:ascii="Arial" w:hAnsi="Arial" w:cs="Arial"/>
                <w:iCs/>
                <w:sz w:val="18"/>
                <w:szCs w:val="18"/>
              </w:rPr>
              <w:t>nutrition assessments’ planning</w:t>
            </w:r>
            <w:r w:rsidRPr="00BF65C7">
              <w:rPr>
                <w:rFonts w:ascii="Arial" w:hAnsi="Arial" w:cs="Arial"/>
                <w:iCs/>
                <w:sz w:val="18"/>
                <w:szCs w:val="18"/>
              </w:rPr>
              <w:t xml:space="preserve"> </w:t>
            </w:r>
            <w:r>
              <w:rPr>
                <w:rFonts w:ascii="Arial" w:hAnsi="Arial" w:cs="Arial"/>
                <w:iCs/>
                <w:sz w:val="18"/>
                <w:szCs w:val="18"/>
              </w:rPr>
              <w:t>and results dissemination</w:t>
            </w:r>
            <w:r w:rsidRPr="00BF65C7">
              <w:rPr>
                <w:rFonts w:ascii="Arial" w:hAnsi="Arial" w:cs="Arial"/>
                <w:iCs/>
                <w:sz w:val="18"/>
                <w:szCs w:val="18"/>
              </w:rPr>
              <w:t>?</w:t>
            </w:r>
          </w:p>
        </w:tc>
        <w:tc>
          <w:tcPr>
            <w:tcW w:w="11340" w:type="dxa"/>
            <w:shd w:val="clear" w:color="auto" w:fill="auto"/>
          </w:tcPr>
          <w:p w14:paraId="55604091" w14:textId="77777777" w:rsidR="00D65F7F" w:rsidRDefault="00D65F7F" w:rsidP="00D65F7F">
            <w:pPr>
              <w:spacing w:after="60"/>
              <w:jc w:val="both"/>
              <w:rPr>
                <w:rFonts w:ascii="Arial" w:eastAsia="Times New Roman" w:hAnsi="Arial" w:cs="Arial"/>
                <w:iCs/>
                <w:sz w:val="18"/>
                <w:szCs w:val="18"/>
                <w:lang w:eastAsia="fr-FR"/>
              </w:rPr>
            </w:pPr>
            <w:r>
              <w:rPr>
                <w:rFonts w:ascii="Arial" w:eastAsia="Times New Roman" w:hAnsi="Arial" w:cs="Arial"/>
                <w:iCs/>
                <w:sz w:val="18"/>
                <w:szCs w:val="18"/>
                <w:lang w:eastAsia="fr-FR"/>
              </w:rPr>
              <w:t xml:space="preserve">Lack of clear information on the methodology and results of nutrition assessments may exacerbate delays or confusion during an emergency response. Preparing defined templates for planning protocols and 2-page preliminary survey results, as well as a press release for any upcoming assessments through the media (television, radio or written media) would facilitate the collaboration and awareness of all relevant stakeholders. A meeting between </w:t>
            </w:r>
            <w:r w:rsidRPr="00F026B0">
              <w:rPr>
                <w:rFonts w:ascii="Arial" w:eastAsia="Times New Roman" w:hAnsi="Arial" w:cs="Arial"/>
                <w:iCs/>
                <w:sz w:val="18"/>
                <w:szCs w:val="18"/>
                <w:lang w:eastAsia="fr-FR"/>
              </w:rPr>
              <w:t>the government and health authorities on the national and regional level, all staff of UNICEF and collaborating partners</w:t>
            </w:r>
            <w:r>
              <w:rPr>
                <w:rFonts w:ascii="Arial" w:eastAsia="Times New Roman" w:hAnsi="Arial" w:cs="Arial"/>
                <w:iCs/>
                <w:sz w:val="18"/>
                <w:szCs w:val="18"/>
                <w:lang w:eastAsia="fr-FR"/>
              </w:rPr>
              <w:t xml:space="preserve"> to discuss the presentation of any results and key messages would be useful as there are a variety of ways to present nutrition information depending on the method used. Key considerations include: </w:t>
            </w:r>
          </w:p>
          <w:p w14:paraId="6899DBB5" w14:textId="77777777" w:rsidR="00D65F7F" w:rsidRDefault="00D65F7F" w:rsidP="00D65F7F">
            <w:pPr>
              <w:pStyle w:val="ListParagraph"/>
              <w:numPr>
                <w:ilvl w:val="0"/>
                <w:numId w:val="19"/>
              </w:numPr>
              <w:spacing w:after="60"/>
              <w:jc w:val="both"/>
              <w:rPr>
                <w:rFonts w:ascii="Arial" w:eastAsia="Times New Roman" w:hAnsi="Arial" w:cs="Arial"/>
                <w:iCs/>
                <w:sz w:val="18"/>
                <w:szCs w:val="18"/>
                <w:lang w:eastAsia="fr-FR"/>
              </w:rPr>
            </w:pPr>
            <w:r w:rsidRPr="00B379BB">
              <w:rPr>
                <w:rFonts w:ascii="Arial" w:eastAsia="Times New Roman" w:hAnsi="Arial" w:cs="Arial"/>
                <w:iCs/>
                <w:sz w:val="18"/>
                <w:szCs w:val="18"/>
                <w:lang w:eastAsia="fr-FR"/>
              </w:rPr>
              <w:t>comparability with past data</w:t>
            </w:r>
            <w:r>
              <w:rPr>
                <w:rFonts w:ascii="Arial" w:eastAsia="Times New Roman" w:hAnsi="Arial" w:cs="Arial"/>
                <w:iCs/>
                <w:sz w:val="18"/>
                <w:szCs w:val="18"/>
                <w:lang w:eastAsia="fr-FR"/>
              </w:rPr>
              <w:t xml:space="preserve"> and trends.</w:t>
            </w:r>
            <w:r w:rsidRPr="00B379BB">
              <w:rPr>
                <w:rFonts w:ascii="Arial" w:eastAsia="Times New Roman" w:hAnsi="Arial" w:cs="Arial"/>
                <w:iCs/>
                <w:sz w:val="18"/>
                <w:szCs w:val="18"/>
                <w:lang w:eastAsia="fr-FR"/>
              </w:rPr>
              <w:t xml:space="preserve"> Numbers in isolation mean very little</w:t>
            </w:r>
            <w:r>
              <w:rPr>
                <w:rFonts w:ascii="Arial" w:eastAsia="Times New Roman" w:hAnsi="Arial" w:cs="Arial"/>
                <w:iCs/>
                <w:sz w:val="18"/>
                <w:szCs w:val="18"/>
                <w:lang w:eastAsia="fr-FR"/>
              </w:rPr>
              <w:t xml:space="preserve"> and i</w:t>
            </w:r>
            <w:r w:rsidRPr="00B379BB">
              <w:rPr>
                <w:rFonts w:ascii="Arial" w:eastAsia="Times New Roman" w:hAnsi="Arial" w:cs="Arial"/>
                <w:iCs/>
                <w:sz w:val="18"/>
                <w:szCs w:val="18"/>
                <w:lang w:eastAsia="fr-FR"/>
              </w:rPr>
              <w:t xml:space="preserve">n some cases the magnitude of change of </w:t>
            </w:r>
            <w:r>
              <w:rPr>
                <w:rFonts w:ascii="Arial" w:eastAsia="Times New Roman" w:hAnsi="Arial" w:cs="Arial"/>
                <w:iCs/>
                <w:sz w:val="18"/>
                <w:szCs w:val="18"/>
                <w:lang w:eastAsia="fr-FR"/>
              </w:rPr>
              <w:t xml:space="preserve">the levels of </w:t>
            </w:r>
            <w:r w:rsidRPr="00B379BB">
              <w:rPr>
                <w:rFonts w:ascii="Arial" w:eastAsia="Times New Roman" w:hAnsi="Arial" w:cs="Arial"/>
                <w:iCs/>
                <w:sz w:val="18"/>
                <w:szCs w:val="18"/>
                <w:lang w:eastAsia="fr-FR"/>
              </w:rPr>
              <w:t>acute malnutrition is more relevant than the actual prevalence</w:t>
            </w:r>
            <w:r>
              <w:rPr>
                <w:rFonts w:ascii="Arial" w:eastAsia="Times New Roman" w:hAnsi="Arial" w:cs="Arial"/>
                <w:iCs/>
                <w:sz w:val="18"/>
                <w:szCs w:val="18"/>
                <w:lang w:eastAsia="fr-FR"/>
              </w:rPr>
              <w:t>;</w:t>
            </w:r>
            <w:r w:rsidRPr="00B379BB">
              <w:rPr>
                <w:rFonts w:ascii="Arial" w:eastAsia="Times New Roman" w:hAnsi="Arial" w:cs="Arial"/>
                <w:iCs/>
                <w:sz w:val="18"/>
                <w:szCs w:val="18"/>
                <w:lang w:eastAsia="fr-FR"/>
              </w:rPr>
              <w:t xml:space="preserve"> </w:t>
            </w:r>
          </w:p>
          <w:p w14:paraId="718E9135" w14:textId="77777777" w:rsidR="00D65F7F" w:rsidRDefault="00D65F7F" w:rsidP="00D65F7F">
            <w:pPr>
              <w:pStyle w:val="ListParagraph"/>
              <w:numPr>
                <w:ilvl w:val="0"/>
                <w:numId w:val="19"/>
              </w:numPr>
              <w:spacing w:after="60"/>
              <w:jc w:val="both"/>
              <w:rPr>
                <w:rFonts w:ascii="Arial" w:eastAsia="Times New Roman" w:hAnsi="Arial" w:cs="Arial"/>
                <w:iCs/>
                <w:sz w:val="18"/>
                <w:szCs w:val="18"/>
                <w:lang w:eastAsia="fr-FR"/>
              </w:rPr>
            </w:pPr>
            <w:r>
              <w:rPr>
                <w:rFonts w:ascii="Arial" w:eastAsia="Times New Roman" w:hAnsi="Arial" w:cs="Arial"/>
                <w:iCs/>
                <w:sz w:val="18"/>
                <w:szCs w:val="18"/>
                <w:lang w:eastAsia="fr-FR"/>
              </w:rPr>
              <w:t>s</w:t>
            </w:r>
            <w:r w:rsidRPr="00B379BB">
              <w:rPr>
                <w:rFonts w:ascii="Arial" w:eastAsia="Times New Roman" w:hAnsi="Arial" w:cs="Arial"/>
                <w:iCs/>
                <w:sz w:val="18"/>
                <w:szCs w:val="18"/>
                <w:lang w:eastAsia="fr-FR"/>
              </w:rPr>
              <w:t>easonal interpretatio</w:t>
            </w:r>
            <w:r>
              <w:rPr>
                <w:rFonts w:ascii="Arial" w:eastAsia="Times New Roman" w:hAnsi="Arial" w:cs="Arial"/>
                <w:iCs/>
                <w:sz w:val="18"/>
                <w:szCs w:val="18"/>
                <w:lang w:eastAsia="fr-FR"/>
              </w:rPr>
              <w:t xml:space="preserve">n, particularly given its effects on </w:t>
            </w:r>
            <w:r w:rsidRPr="00B379BB">
              <w:rPr>
                <w:rFonts w:ascii="Arial" w:eastAsia="Times New Roman" w:hAnsi="Arial" w:cs="Arial"/>
                <w:iCs/>
                <w:sz w:val="18"/>
                <w:szCs w:val="18"/>
                <w:lang w:eastAsia="fr-FR"/>
              </w:rPr>
              <w:t>wasting at different times of year</w:t>
            </w:r>
            <w:r>
              <w:rPr>
                <w:rFonts w:ascii="Arial" w:eastAsia="Times New Roman" w:hAnsi="Arial" w:cs="Arial"/>
                <w:iCs/>
                <w:sz w:val="18"/>
                <w:szCs w:val="18"/>
                <w:lang w:eastAsia="fr-FR"/>
              </w:rPr>
              <w:t xml:space="preserve">; </w:t>
            </w:r>
          </w:p>
          <w:p w14:paraId="05659206" w14:textId="77777777" w:rsidR="00D65F7F" w:rsidRPr="00B379BB" w:rsidRDefault="00D65F7F" w:rsidP="00D65F7F">
            <w:pPr>
              <w:pStyle w:val="ListParagraph"/>
              <w:numPr>
                <w:ilvl w:val="0"/>
                <w:numId w:val="19"/>
              </w:numPr>
              <w:spacing w:after="60"/>
              <w:jc w:val="both"/>
              <w:rPr>
                <w:rFonts w:ascii="Arial" w:eastAsia="Times New Roman" w:hAnsi="Arial" w:cs="Arial"/>
                <w:iCs/>
                <w:sz w:val="18"/>
                <w:szCs w:val="18"/>
                <w:lang w:eastAsia="fr-FR"/>
              </w:rPr>
            </w:pPr>
            <w:r>
              <w:rPr>
                <w:rFonts w:ascii="Arial" w:eastAsia="Times New Roman" w:hAnsi="Arial" w:cs="Arial"/>
                <w:iCs/>
                <w:sz w:val="18"/>
                <w:szCs w:val="18"/>
                <w:lang w:eastAsia="fr-FR"/>
              </w:rPr>
              <w:t>u</w:t>
            </w:r>
            <w:r w:rsidRPr="00B379BB">
              <w:rPr>
                <w:rFonts w:ascii="Arial" w:eastAsia="Times New Roman" w:hAnsi="Arial" w:cs="Arial"/>
                <w:iCs/>
                <w:sz w:val="18"/>
                <w:szCs w:val="18"/>
                <w:lang w:eastAsia="fr-FR"/>
              </w:rPr>
              <w:t xml:space="preserve">nderlying causes to help describe the situation and recommend appropriate responses. </w:t>
            </w:r>
          </w:p>
          <w:p w14:paraId="249F95B9" w14:textId="77777777" w:rsidR="00D65F7F" w:rsidRPr="00B379BB" w:rsidRDefault="00D65F7F" w:rsidP="00D65F7F">
            <w:pPr>
              <w:spacing w:after="60"/>
              <w:jc w:val="both"/>
              <w:rPr>
                <w:rFonts w:ascii="Arial" w:eastAsia="Times New Roman" w:hAnsi="Arial" w:cs="Arial"/>
                <w:iCs/>
                <w:sz w:val="18"/>
                <w:szCs w:val="18"/>
                <w:lang w:eastAsia="fr-FR"/>
              </w:rPr>
            </w:pPr>
            <w:r w:rsidRPr="00B379BB">
              <w:rPr>
                <w:rFonts w:ascii="Arial" w:eastAsia="Times New Roman" w:hAnsi="Arial" w:cs="Arial"/>
                <w:iCs/>
                <w:sz w:val="18"/>
                <w:szCs w:val="18"/>
                <w:lang w:eastAsia="fr-FR"/>
              </w:rPr>
              <w:t xml:space="preserve">Where possible, attempt to predict change, e.g., consider the risk factors and whether these are likely to result in further deterioration of the nutrition situation (epidemic, continuing displacement, food insecurity, etc.) or mitigating factors for improvement (predicted good harvest, increasing interventions, etc.).  In many surveillance systems predictions on the evolution of the nutritional situation is not based on statistical calculations but lies with the experience of those interpreting the trends produced by the data collection system.  Although this is not inappropriate the strength of the analysis will lie with the experience of the analyst but will be greatly assisted if there are good historical records on the trends of the nutritional situation.  This greatly helps when making predictions and on the types of responses required to mitigate or stabilize increases in acute malnutrition.  </w:t>
            </w:r>
          </w:p>
          <w:p w14:paraId="6B3B3885" w14:textId="193F8DC3" w:rsidR="00D65F7F" w:rsidRPr="00D73CA5" w:rsidRDefault="00D65F7F" w:rsidP="00D65F7F">
            <w:pPr>
              <w:spacing w:after="60"/>
              <w:rPr>
                <w:rFonts w:ascii="Arial" w:eastAsia="Arial Unicode MS" w:hAnsi="Arial" w:cs="Arial"/>
                <w:color w:val="000000"/>
                <w:sz w:val="18"/>
                <w:szCs w:val="18"/>
                <w:u w:color="000000"/>
                <w:bdr w:val="nil"/>
                <w:lang w:eastAsia="fr-FR"/>
              </w:rPr>
            </w:pPr>
            <w:r w:rsidRPr="00B379BB">
              <w:rPr>
                <w:rFonts w:ascii="Arial" w:eastAsia="Times New Roman" w:hAnsi="Arial" w:cs="Arial"/>
                <w:iCs/>
                <w:sz w:val="18"/>
                <w:szCs w:val="18"/>
                <w:lang w:eastAsia="fr-FR"/>
              </w:rPr>
              <w:t>In terms of the aesthetics of data presentation in national systems, or consolidated reporting of small-scale surveys, mapping provides a very powerful advocacy tool as well as assisting in the analysis of data.</w:t>
            </w:r>
            <w:r>
              <w:rPr>
                <w:rFonts w:ascii="Arial" w:eastAsia="Times New Roman" w:hAnsi="Arial" w:cs="Arial"/>
                <w:iCs/>
                <w:sz w:val="18"/>
                <w:szCs w:val="18"/>
                <w:lang w:eastAsia="fr-FR"/>
              </w:rPr>
              <w:t xml:space="preserve"> </w:t>
            </w:r>
            <w:r w:rsidRPr="00910A8E">
              <w:rPr>
                <w:rFonts w:ascii="Arial" w:eastAsia="Times New Roman" w:hAnsi="Arial" w:cs="Arial"/>
                <w:iCs/>
                <w:sz w:val="18"/>
                <w:szCs w:val="18"/>
                <w:lang w:eastAsia="fr-FR"/>
              </w:rPr>
              <w:t xml:space="preserve">Given the importance placed on nutrition indicators in highlighting the severity of a crisis, the </w:t>
            </w:r>
            <w:r w:rsidRPr="00910A8E">
              <w:rPr>
                <w:rFonts w:ascii="Arial" w:eastAsia="Times New Roman" w:hAnsi="Arial" w:cs="Arial"/>
                <w:b/>
                <w:bCs/>
                <w:iCs/>
                <w:sz w:val="18"/>
                <w:szCs w:val="18"/>
                <w:lang w:eastAsia="fr-FR"/>
              </w:rPr>
              <w:t>timely dissemination</w:t>
            </w:r>
            <w:r w:rsidRPr="00910A8E">
              <w:rPr>
                <w:rFonts w:ascii="Arial" w:eastAsia="Times New Roman" w:hAnsi="Arial" w:cs="Arial"/>
                <w:iCs/>
                <w:sz w:val="18"/>
                <w:szCs w:val="18"/>
                <w:lang w:eastAsia="fr-FR"/>
              </w:rPr>
              <w:t xml:space="preserve"> of information is essential to provoke an appropriate response. In some situations political pressure and bureaucratic processes may delay the release of up to date data. Furthermore, in emergencies the nutrition situation can change quite quickly. While reporting nutrition information that is older than the current season is very useful for trend analysis, the window of opportunity to address needs effectively can be missed. There are several means of disseminating information. The most common way is through nutrition clusters or sectors, where key stakeholders in the nutrition sector are present. Regular bulletins with nutrition data analysis are often produced.</w:t>
            </w:r>
          </w:p>
        </w:tc>
      </w:tr>
      <w:tr w:rsidR="00D65F7F" w:rsidRPr="0032223F" w14:paraId="5BB8796F" w14:textId="77777777" w:rsidTr="00AB418A">
        <w:tc>
          <w:tcPr>
            <w:tcW w:w="14879" w:type="dxa"/>
            <w:gridSpan w:val="2"/>
            <w:shd w:val="clear" w:color="auto" w:fill="D9D9D9" w:themeFill="background1" w:themeFillShade="D9"/>
          </w:tcPr>
          <w:p w14:paraId="2B6BA57D" w14:textId="0C01BDB1" w:rsidR="00D65F7F" w:rsidRPr="003A4799" w:rsidRDefault="00D65F7F" w:rsidP="00D65F7F">
            <w:pPr>
              <w:pStyle w:val="Body"/>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bookmarkStart w:id="4" w:name="_Ref86075648"/>
            <w:r w:rsidRPr="003A4799">
              <w:rPr>
                <w:rFonts w:ascii="Arial" w:hAnsi="Arial" w:cs="Arial"/>
                <w:b/>
                <w:bCs/>
                <w:color w:val="000000" w:themeColor="text1"/>
                <w:sz w:val="18"/>
                <w:szCs w:val="18"/>
                <w:u w:color="E36C0A"/>
              </w:rPr>
              <w:t>Enabling Environment</w:t>
            </w:r>
            <w:bookmarkEnd w:id="4"/>
          </w:p>
        </w:tc>
      </w:tr>
      <w:tr w:rsidR="00D65F7F" w:rsidRPr="0032223F" w14:paraId="3C70482D" w14:textId="77777777" w:rsidTr="0068350A">
        <w:tc>
          <w:tcPr>
            <w:tcW w:w="3539" w:type="dxa"/>
            <w:shd w:val="clear" w:color="auto" w:fill="auto"/>
          </w:tcPr>
          <w:p w14:paraId="1E5A37B4" w14:textId="77777777" w:rsidR="00D65F7F" w:rsidRPr="003A4799"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cs="Arial"/>
                <w:b/>
                <w:bCs/>
                <w:color w:val="000000" w:themeColor="text1"/>
                <w:sz w:val="18"/>
                <w:szCs w:val="18"/>
                <w:u w:color="E36C0A"/>
              </w:rPr>
              <w:t xml:space="preserve">D.1 </w:t>
            </w:r>
            <w:r w:rsidRPr="003A4799">
              <w:rPr>
                <w:rFonts w:ascii="Arial" w:hAnsi="Arial" w:cs="Arial"/>
                <w:b/>
                <w:bCs/>
                <w:color w:val="000000" w:themeColor="text1"/>
                <w:sz w:val="18"/>
                <w:szCs w:val="18"/>
                <w:u w:color="E36C0A"/>
              </w:rPr>
              <w:t>Leadership and Coordination</w:t>
            </w:r>
          </w:p>
        </w:tc>
        <w:tc>
          <w:tcPr>
            <w:tcW w:w="11340" w:type="dxa"/>
            <w:shd w:val="clear" w:color="auto" w:fill="auto"/>
          </w:tcPr>
          <w:p w14:paraId="558A79D2" w14:textId="5463C737" w:rsidR="00D65F7F" w:rsidRPr="003A4799"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5D323C">
              <w:rPr>
                <w:rFonts w:ascii="Arial" w:eastAsia="Times New Roman" w:hAnsi="Arial" w:cs="Arial"/>
                <w:b/>
                <w:bCs/>
                <w:iCs/>
                <w:sz w:val="18"/>
                <w:szCs w:val="18"/>
              </w:rPr>
              <w:t>DESCRIPTION</w:t>
            </w:r>
          </w:p>
        </w:tc>
      </w:tr>
      <w:tr w:rsidR="00D65F7F" w:rsidRPr="00D73CA5" w14:paraId="255471FF" w14:textId="77777777" w:rsidTr="00F74DBA">
        <w:tc>
          <w:tcPr>
            <w:tcW w:w="3539" w:type="dxa"/>
            <w:shd w:val="clear" w:color="auto" w:fill="auto"/>
          </w:tcPr>
          <w:p w14:paraId="687D853C" w14:textId="4B4EF9C3" w:rsidR="00D65F7F" w:rsidRPr="003A4799"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D.1.1 I</w:t>
            </w:r>
            <w:r w:rsidRPr="003A4799">
              <w:rPr>
                <w:rFonts w:ascii="Arial" w:hAnsi="Arial" w:cs="Arial"/>
                <w:iCs/>
                <w:sz w:val="18"/>
                <w:szCs w:val="18"/>
              </w:rPr>
              <w:t xml:space="preserve">s there a NIS TWG established prior to the emergency? </w:t>
            </w:r>
          </w:p>
        </w:tc>
        <w:tc>
          <w:tcPr>
            <w:tcW w:w="11340" w:type="dxa"/>
            <w:shd w:val="clear" w:color="auto" w:fill="auto"/>
          </w:tcPr>
          <w:p w14:paraId="5122FB8E" w14:textId="77777777" w:rsidR="00D65F7F" w:rsidRPr="003A4799" w:rsidRDefault="00D65F7F" w:rsidP="00D65F7F">
            <w:pPr>
              <w:jc w:val="both"/>
              <w:rPr>
                <w:rFonts w:ascii="Arial" w:hAnsi="Arial" w:cs="Arial"/>
                <w:iCs/>
                <w:sz w:val="18"/>
                <w:szCs w:val="18"/>
              </w:rPr>
            </w:pPr>
            <w:r w:rsidRPr="003A4799">
              <w:rPr>
                <w:rFonts w:ascii="Arial" w:hAnsi="Arial" w:cs="Arial"/>
                <w:iCs/>
                <w:sz w:val="18"/>
                <w:szCs w:val="18"/>
              </w:rPr>
              <w:t xml:space="preserve">The NIS TWG, which can be established on a temporary or long-term basis, is often chaired by government counterparts and the NCC. Ideally, the Ministry of Health (MoH) would need to be onboard and leading or co-leading the creation of this working group. The engagement and commitment of national government is key to the success of any NIS that are currently still active. Participation should also be open to all Nutrition Cluster partners, as well as other relevant actors depending on the situation. In general, the TWG is responsible for:  </w:t>
            </w:r>
          </w:p>
          <w:p w14:paraId="46195BAA"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designing, planning and, when required, managing the multi-cluster/sector initial rapid assessments and nutrition surveys;</w:t>
            </w:r>
          </w:p>
          <w:p w14:paraId="55DE63DF"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supporting the coordination of the collection and use of nutrition data across clusters/sectors;</w:t>
            </w:r>
          </w:p>
          <w:p w14:paraId="4FAA370E"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promoting the harmonization of data sources including through the use of standard indicators;</w:t>
            </w:r>
          </w:p>
          <w:p w14:paraId="500EF425"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ensuring quality review and assurance tools are in place and implemented accordingly;</w:t>
            </w:r>
          </w:p>
          <w:p w14:paraId="68B90409"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 xml:space="preserve">sharing results from completed nutrition assessments as well as information on current and planned assessments; </w:t>
            </w:r>
          </w:p>
          <w:p w14:paraId="1CDCA9E2"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promoting partnerships with national authorities around nutrition information;</w:t>
            </w:r>
          </w:p>
          <w:p w14:paraId="586E0A0F" w14:textId="77777777" w:rsidR="00D65F7F" w:rsidRPr="003A4799" w:rsidRDefault="00D65F7F" w:rsidP="00D65F7F">
            <w:pPr>
              <w:pStyle w:val="ListParagraph"/>
              <w:numPr>
                <w:ilvl w:val="0"/>
                <w:numId w:val="18"/>
              </w:numPr>
              <w:jc w:val="both"/>
              <w:rPr>
                <w:rFonts w:ascii="Arial" w:hAnsi="Arial" w:cs="Arial"/>
                <w:iCs/>
                <w:sz w:val="18"/>
                <w:szCs w:val="18"/>
              </w:rPr>
            </w:pPr>
            <w:r w:rsidRPr="003A4799">
              <w:rPr>
                <w:rFonts w:ascii="Arial" w:hAnsi="Arial" w:cs="Arial"/>
                <w:iCs/>
                <w:sz w:val="18"/>
                <w:szCs w:val="18"/>
              </w:rPr>
              <w:t>improving the transition of the NIS prior, during and after a humanitarian crisis;</w:t>
            </w:r>
          </w:p>
          <w:p w14:paraId="326D4748" w14:textId="1084BBD1" w:rsidR="00D65F7F" w:rsidRPr="003A4799" w:rsidRDefault="00D65F7F" w:rsidP="00D65F7F">
            <w:pPr>
              <w:spacing w:after="60"/>
              <w:rPr>
                <w:rFonts w:ascii="Arial" w:eastAsia="Arial Unicode MS" w:hAnsi="Arial" w:cs="Arial"/>
                <w:color w:val="000000"/>
                <w:sz w:val="18"/>
                <w:szCs w:val="18"/>
                <w:u w:color="000000"/>
                <w:bdr w:val="nil"/>
                <w:lang w:eastAsia="fr-FR"/>
              </w:rPr>
            </w:pPr>
            <w:r w:rsidRPr="003A4799">
              <w:rPr>
                <w:rFonts w:ascii="Arial" w:hAnsi="Arial" w:cs="Arial"/>
                <w:iCs/>
                <w:sz w:val="18"/>
                <w:szCs w:val="18"/>
              </w:rPr>
              <w:t>serving as a forum for nutrition data-driven decision-making, particularly during a humanitarian situation</w:t>
            </w:r>
            <w:r w:rsidRPr="003A4799">
              <w:rPr>
                <w:rStyle w:val="EndnoteReference"/>
                <w:rFonts w:ascii="Arial" w:hAnsi="Arial" w:cs="Arial"/>
                <w:iCs/>
                <w:sz w:val="18"/>
                <w:szCs w:val="18"/>
              </w:rPr>
              <w:endnoteReference w:id="1"/>
            </w:r>
            <w:r w:rsidRPr="003A4799">
              <w:rPr>
                <w:rFonts w:ascii="Arial" w:hAnsi="Arial" w:cs="Arial"/>
                <w:iCs/>
                <w:sz w:val="18"/>
                <w:szCs w:val="18"/>
              </w:rPr>
              <w:t>.</w:t>
            </w:r>
          </w:p>
        </w:tc>
      </w:tr>
      <w:tr w:rsidR="00D65F7F" w:rsidRPr="00D73CA5" w14:paraId="391FAEB3" w14:textId="77777777" w:rsidTr="0032223F">
        <w:trPr>
          <w:trHeight w:val="283"/>
        </w:trPr>
        <w:tc>
          <w:tcPr>
            <w:tcW w:w="3539" w:type="dxa"/>
            <w:shd w:val="clear" w:color="auto" w:fill="auto"/>
          </w:tcPr>
          <w:p w14:paraId="472A9D98" w14:textId="2FD08150" w:rsidR="00D65F7F"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lastRenderedPageBreak/>
              <w:t xml:space="preserve">D.1.2 </w:t>
            </w:r>
            <w:r w:rsidRPr="006172CC">
              <w:rPr>
                <w:rFonts w:ascii="Arial" w:hAnsi="Arial" w:cs="Arial"/>
                <w:iCs/>
                <w:sz w:val="18"/>
                <w:szCs w:val="18"/>
              </w:rPr>
              <w:t xml:space="preserve">Does the </w:t>
            </w:r>
            <w:r>
              <w:rPr>
                <w:rFonts w:ascii="Arial" w:hAnsi="Arial" w:cs="Arial"/>
                <w:iCs/>
                <w:sz w:val="18"/>
                <w:szCs w:val="18"/>
              </w:rPr>
              <w:t>NIS</w:t>
            </w:r>
            <w:r w:rsidRPr="006172CC">
              <w:rPr>
                <w:rFonts w:ascii="Arial" w:hAnsi="Arial" w:cs="Arial"/>
                <w:iCs/>
                <w:sz w:val="18"/>
                <w:szCs w:val="18"/>
              </w:rPr>
              <w:t xml:space="preserve"> TWG have </w:t>
            </w:r>
            <w:r>
              <w:rPr>
                <w:rFonts w:ascii="Arial" w:hAnsi="Arial" w:cs="Arial"/>
                <w:iCs/>
                <w:sz w:val="18"/>
                <w:szCs w:val="18"/>
              </w:rPr>
              <w:t xml:space="preserve">a </w:t>
            </w:r>
            <w:r w:rsidRPr="006172CC">
              <w:rPr>
                <w:rFonts w:ascii="Arial" w:hAnsi="Arial" w:cs="Arial"/>
                <w:iCs/>
                <w:sz w:val="18"/>
                <w:szCs w:val="18"/>
              </w:rPr>
              <w:t>ToR</w:t>
            </w:r>
            <w:r>
              <w:rPr>
                <w:rFonts w:ascii="Arial" w:hAnsi="Arial" w:cs="Arial"/>
                <w:iCs/>
                <w:sz w:val="18"/>
                <w:szCs w:val="18"/>
              </w:rPr>
              <w:t xml:space="preserve"> and designated chairs</w:t>
            </w:r>
            <w:r w:rsidRPr="006172CC">
              <w:rPr>
                <w:rFonts w:ascii="Arial" w:hAnsi="Arial" w:cs="Arial"/>
                <w:iCs/>
                <w:sz w:val="18"/>
                <w:szCs w:val="18"/>
              </w:rPr>
              <w:t>?</w:t>
            </w:r>
          </w:p>
        </w:tc>
        <w:tc>
          <w:tcPr>
            <w:tcW w:w="11340" w:type="dxa"/>
            <w:shd w:val="clear" w:color="auto" w:fill="auto"/>
          </w:tcPr>
          <w:p w14:paraId="48ECA26B" w14:textId="482AE577"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iCs/>
                <w:sz w:val="18"/>
                <w:szCs w:val="18"/>
              </w:rPr>
              <w:t xml:space="preserve">Work on the NIS guidelines, operational processes and </w:t>
            </w:r>
            <w:r w:rsidRPr="009E63E9">
              <w:rPr>
                <w:rFonts w:ascii="Arial" w:hAnsi="Arial" w:cs="Arial"/>
                <w:iCs/>
                <w:sz w:val="18"/>
                <w:szCs w:val="18"/>
              </w:rPr>
              <w:t>contingency plans delineated above can be supported</w:t>
            </w:r>
            <w:r w:rsidRPr="009E63E9">
              <w:rPr>
                <w:rFonts w:ascii="Arial" w:hAnsi="Arial" w:cs="Arial"/>
                <w:iCs/>
                <w:sz w:val="18"/>
                <w:szCs w:val="18"/>
                <w:lang w:val="en-US"/>
              </w:rPr>
              <w:t>/led</w:t>
            </w:r>
            <w:r w:rsidRPr="009E63E9">
              <w:rPr>
                <w:rFonts w:ascii="Arial" w:hAnsi="Arial" w:cs="Arial"/>
                <w:iCs/>
                <w:sz w:val="18"/>
                <w:szCs w:val="18"/>
              </w:rPr>
              <w:t xml:space="preserve"> by the NIS TWG. Establishing a TWG is a first step to starting to streamline the work of NIS, particularly in response to a given humanitarian situation. A generic</w:t>
            </w:r>
            <w:r>
              <w:rPr>
                <w:rFonts w:ascii="Arial" w:hAnsi="Arial" w:cs="Arial"/>
                <w:iCs/>
                <w:sz w:val="18"/>
                <w:szCs w:val="18"/>
              </w:rPr>
              <w:t>, customizable</w:t>
            </w:r>
            <w:r w:rsidRPr="009E63E9">
              <w:rPr>
                <w:rFonts w:ascii="Arial" w:hAnsi="Arial" w:cs="Arial"/>
                <w:iCs/>
                <w:sz w:val="18"/>
                <w:szCs w:val="18"/>
              </w:rPr>
              <w:t xml:space="preserve"> Terms of References is provided </w:t>
            </w:r>
            <w:hyperlink r:id="rId59" w:history="1">
              <w:r w:rsidRPr="00197955">
                <w:rPr>
                  <w:rStyle w:val="Hyperlink"/>
                  <w:rFonts w:ascii="Arial" w:hAnsi="Arial" w:cs="Arial"/>
                  <w:iCs/>
                  <w:sz w:val="18"/>
                  <w:szCs w:val="18"/>
                </w:rPr>
                <w:t>here.</w:t>
              </w:r>
            </w:hyperlink>
            <w:r>
              <w:rPr>
                <w:rFonts w:ascii="Arial" w:hAnsi="Arial" w:cs="Arial"/>
                <w:iCs/>
                <w:sz w:val="18"/>
                <w:szCs w:val="18"/>
              </w:rPr>
              <w:t xml:space="preserve"> </w:t>
            </w:r>
            <w:r w:rsidRPr="009E63E9">
              <w:rPr>
                <w:rFonts w:ascii="Arial" w:hAnsi="Arial" w:cs="Arial"/>
                <w:iCs/>
                <w:sz w:val="18"/>
                <w:szCs w:val="18"/>
              </w:rPr>
              <w:t xml:space="preserve">After determining the key actors and convening for a meeting to create </w:t>
            </w:r>
            <w:r>
              <w:rPr>
                <w:rFonts w:ascii="Arial" w:hAnsi="Arial" w:cs="Arial"/>
                <w:iCs/>
                <w:sz w:val="18"/>
                <w:szCs w:val="18"/>
              </w:rPr>
              <w:t xml:space="preserve">or update a NIS </w:t>
            </w:r>
            <w:r w:rsidRPr="009E63E9">
              <w:rPr>
                <w:rFonts w:ascii="Arial" w:hAnsi="Arial" w:cs="Arial"/>
                <w:iCs/>
                <w:sz w:val="18"/>
                <w:szCs w:val="18"/>
              </w:rPr>
              <w:t>TWG, an important agenda point during that first meeting would be to review and</w:t>
            </w:r>
            <w:r w:rsidRPr="006172CC">
              <w:rPr>
                <w:rFonts w:ascii="Arial" w:hAnsi="Arial" w:cs="Arial"/>
                <w:iCs/>
                <w:sz w:val="18"/>
                <w:szCs w:val="18"/>
              </w:rPr>
              <w:t xml:space="preserve"> validate the ToR of the group. In an ideal scenario, the </w:t>
            </w:r>
            <w:r>
              <w:rPr>
                <w:rFonts w:ascii="Arial" w:hAnsi="Arial" w:cs="Arial"/>
                <w:iCs/>
                <w:sz w:val="18"/>
                <w:szCs w:val="18"/>
              </w:rPr>
              <w:t>NIS</w:t>
            </w:r>
            <w:r w:rsidRPr="006172CC">
              <w:rPr>
                <w:rFonts w:ascii="Arial" w:hAnsi="Arial" w:cs="Arial"/>
                <w:iCs/>
                <w:sz w:val="18"/>
                <w:szCs w:val="18"/>
              </w:rPr>
              <w:t xml:space="preserve"> TWG group has two co-chairs chosen on rotational basis for a year, each chair is responsible for leading the group for 6 months. Every 6 months, the chairs will rotate in order to keep the group active. The chairs are chosen upon an interview with the Nutrition Cluster Coordinator whereby the technical knowledge, leadership skills and the time commitment to the</w:t>
            </w:r>
            <w:r>
              <w:rPr>
                <w:rFonts w:ascii="Arial" w:hAnsi="Arial" w:cs="Arial"/>
                <w:iCs/>
                <w:sz w:val="18"/>
                <w:szCs w:val="18"/>
              </w:rPr>
              <w:t xml:space="preserve"> NIS</w:t>
            </w:r>
            <w:r w:rsidRPr="006172CC">
              <w:rPr>
                <w:rFonts w:ascii="Arial" w:hAnsi="Arial" w:cs="Arial"/>
                <w:iCs/>
                <w:sz w:val="18"/>
                <w:szCs w:val="18"/>
              </w:rPr>
              <w:t xml:space="preserve"> TWG needs to be assessed. </w:t>
            </w:r>
          </w:p>
        </w:tc>
      </w:tr>
      <w:tr w:rsidR="00D65F7F" w:rsidRPr="00D73CA5" w14:paraId="6E567AF3" w14:textId="77777777" w:rsidTr="00F74DBA">
        <w:tc>
          <w:tcPr>
            <w:tcW w:w="3539" w:type="dxa"/>
            <w:shd w:val="clear" w:color="auto" w:fill="auto"/>
          </w:tcPr>
          <w:p w14:paraId="7BA426B0" w14:textId="6CFD9AE0" w:rsidR="00D65F7F"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D.1.3 </w:t>
            </w:r>
            <w:r w:rsidRPr="006172CC">
              <w:rPr>
                <w:rFonts w:ascii="Arial" w:hAnsi="Arial" w:cs="Arial"/>
                <w:iCs/>
                <w:sz w:val="18"/>
                <w:szCs w:val="18"/>
              </w:rPr>
              <w:t xml:space="preserve">Does the TWG monitor its progress against set targets </w:t>
            </w:r>
            <w:r>
              <w:rPr>
                <w:rFonts w:ascii="Arial" w:hAnsi="Arial" w:cs="Arial"/>
                <w:iCs/>
                <w:sz w:val="18"/>
                <w:szCs w:val="18"/>
              </w:rPr>
              <w:t xml:space="preserve">in a workplan </w:t>
            </w:r>
            <w:r w:rsidRPr="006172CC">
              <w:rPr>
                <w:rFonts w:ascii="Arial" w:hAnsi="Arial" w:cs="Arial"/>
                <w:iCs/>
                <w:sz w:val="18"/>
                <w:szCs w:val="18"/>
              </w:rPr>
              <w:t>once every 3 months?</w:t>
            </w:r>
          </w:p>
        </w:tc>
        <w:tc>
          <w:tcPr>
            <w:tcW w:w="11340" w:type="dxa"/>
            <w:shd w:val="clear" w:color="auto" w:fill="auto"/>
          </w:tcPr>
          <w:p w14:paraId="636D2CA4" w14:textId="32E264BB" w:rsidR="00D65F7F" w:rsidRPr="00D73CA5" w:rsidRDefault="00D65F7F" w:rsidP="00D65F7F">
            <w:pPr>
              <w:spacing w:after="60"/>
              <w:rPr>
                <w:rFonts w:ascii="Arial" w:eastAsia="Arial Unicode MS" w:hAnsi="Arial" w:cs="Arial"/>
                <w:color w:val="000000"/>
                <w:sz w:val="18"/>
                <w:szCs w:val="18"/>
                <w:u w:color="000000"/>
                <w:bdr w:val="nil"/>
                <w:lang w:eastAsia="fr-FR"/>
              </w:rPr>
            </w:pPr>
            <w:r w:rsidRPr="006172CC">
              <w:rPr>
                <w:rFonts w:ascii="Arial" w:hAnsi="Arial" w:cs="Arial"/>
                <w:iCs/>
                <w:sz w:val="18"/>
                <w:szCs w:val="18"/>
              </w:rPr>
              <w:t xml:space="preserve">A workplan will allow the </w:t>
            </w:r>
            <w:r>
              <w:rPr>
                <w:rFonts w:ascii="Arial" w:hAnsi="Arial" w:cs="Arial"/>
                <w:iCs/>
                <w:sz w:val="18"/>
                <w:szCs w:val="18"/>
              </w:rPr>
              <w:t>TWG</w:t>
            </w:r>
            <w:r w:rsidRPr="006172CC">
              <w:rPr>
                <w:rFonts w:ascii="Arial" w:hAnsi="Arial" w:cs="Arial"/>
                <w:iCs/>
                <w:sz w:val="18"/>
                <w:szCs w:val="18"/>
              </w:rPr>
              <w:t xml:space="preserve"> to evaluate their own performance against the set workplan deliverables. It is recommended that the group evaluates their performance as per the set targets in the workplan every 3 months.</w:t>
            </w:r>
            <w:r>
              <w:rPr>
                <w:rFonts w:ascii="Arial" w:hAnsi="Arial" w:cs="Arial"/>
                <w:iCs/>
                <w:sz w:val="18"/>
                <w:szCs w:val="18"/>
              </w:rPr>
              <w:t xml:space="preserve"> A</w:t>
            </w:r>
            <w:r w:rsidRPr="006172CC">
              <w:rPr>
                <w:rFonts w:ascii="Arial" w:hAnsi="Arial" w:cs="Arial"/>
                <w:iCs/>
                <w:sz w:val="18"/>
                <w:szCs w:val="18"/>
              </w:rPr>
              <w:t xml:space="preserve"> </w:t>
            </w:r>
            <w:r>
              <w:rPr>
                <w:rFonts w:ascii="Arial" w:hAnsi="Arial" w:cs="Arial"/>
                <w:iCs/>
                <w:sz w:val="18"/>
                <w:szCs w:val="18"/>
              </w:rPr>
              <w:t xml:space="preserve">yearly </w:t>
            </w:r>
            <w:r w:rsidRPr="006172CC">
              <w:rPr>
                <w:rFonts w:ascii="Arial" w:hAnsi="Arial" w:cs="Arial"/>
                <w:iCs/>
                <w:sz w:val="18"/>
                <w:szCs w:val="18"/>
              </w:rPr>
              <w:t>workplan is put together collectively for the</w:t>
            </w:r>
            <w:r>
              <w:rPr>
                <w:rFonts w:ascii="Arial" w:hAnsi="Arial" w:cs="Arial"/>
                <w:iCs/>
                <w:sz w:val="18"/>
                <w:szCs w:val="18"/>
              </w:rPr>
              <w:t xml:space="preserve"> NIS</w:t>
            </w:r>
            <w:r w:rsidRPr="006172CC">
              <w:rPr>
                <w:rFonts w:ascii="Arial" w:hAnsi="Arial" w:cs="Arial"/>
                <w:iCs/>
                <w:sz w:val="18"/>
                <w:szCs w:val="18"/>
              </w:rPr>
              <w:t xml:space="preserve"> TWG to address the</w:t>
            </w:r>
            <w:r>
              <w:rPr>
                <w:rFonts w:ascii="Arial" w:hAnsi="Arial" w:cs="Arial"/>
                <w:iCs/>
                <w:sz w:val="18"/>
                <w:szCs w:val="18"/>
              </w:rPr>
              <w:t xml:space="preserve"> prioritized</w:t>
            </w:r>
            <w:r w:rsidRPr="006172CC">
              <w:rPr>
                <w:rFonts w:ascii="Arial" w:hAnsi="Arial" w:cs="Arial"/>
                <w:iCs/>
                <w:sz w:val="18"/>
                <w:szCs w:val="18"/>
              </w:rPr>
              <w:t xml:space="preserve"> </w:t>
            </w:r>
            <w:r>
              <w:rPr>
                <w:rFonts w:ascii="Arial" w:hAnsi="Arial" w:cs="Arial"/>
                <w:iCs/>
                <w:sz w:val="18"/>
                <w:szCs w:val="18"/>
              </w:rPr>
              <w:t xml:space="preserve">nutrition information </w:t>
            </w:r>
            <w:r w:rsidRPr="006172CC">
              <w:rPr>
                <w:rFonts w:ascii="Arial" w:hAnsi="Arial" w:cs="Arial"/>
                <w:iCs/>
                <w:sz w:val="18"/>
                <w:szCs w:val="18"/>
              </w:rPr>
              <w:t>needs</w:t>
            </w:r>
            <w:r>
              <w:rPr>
                <w:rFonts w:ascii="Arial" w:hAnsi="Arial" w:cs="Arial"/>
                <w:iCs/>
                <w:sz w:val="18"/>
                <w:szCs w:val="18"/>
              </w:rPr>
              <w:t xml:space="preserve">; </w:t>
            </w:r>
            <w:r w:rsidRPr="006172CC">
              <w:rPr>
                <w:rFonts w:ascii="Arial" w:hAnsi="Arial" w:cs="Arial"/>
                <w:iCs/>
                <w:sz w:val="18"/>
                <w:szCs w:val="18"/>
              </w:rPr>
              <w:t xml:space="preserve">it is important that this is done with impartiality, humanity, neutrality and independence. The workplan can span over 6 months at a time or two years depending on what is suitable </w:t>
            </w:r>
            <w:r>
              <w:rPr>
                <w:rFonts w:ascii="Arial" w:hAnsi="Arial" w:cs="Arial"/>
                <w:iCs/>
                <w:sz w:val="18"/>
                <w:szCs w:val="18"/>
              </w:rPr>
              <w:t>given the</w:t>
            </w:r>
            <w:r w:rsidRPr="006172CC">
              <w:rPr>
                <w:rFonts w:ascii="Arial" w:hAnsi="Arial" w:cs="Arial"/>
                <w:iCs/>
                <w:sz w:val="18"/>
                <w:szCs w:val="18"/>
              </w:rPr>
              <w:t xml:space="preserve"> context.</w:t>
            </w:r>
          </w:p>
        </w:tc>
      </w:tr>
      <w:tr w:rsidR="00D65F7F" w:rsidRPr="00D73CA5" w14:paraId="4836E95E" w14:textId="77777777" w:rsidTr="00F74DBA">
        <w:tc>
          <w:tcPr>
            <w:tcW w:w="3539" w:type="dxa"/>
            <w:shd w:val="clear" w:color="auto" w:fill="auto"/>
          </w:tcPr>
          <w:p w14:paraId="03382EFB" w14:textId="582B61C9" w:rsidR="00D65F7F"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D.1.4 </w:t>
            </w:r>
            <w:r w:rsidRPr="006172CC">
              <w:rPr>
                <w:rFonts w:ascii="Arial" w:hAnsi="Arial" w:cs="Arial"/>
                <w:iCs/>
                <w:sz w:val="18"/>
                <w:szCs w:val="18"/>
              </w:rPr>
              <w:t>Do the TWG members meet every month?</w:t>
            </w:r>
          </w:p>
        </w:tc>
        <w:tc>
          <w:tcPr>
            <w:tcW w:w="11340" w:type="dxa"/>
            <w:shd w:val="clear" w:color="auto" w:fill="auto"/>
          </w:tcPr>
          <w:p w14:paraId="1D6F0C48" w14:textId="3A596B24" w:rsidR="00D65F7F" w:rsidRPr="00D73CA5" w:rsidRDefault="00D65F7F" w:rsidP="00D65F7F">
            <w:pPr>
              <w:spacing w:after="60"/>
              <w:rPr>
                <w:rFonts w:ascii="Arial" w:eastAsia="Arial Unicode MS" w:hAnsi="Arial" w:cs="Arial"/>
                <w:color w:val="000000"/>
                <w:sz w:val="18"/>
                <w:szCs w:val="18"/>
                <w:u w:color="000000"/>
                <w:bdr w:val="nil"/>
                <w:lang w:eastAsia="fr-FR"/>
              </w:rPr>
            </w:pPr>
            <w:r>
              <w:rPr>
                <w:rFonts w:ascii="Arial" w:hAnsi="Arial" w:cs="Arial"/>
                <w:iCs/>
                <w:sz w:val="18"/>
                <w:szCs w:val="18"/>
              </w:rPr>
              <w:t xml:space="preserve">Although a NIS TWG can be functional on </w:t>
            </w:r>
            <w:r w:rsidRPr="00F220C4">
              <w:rPr>
                <w:rFonts w:ascii="Arial" w:hAnsi="Arial" w:cs="Arial"/>
                <w:iCs/>
                <w:sz w:val="18"/>
                <w:szCs w:val="18"/>
              </w:rPr>
              <w:t>a temporary or long-term basis</w:t>
            </w:r>
            <w:r>
              <w:rPr>
                <w:rFonts w:ascii="Arial" w:hAnsi="Arial" w:cs="Arial"/>
                <w:iCs/>
                <w:sz w:val="18"/>
                <w:szCs w:val="18"/>
              </w:rPr>
              <w:t xml:space="preserve">, keeping the momentum and the </w:t>
            </w:r>
            <w:r w:rsidRPr="00BB39A1">
              <w:rPr>
                <w:rFonts w:ascii="Arial" w:hAnsi="Arial" w:cs="Arial"/>
                <w:iCs/>
                <w:sz w:val="18"/>
                <w:szCs w:val="18"/>
              </w:rPr>
              <w:t xml:space="preserve">continued effectiveness of the </w:t>
            </w:r>
            <w:r>
              <w:rPr>
                <w:rFonts w:ascii="Arial" w:hAnsi="Arial" w:cs="Arial"/>
                <w:iCs/>
                <w:sz w:val="18"/>
                <w:szCs w:val="18"/>
              </w:rPr>
              <w:t>NIS is an important task of this group</w:t>
            </w:r>
            <w:r w:rsidRPr="00BB39A1">
              <w:rPr>
                <w:rFonts w:ascii="Arial" w:hAnsi="Arial" w:cs="Arial"/>
                <w:iCs/>
                <w:sz w:val="18"/>
                <w:szCs w:val="18"/>
              </w:rPr>
              <w:t>.</w:t>
            </w:r>
            <w:r>
              <w:rPr>
                <w:rFonts w:ascii="Arial" w:hAnsi="Arial" w:cs="Arial"/>
                <w:iCs/>
                <w:sz w:val="18"/>
                <w:szCs w:val="18"/>
              </w:rPr>
              <w:t xml:space="preserve"> By not meeting on a regular/monthly basis, t</w:t>
            </w:r>
            <w:r w:rsidRPr="00BB39A1">
              <w:rPr>
                <w:rFonts w:ascii="Arial" w:hAnsi="Arial" w:cs="Arial"/>
                <w:iCs/>
                <w:sz w:val="18"/>
                <w:szCs w:val="18"/>
              </w:rPr>
              <w:t xml:space="preserve">here are many examples of </w:t>
            </w:r>
            <w:r>
              <w:rPr>
                <w:rFonts w:ascii="Arial" w:hAnsi="Arial" w:cs="Arial"/>
                <w:iCs/>
                <w:sz w:val="18"/>
                <w:szCs w:val="18"/>
              </w:rPr>
              <w:t>NIS</w:t>
            </w:r>
            <w:r w:rsidRPr="00BB39A1">
              <w:rPr>
                <w:rFonts w:ascii="Arial" w:hAnsi="Arial" w:cs="Arial"/>
                <w:iCs/>
                <w:sz w:val="18"/>
                <w:szCs w:val="18"/>
              </w:rPr>
              <w:t xml:space="preserve"> that have ‘withered’ away as donor interest has waned</w:t>
            </w:r>
            <w:r>
              <w:rPr>
                <w:rFonts w:ascii="Arial" w:hAnsi="Arial" w:cs="Arial"/>
                <w:iCs/>
                <w:sz w:val="18"/>
                <w:szCs w:val="18"/>
              </w:rPr>
              <w:t xml:space="preserve"> or a given humanitarian situation has improved. Committed staff to </w:t>
            </w:r>
            <w:r w:rsidRPr="00BB39A1">
              <w:rPr>
                <w:rFonts w:ascii="Arial" w:hAnsi="Arial" w:cs="Arial"/>
                <w:iCs/>
                <w:sz w:val="18"/>
                <w:szCs w:val="18"/>
              </w:rPr>
              <w:t xml:space="preserve">adequately support the </w:t>
            </w:r>
            <w:r>
              <w:rPr>
                <w:rFonts w:ascii="Arial" w:hAnsi="Arial" w:cs="Arial"/>
                <w:iCs/>
                <w:sz w:val="18"/>
                <w:szCs w:val="18"/>
              </w:rPr>
              <w:t>NIS workplan and its</w:t>
            </w:r>
            <w:r w:rsidRPr="00BB39A1">
              <w:rPr>
                <w:rFonts w:ascii="Arial" w:hAnsi="Arial" w:cs="Arial"/>
                <w:iCs/>
                <w:sz w:val="18"/>
                <w:szCs w:val="18"/>
              </w:rPr>
              <w:t xml:space="preserve"> activities</w:t>
            </w:r>
            <w:r>
              <w:rPr>
                <w:rFonts w:ascii="Arial" w:hAnsi="Arial" w:cs="Arial"/>
                <w:iCs/>
                <w:sz w:val="18"/>
                <w:szCs w:val="18"/>
              </w:rPr>
              <w:t xml:space="preserve"> is essential to ensuring the longer-term success of the NIS, even if there is high </w:t>
            </w:r>
            <w:r w:rsidRPr="00BB39A1">
              <w:rPr>
                <w:rFonts w:ascii="Arial" w:hAnsi="Arial" w:cs="Arial"/>
                <w:iCs/>
                <w:sz w:val="18"/>
                <w:szCs w:val="18"/>
              </w:rPr>
              <w:t xml:space="preserve">turnover of </w:t>
            </w:r>
            <w:r>
              <w:rPr>
                <w:rFonts w:ascii="Arial" w:hAnsi="Arial" w:cs="Arial"/>
                <w:iCs/>
                <w:sz w:val="18"/>
                <w:szCs w:val="18"/>
              </w:rPr>
              <w:t xml:space="preserve">its members. </w:t>
            </w:r>
            <w:r w:rsidRPr="00BB39A1">
              <w:rPr>
                <w:rFonts w:ascii="Arial" w:hAnsi="Arial" w:cs="Arial"/>
                <w:iCs/>
                <w:sz w:val="18"/>
                <w:szCs w:val="18"/>
              </w:rPr>
              <w:t xml:space="preserve">If strong ownership </w:t>
            </w:r>
            <w:r>
              <w:rPr>
                <w:rFonts w:ascii="Arial" w:hAnsi="Arial" w:cs="Arial"/>
                <w:iCs/>
                <w:sz w:val="18"/>
                <w:szCs w:val="18"/>
              </w:rPr>
              <w:t>of the TWG</w:t>
            </w:r>
            <w:r w:rsidRPr="00BB39A1">
              <w:rPr>
                <w:rFonts w:ascii="Arial" w:hAnsi="Arial" w:cs="Arial"/>
                <w:iCs/>
                <w:sz w:val="18"/>
                <w:szCs w:val="18"/>
              </w:rPr>
              <w:t xml:space="preserve"> cannot be established, over time </w:t>
            </w:r>
            <w:r>
              <w:rPr>
                <w:rFonts w:ascii="Arial" w:hAnsi="Arial" w:cs="Arial"/>
                <w:iCs/>
                <w:sz w:val="18"/>
                <w:szCs w:val="18"/>
              </w:rPr>
              <w:t>the NIS</w:t>
            </w:r>
            <w:r w:rsidRPr="00BB39A1">
              <w:rPr>
                <w:rFonts w:ascii="Arial" w:hAnsi="Arial" w:cs="Arial"/>
                <w:iCs/>
                <w:sz w:val="18"/>
                <w:szCs w:val="18"/>
              </w:rPr>
              <w:t xml:space="preserve"> may well be abandoned.</w:t>
            </w:r>
          </w:p>
        </w:tc>
      </w:tr>
      <w:tr w:rsidR="00D65F7F" w:rsidRPr="00AB418A" w14:paraId="5B0AB43A" w14:textId="77777777" w:rsidTr="00F74DBA">
        <w:tc>
          <w:tcPr>
            <w:tcW w:w="3539" w:type="dxa"/>
            <w:shd w:val="clear" w:color="auto" w:fill="auto"/>
          </w:tcPr>
          <w:p w14:paraId="5673A5B9" w14:textId="135330C4" w:rsidR="00D65F7F" w:rsidRPr="00AB418A"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D.1.5 </w:t>
            </w:r>
            <w:r w:rsidRPr="00AB418A">
              <w:rPr>
                <w:rFonts w:ascii="Arial" w:hAnsi="Arial" w:cs="Arial"/>
                <w:iCs/>
                <w:sz w:val="18"/>
                <w:szCs w:val="18"/>
              </w:rPr>
              <w:t xml:space="preserve">After the emergency, is the established NIS TWG led and chaired by the government? </w:t>
            </w:r>
          </w:p>
        </w:tc>
        <w:tc>
          <w:tcPr>
            <w:tcW w:w="11340" w:type="dxa"/>
            <w:shd w:val="clear" w:color="auto" w:fill="auto"/>
          </w:tcPr>
          <w:p w14:paraId="2DA982C6" w14:textId="5E8D3AB2" w:rsidR="00D65F7F" w:rsidRPr="00AB418A" w:rsidRDefault="00D65F7F" w:rsidP="00D65F7F">
            <w:pPr>
              <w:rPr>
                <w:rFonts w:ascii="Arial" w:hAnsi="Arial" w:cs="Arial"/>
                <w:iCs/>
                <w:sz w:val="18"/>
                <w:szCs w:val="18"/>
              </w:rPr>
            </w:pPr>
            <w:r w:rsidRPr="00AB418A">
              <w:rPr>
                <w:rFonts w:ascii="Arial" w:hAnsi="Arial" w:cs="Arial"/>
                <w:iCs/>
                <w:sz w:val="18"/>
                <w:szCs w:val="18"/>
              </w:rPr>
              <w:t>The government co-chairing the NIS TWG is one way to ensure the sustainability of the system in place.</w:t>
            </w:r>
          </w:p>
        </w:tc>
      </w:tr>
      <w:tr w:rsidR="00D65F7F" w:rsidRPr="00AB418A" w14:paraId="589B147B" w14:textId="77777777" w:rsidTr="00F74DBA">
        <w:tc>
          <w:tcPr>
            <w:tcW w:w="3539" w:type="dxa"/>
            <w:shd w:val="clear" w:color="auto" w:fill="auto"/>
          </w:tcPr>
          <w:p w14:paraId="3CC16DE7" w14:textId="79829362"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cs="Arial"/>
                <w:b/>
                <w:bCs/>
                <w:color w:val="000000" w:themeColor="text1"/>
                <w:sz w:val="18"/>
                <w:szCs w:val="18"/>
                <w:u w:color="E36C0A"/>
              </w:rPr>
              <w:t xml:space="preserve">D.2 </w:t>
            </w:r>
            <w:r w:rsidRPr="00AB418A">
              <w:rPr>
                <w:rFonts w:ascii="Arial" w:hAnsi="Arial" w:cs="Arial"/>
                <w:b/>
                <w:bCs/>
                <w:color w:val="000000" w:themeColor="text1"/>
                <w:sz w:val="18"/>
                <w:szCs w:val="18"/>
                <w:u w:color="E36C0A"/>
              </w:rPr>
              <w:t>Capacity building</w:t>
            </w:r>
          </w:p>
        </w:tc>
        <w:tc>
          <w:tcPr>
            <w:tcW w:w="11340" w:type="dxa"/>
            <w:shd w:val="clear" w:color="auto" w:fill="auto"/>
          </w:tcPr>
          <w:p w14:paraId="63A1FE06" w14:textId="361FD45D"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5D323C">
              <w:rPr>
                <w:rFonts w:ascii="Arial" w:eastAsia="Times New Roman" w:hAnsi="Arial" w:cs="Arial"/>
                <w:b/>
                <w:bCs/>
                <w:iCs/>
                <w:sz w:val="18"/>
                <w:szCs w:val="18"/>
              </w:rPr>
              <w:t>DESCRIPTION</w:t>
            </w:r>
          </w:p>
        </w:tc>
      </w:tr>
      <w:tr w:rsidR="00D65F7F" w:rsidRPr="00AB418A" w14:paraId="4D8166C3" w14:textId="77777777" w:rsidTr="00F74DBA">
        <w:tc>
          <w:tcPr>
            <w:tcW w:w="3539" w:type="dxa"/>
            <w:shd w:val="clear" w:color="auto" w:fill="auto"/>
          </w:tcPr>
          <w:p w14:paraId="2DD5CF35" w14:textId="215D220C" w:rsidR="00D65F7F" w:rsidRPr="00AB418A"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D.2.1 </w:t>
            </w:r>
            <w:r w:rsidRPr="00AB418A">
              <w:rPr>
                <w:rFonts w:ascii="Arial" w:hAnsi="Arial" w:cs="Arial"/>
                <w:iCs/>
                <w:sz w:val="18"/>
                <w:szCs w:val="18"/>
              </w:rPr>
              <w:t xml:space="preserve">Has there been any discussion on the minimum capacity required for nutrition assessments and capacity mapping? </w:t>
            </w:r>
          </w:p>
        </w:tc>
        <w:tc>
          <w:tcPr>
            <w:tcW w:w="11340" w:type="dxa"/>
            <w:shd w:val="clear" w:color="auto" w:fill="auto"/>
          </w:tcPr>
          <w:p w14:paraId="7E7AF120" w14:textId="16408C4F" w:rsidR="00D65F7F" w:rsidRPr="00AB418A" w:rsidRDefault="00D65F7F" w:rsidP="00D65F7F">
            <w:pPr>
              <w:spacing w:after="60"/>
              <w:rPr>
                <w:rFonts w:ascii="Arial" w:hAnsi="Arial" w:cs="Arial"/>
                <w:iCs/>
                <w:sz w:val="18"/>
                <w:szCs w:val="18"/>
              </w:rPr>
            </w:pPr>
            <w:r w:rsidRPr="00AB418A">
              <w:rPr>
                <w:rStyle w:val="normaltextrun"/>
                <w:rFonts w:ascii="Arial" w:eastAsiaTheme="majorEastAsia" w:hAnsi="Arial" w:cs="Arial"/>
                <w:sz w:val="18"/>
                <w:szCs w:val="18"/>
              </w:rPr>
              <w:t>It is essential to identify reliable staff to collect data. Ideally, experienced staff should be used; an updated list of trained SMART/Rapid SMART survey team enumerators is often maintained by the Nutrition Cluster and/or national</w:t>
            </w:r>
            <w:r w:rsidRPr="00AB418A">
              <w:rPr>
                <w:rStyle w:val="normaltextrun"/>
                <w:rFonts w:ascii="Arial" w:eastAsiaTheme="majorEastAsia" w:hAnsi="Arial" w:cs="Arial"/>
                <w:sz w:val="18"/>
                <w:szCs w:val="18"/>
                <w:lang w:val="en-GB"/>
              </w:rPr>
              <w:t xml:space="preserve"> NIS TWG. A list of trained survey managers in these methodologies can also be requested from the </w:t>
            </w:r>
            <w:hyperlink r:id="rId60" w:history="1">
              <w:r w:rsidRPr="00AB418A">
                <w:rPr>
                  <w:rStyle w:val="Hyperlink"/>
                  <w:rFonts w:ascii="Arial" w:eastAsiaTheme="majorEastAsia" w:hAnsi="Arial" w:cs="Arial"/>
                  <w:sz w:val="18"/>
                  <w:szCs w:val="18"/>
                  <w:lang w:val="en-GB"/>
                </w:rPr>
                <w:t>Global SMART Convener at Action Against Hunger Canada</w:t>
              </w:r>
            </w:hyperlink>
            <w:r w:rsidRPr="00AB418A">
              <w:rPr>
                <w:rStyle w:val="normaltextrun"/>
                <w:rFonts w:ascii="Arial" w:eastAsiaTheme="majorEastAsia" w:hAnsi="Arial" w:cs="Arial"/>
                <w:sz w:val="18"/>
                <w:szCs w:val="18"/>
                <w:lang w:val="en-GB"/>
              </w:rPr>
              <w:t>. UNHCR colleagues would have this information relating to SENS. Additional support for any type of nutrition assessments could also be provided by the </w:t>
            </w:r>
            <w:hyperlink r:id="rId61" w:tgtFrame="_blank" w:history="1">
              <w:r w:rsidRPr="00AB418A">
                <w:rPr>
                  <w:rStyle w:val="normaltextrun"/>
                  <w:rFonts w:ascii="Arial" w:eastAsiaTheme="majorEastAsia" w:hAnsi="Arial" w:cs="Arial"/>
                  <w:color w:val="0563C1"/>
                  <w:sz w:val="18"/>
                  <w:szCs w:val="18"/>
                  <w:u w:val="single"/>
                  <w:lang w:val="en-GB"/>
                </w:rPr>
                <w:t>Technical Alliance Technical Support Team</w:t>
              </w:r>
            </w:hyperlink>
            <w:r w:rsidRPr="00AB418A">
              <w:rPr>
                <w:rStyle w:val="normaltextrun"/>
                <w:rFonts w:ascii="Arial" w:eastAsiaTheme="majorEastAsia" w:hAnsi="Arial" w:cs="Arial"/>
                <w:sz w:val="18"/>
                <w:szCs w:val="18"/>
                <w:lang w:val="en-GB"/>
              </w:rPr>
              <w:t>.</w:t>
            </w:r>
          </w:p>
        </w:tc>
      </w:tr>
      <w:tr w:rsidR="00D65F7F" w:rsidRPr="00AB418A" w14:paraId="705C553C" w14:textId="77777777" w:rsidTr="00F74DBA">
        <w:tc>
          <w:tcPr>
            <w:tcW w:w="3539" w:type="dxa"/>
            <w:shd w:val="clear" w:color="auto" w:fill="auto"/>
          </w:tcPr>
          <w:p w14:paraId="618E4758" w14:textId="47CB506E" w:rsidR="00D65F7F" w:rsidRPr="00AB418A" w:rsidRDefault="00D65F7F" w:rsidP="00D65F7F">
            <w:pPr>
              <w:pStyle w:val="ListParagraph"/>
              <w:numPr>
                <w:ilvl w:val="0"/>
                <w:numId w:val="16"/>
              </w:numPr>
              <w:rPr>
                <w:rFonts w:ascii="Arial" w:hAnsi="Arial" w:cs="Arial"/>
                <w:iCs/>
                <w:sz w:val="18"/>
                <w:szCs w:val="18"/>
              </w:rPr>
            </w:pPr>
            <w:r>
              <w:rPr>
                <w:rFonts w:ascii="Arial" w:hAnsi="Arial" w:cs="Arial"/>
                <w:iCs/>
                <w:sz w:val="18"/>
                <w:szCs w:val="18"/>
              </w:rPr>
              <w:t xml:space="preserve">D.2.2 </w:t>
            </w:r>
            <w:r w:rsidRPr="00AB418A">
              <w:rPr>
                <w:rFonts w:ascii="Arial" w:hAnsi="Arial" w:cs="Arial"/>
                <w:iCs/>
                <w:sz w:val="18"/>
                <w:szCs w:val="18"/>
              </w:rPr>
              <w:t>Does the sector have a capacity building strategy for nutrition assessments and analyses, and if yes, is this being implemented?</w:t>
            </w:r>
          </w:p>
        </w:tc>
        <w:tc>
          <w:tcPr>
            <w:tcW w:w="11340" w:type="dxa"/>
            <w:shd w:val="clear" w:color="auto" w:fill="auto"/>
          </w:tcPr>
          <w:p w14:paraId="2A53EA9D" w14:textId="2DEAC258" w:rsidR="00D65F7F" w:rsidRPr="00AB418A" w:rsidRDefault="00D65F7F" w:rsidP="00D65F7F">
            <w:pPr>
              <w:spacing w:after="60"/>
              <w:rPr>
                <w:rFonts w:ascii="Arial" w:hAnsi="Arial" w:cs="Arial"/>
                <w:iCs/>
                <w:sz w:val="18"/>
                <w:szCs w:val="18"/>
              </w:rPr>
            </w:pPr>
            <w:r w:rsidRPr="00AB418A">
              <w:rPr>
                <w:rStyle w:val="normaltextrun"/>
                <w:rFonts w:ascii="Arial" w:eastAsiaTheme="majorEastAsia" w:hAnsi="Arial" w:cs="Arial"/>
                <w:sz w:val="18"/>
                <w:szCs w:val="18"/>
                <w:lang w:val="en-GB"/>
              </w:rPr>
              <w:t>The capacity building strategy need to address the gaps in the capacity mapping in nutrition assessments and analyses. The strategy would need to then be integrated into an operational plan with person responsible and timeline. A follow up on the plan would need to take place frequently to ensure that the targets are reached within the timeline set.</w:t>
            </w:r>
          </w:p>
        </w:tc>
      </w:tr>
      <w:tr w:rsidR="00D65F7F" w:rsidRPr="00AB418A" w14:paraId="0869FDA7" w14:textId="77777777" w:rsidTr="00F74DBA">
        <w:tc>
          <w:tcPr>
            <w:tcW w:w="3539" w:type="dxa"/>
            <w:shd w:val="clear" w:color="auto" w:fill="auto"/>
          </w:tcPr>
          <w:p w14:paraId="3B5155CF" w14:textId="68B87616"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D.2.3 </w:t>
            </w:r>
            <w:r w:rsidRPr="00AB418A">
              <w:rPr>
                <w:rFonts w:ascii="Arial" w:hAnsi="Arial" w:cs="Arial"/>
                <w:iCs/>
                <w:sz w:val="18"/>
                <w:szCs w:val="18"/>
              </w:rPr>
              <w:t xml:space="preserve">Is there a pool of trained personnel in different nutrition survey methodologies in-country? </w:t>
            </w:r>
          </w:p>
        </w:tc>
        <w:tc>
          <w:tcPr>
            <w:tcW w:w="11340" w:type="dxa"/>
            <w:shd w:val="clear" w:color="auto" w:fill="auto"/>
          </w:tcPr>
          <w:p w14:paraId="3A55CB6E" w14:textId="5ADAEC09"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Style w:val="normaltextrun"/>
                <w:rFonts w:ascii="Arial" w:eastAsiaTheme="majorEastAsia" w:hAnsi="Arial" w:cs="Arial"/>
                <w:sz w:val="18"/>
                <w:szCs w:val="18"/>
              </w:rPr>
              <w:t>It is essential to identify reliable staff to collect data. Ideally, experienced staff should be used; an updated list of trained SMART/Rapid SMART survey team enumerators is often maintained by the Nutrition Cluster and/or national</w:t>
            </w:r>
            <w:r w:rsidRPr="00AB418A">
              <w:rPr>
                <w:rStyle w:val="normaltextrun"/>
                <w:rFonts w:ascii="Arial" w:eastAsiaTheme="majorEastAsia" w:hAnsi="Arial" w:cs="Arial"/>
                <w:sz w:val="18"/>
                <w:szCs w:val="18"/>
                <w:lang w:val="en-GB"/>
              </w:rPr>
              <w:t xml:space="preserve"> NIS TWG. A list of trained survey managers in these methodologies can also be requested from the </w:t>
            </w:r>
            <w:hyperlink r:id="rId62" w:history="1">
              <w:r w:rsidRPr="00AB418A">
                <w:rPr>
                  <w:rStyle w:val="Hyperlink"/>
                  <w:rFonts w:ascii="Arial" w:eastAsiaTheme="majorEastAsia" w:hAnsi="Arial" w:cs="Arial"/>
                  <w:sz w:val="18"/>
                  <w:szCs w:val="18"/>
                  <w:lang w:val="en-GB"/>
                </w:rPr>
                <w:t>Global SMART Convener at Action Against Hunger Canada</w:t>
              </w:r>
            </w:hyperlink>
            <w:r w:rsidRPr="00AB418A">
              <w:rPr>
                <w:rStyle w:val="normaltextrun"/>
                <w:rFonts w:ascii="Arial" w:eastAsiaTheme="majorEastAsia" w:hAnsi="Arial" w:cs="Arial"/>
                <w:sz w:val="18"/>
                <w:szCs w:val="18"/>
                <w:lang w:val="en-GB"/>
              </w:rPr>
              <w:t>. UNHCR colleagues would have this information relating to SENS. Additional support for any type of nutrition assessments could also be provided by the </w:t>
            </w:r>
            <w:hyperlink r:id="rId63" w:tgtFrame="_blank" w:history="1">
              <w:r w:rsidRPr="00AB418A">
                <w:rPr>
                  <w:rStyle w:val="normaltextrun"/>
                  <w:rFonts w:ascii="Arial" w:eastAsiaTheme="majorEastAsia" w:hAnsi="Arial" w:cs="Arial"/>
                  <w:color w:val="0563C1"/>
                  <w:sz w:val="18"/>
                  <w:szCs w:val="18"/>
                  <w:u w:val="single"/>
                  <w:lang w:val="en-GB"/>
                </w:rPr>
                <w:t>Technical Alliance Technical Support Team</w:t>
              </w:r>
            </w:hyperlink>
            <w:r w:rsidRPr="00AB418A">
              <w:rPr>
                <w:rStyle w:val="normaltextrun"/>
                <w:rFonts w:ascii="Arial" w:eastAsiaTheme="majorEastAsia" w:hAnsi="Arial" w:cs="Arial"/>
                <w:sz w:val="18"/>
                <w:szCs w:val="18"/>
                <w:lang w:val="en-GB"/>
              </w:rPr>
              <w:t>.</w:t>
            </w:r>
          </w:p>
        </w:tc>
      </w:tr>
      <w:tr w:rsidR="00D65F7F" w:rsidRPr="00AB418A" w14:paraId="2659FCF3" w14:textId="77777777" w:rsidTr="00F74DBA">
        <w:tc>
          <w:tcPr>
            <w:tcW w:w="3539" w:type="dxa"/>
            <w:shd w:val="clear" w:color="auto" w:fill="auto"/>
          </w:tcPr>
          <w:p w14:paraId="6534961B" w14:textId="65F03EA6"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D.2.4 </w:t>
            </w:r>
            <w:r w:rsidRPr="00AB418A">
              <w:rPr>
                <w:rFonts w:ascii="Arial" w:hAnsi="Arial" w:cs="Arial"/>
                <w:iCs/>
                <w:sz w:val="18"/>
                <w:szCs w:val="18"/>
              </w:rPr>
              <w:t>Are there pre-determined trainers on the different types of nutrition surveys?</w:t>
            </w:r>
          </w:p>
        </w:tc>
        <w:tc>
          <w:tcPr>
            <w:tcW w:w="11340" w:type="dxa"/>
            <w:shd w:val="clear" w:color="auto" w:fill="auto"/>
          </w:tcPr>
          <w:p w14:paraId="2D6F6A9E" w14:textId="191826BD"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hAnsi="Arial" w:cs="Arial"/>
                <w:iCs/>
                <w:sz w:val="18"/>
                <w:szCs w:val="18"/>
              </w:rPr>
              <w:t xml:space="preserve">Training a pool of health and nutrition personnel as trainers in population representative surveys will facilitate the roll out of trainings and subsequent quality data collection in-country. If this measure is planned and implemented during non-emergency times, this pool of trainers can support the roll out of trainings to specific personnel of areas hit by a humanitarian crisis. </w:t>
            </w:r>
          </w:p>
        </w:tc>
      </w:tr>
      <w:tr w:rsidR="00D65F7F" w:rsidRPr="00AB418A" w14:paraId="0227D4F3" w14:textId="77777777" w:rsidTr="00F74DBA">
        <w:tc>
          <w:tcPr>
            <w:tcW w:w="3539" w:type="dxa"/>
            <w:shd w:val="clear" w:color="auto" w:fill="auto"/>
          </w:tcPr>
          <w:p w14:paraId="218565E0" w14:textId="6CC257EC"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D.2.5 </w:t>
            </w:r>
            <w:r w:rsidRPr="00AB418A">
              <w:rPr>
                <w:rFonts w:ascii="Arial" w:hAnsi="Arial" w:cs="Arial"/>
                <w:iCs/>
                <w:sz w:val="18"/>
                <w:szCs w:val="18"/>
              </w:rPr>
              <w:t xml:space="preserve">Has there been a </w:t>
            </w:r>
            <w:r w:rsidRPr="00AB418A">
              <w:rPr>
                <w:rFonts w:ascii="Arial" w:hAnsi="Arial" w:cs="Arial"/>
                <w:b/>
                <w:iCs/>
                <w:sz w:val="18"/>
                <w:szCs w:val="18"/>
              </w:rPr>
              <w:t xml:space="preserve">mapping of the capacity </w:t>
            </w:r>
            <w:r w:rsidRPr="00AB418A">
              <w:rPr>
                <w:rFonts w:ascii="Arial" w:hAnsi="Arial" w:cs="Arial"/>
                <w:iCs/>
                <w:sz w:val="18"/>
                <w:szCs w:val="18"/>
              </w:rPr>
              <w:t>of local partners to assess the nutrition situation during a crisis?</w:t>
            </w:r>
          </w:p>
        </w:tc>
        <w:tc>
          <w:tcPr>
            <w:tcW w:w="11340" w:type="dxa"/>
            <w:shd w:val="clear" w:color="auto" w:fill="auto"/>
          </w:tcPr>
          <w:p w14:paraId="2B8812DD" w14:textId="77777777" w:rsidR="00D65F7F" w:rsidRPr="00AB418A" w:rsidRDefault="00D65F7F" w:rsidP="00D65F7F">
            <w:pPr>
              <w:pStyle w:val="paragraph"/>
              <w:spacing w:before="0" w:beforeAutospacing="0" w:after="0" w:afterAutospacing="0"/>
              <w:textAlignment w:val="baseline"/>
              <w:rPr>
                <w:rFonts w:ascii="Arial" w:hAnsi="Arial" w:cs="Arial"/>
                <w:iCs/>
                <w:sz w:val="18"/>
                <w:szCs w:val="18"/>
                <w:lang w:val="en-CA"/>
              </w:rPr>
            </w:pPr>
            <w:r w:rsidRPr="00AB418A">
              <w:rPr>
                <w:rFonts w:ascii="Arial" w:hAnsi="Arial" w:cs="Arial"/>
                <w:iCs/>
                <w:sz w:val="18"/>
                <w:szCs w:val="18"/>
                <w:lang w:val="en-CA"/>
              </w:rPr>
              <w:t>Mapping the capacity of partners to collect and use nutrition information is the first step to a relevant capacity building plan. This allows the country to understand how much the cluster/sector should rely on in-country capacities and how much on external support such as regional capacity, the Global Nutrition Cluster and/or the GNC Technical Alliance.</w:t>
            </w:r>
          </w:p>
          <w:p w14:paraId="15A1FB06" w14:textId="1E4880ED"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hAnsi="Arial" w:cs="Arial"/>
                <w:iCs/>
                <w:sz w:val="18"/>
                <w:szCs w:val="18"/>
              </w:rPr>
              <w:t xml:space="preserve"> </w:t>
            </w:r>
          </w:p>
        </w:tc>
      </w:tr>
      <w:tr w:rsidR="00D65F7F" w:rsidRPr="00AB418A" w14:paraId="7C991696" w14:textId="77777777" w:rsidTr="00F74DBA">
        <w:tc>
          <w:tcPr>
            <w:tcW w:w="3539" w:type="dxa"/>
            <w:shd w:val="clear" w:color="auto" w:fill="auto"/>
          </w:tcPr>
          <w:p w14:paraId="3EEFFB66" w14:textId="08C76520"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lastRenderedPageBreak/>
              <w:t xml:space="preserve">D.2.6 </w:t>
            </w:r>
            <w:r w:rsidRPr="00AB418A">
              <w:rPr>
                <w:rFonts w:ascii="Arial" w:hAnsi="Arial" w:cs="Arial"/>
                <w:iCs/>
                <w:sz w:val="18"/>
                <w:szCs w:val="18"/>
              </w:rPr>
              <w:t xml:space="preserve">Is there a focal organization that partners can rely on or go to for expert nutrition information system advice? </w:t>
            </w:r>
          </w:p>
        </w:tc>
        <w:tc>
          <w:tcPr>
            <w:tcW w:w="11340" w:type="dxa"/>
            <w:shd w:val="clear" w:color="auto" w:fill="auto"/>
          </w:tcPr>
          <w:p w14:paraId="178C4E00" w14:textId="764DB9BF"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hAnsi="Arial" w:cs="Arial"/>
                <w:iCs/>
                <w:sz w:val="18"/>
                <w:szCs w:val="18"/>
              </w:rPr>
              <w:t>In line with the point above, an expert agency in-country can be requested to train and/or orient other partners nutrition assessments and utilization of its results for key interventions.</w:t>
            </w:r>
          </w:p>
        </w:tc>
      </w:tr>
      <w:tr w:rsidR="00D65F7F" w:rsidRPr="00AB418A" w14:paraId="5512DF23" w14:textId="77777777" w:rsidTr="00F74DBA">
        <w:tc>
          <w:tcPr>
            <w:tcW w:w="3539" w:type="dxa"/>
            <w:shd w:val="clear" w:color="auto" w:fill="auto"/>
          </w:tcPr>
          <w:p w14:paraId="4D21117E" w14:textId="7EB85FA6"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D.2.7 </w:t>
            </w:r>
            <w:r w:rsidRPr="00AB418A">
              <w:rPr>
                <w:rFonts w:ascii="Arial" w:hAnsi="Arial" w:cs="Arial"/>
                <w:iCs/>
                <w:sz w:val="18"/>
                <w:szCs w:val="18"/>
              </w:rPr>
              <w:t>Is there an in-country repository for NIS guidelines, operational processes</w:t>
            </w:r>
            <w:r>
              <w:rPr>
                <w:rFonts w:ascii="Arial" w:hAnsi="Arial" w:cs="Arial"/>
                <w:iCs/>
                <w:sz w:val="18"/>
                <w:szCs w:val="18"/>
              </w:rPr>
              <w:t>,</w:t>
            </w:r>
            <w:r w:rsidRPr="00AB418A">
              <w:rPr>
                <w:rFonts w:ascii="Arial" w:hAnsi="Arial" w:cs="Arial"/>
                <w:iCs/>
                <w:sz w:val="18"/>
                <w:szCs w:val="18"/>
              </w:rPr>
              <w:t xml:space="preserve"> and key tools in local language(s)?</w:t>
            </w:r>
          </w:p>
        </w:tc>
        <w:tc>
          <w:tcPr>
            <w:tcW w:w="11340" w:type="dxa"/>
            <w:shd w:val="clear" w:color="auto" w:fill="auto"/>
          </w:tcPr>
          <w:p w14:paraId="08A8F6DB" w14:textId="2543C0EB"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hAnsi="Arial" w:cs="Arial"/>
                <w:iCs/>
                <w:sz w:val="18"/>
                <w:szCs w:val="18"/>
              </w:rPr>
              <w:t>Each country should have an up-to-date, centralized repository of the aforementioned national guidelines and operational processes for its NIS, including a contingency plan in case of a humanitarian crisis. This would in turn facilitate their use and the partner’s adherence to the various documents. It is important that these documents are contextualized, practical and well-articulated in local language(s) as much as possible. During non-crisis times, it is important to advocate to the Nutrition Cluster and</w:t>
            </w:r>
            <w:r w:rsidRPr="00AB418A">
              <w:rPr>
                <w:rFonts w:ascii="Arial" w:hAnsi="Arial" w:cs="Arial"/>
                <w:iCs/>
                <w:sz w:val="18"/>
                <w:szCs w:val="18"/>
                <w:lang w:val="en-US"/>
              </w:rPr>
              <w:t xml:space="preserve">/or </w:t>
            </w:r>
            <w:r w:rsidRPr="00AB418A">
              <w:rPr>
                <w:rFonts w:ascii="Arial" w:hAnsi="Arial" w:cs="Arial"/>
                <w:iCs/>
                <w:sz w:val="18"/>
                <w:szCs w:val="18"/>
              </w:rPr>
              <w:t xml:space="preserve">national NIS TWG for this work to be initiated and completed. A national repository of all these components ensures a streamlined approach to nutrition information for decision-making before, during or after a humanitarian crisis whether online via </w:t>
            </w:r>
            <w:hyperlink r:id="rId64" w:history="1">
              <w:r w:rsidRPr="00AB418A">
                <w:rPr>
                  <w:rStyle w:val="Hyperlink"/>
                  <w:rFonts w:ascii="Arial" w:hAnsi="Arial" w:cs="Arial"/>
                  <w:iCs/>
                  <w:sz w:val="18"/>
                  <w:szCs w:val="18"/>
                </w:rPr>
                <w:t>https://www.humanitarianresponse.info/</w:t>
              </w:r>
            </w:hyperlink>
            <w:r w:rsidRPr="00AB418A">
              <w:rPr>
                <w:rFonts w:ascii="Arial" w:hAnsi="Arial" w:cs="Arial"/>
                <w:iCs/>
                <w:sz w:val="18"/>
                <w:szCs w:val="18"/>
              </w:rPr>
              <w:t>, or if connection is available or through other storage options if not (USB key for example)-so that all partners have access to the guidance, tools and templates they need for the response.</w:t>
            </w:r>
          </w:p>
        </w:tc>
      </w:tr>
      <w:tr w:rsidR="00D65F7F" w:rsidRPr="00AB418A" w14:paraId="4E01BF0F" w14:textId="77777777" w:rsidTr="00F74DBA">
        <w:tc>
          <w:tcPr>
            <w:tcW w:w="3539" w:type="dxa"/>
            <w:shd w:val="clear" w:color="auto" w:fill="auto"/>
          </w:tcPr>
          <w:p w14:paraId="2557EAE6" w14:textId="507F7F8C" w:rsidR="00D65F7F" w:rsidRPr="00AB418A" w:rsidRDefault="00D65F7F" w:rsidP="00D65F7F">
            <w:pPr>
              <w:pStyle w:val="ListParagraph"/>
              <w:numPr>
                <w:ilvl w:val="0"/>
                <w:numId w:val="16"/>
              </w:numPr>
              <w:rPr>
                <w:rFonts w:ascii="Arial" w:hAnsi="Arial" w:cs="Arial"/>
                <w:b/>
                <w:bCs/>
                <w:sz w:val="18"/>
                <w:szCs w:val="18"/>
              </w:rPr>
            </w:pPr>
            <w:r>
              <w:rPr>
                <w:rFonts w:ascii="Arial" w:hAnsi="Arial" w:cs="Arial"/>
                <w:iCs/>
                <w:sz w:val="18"/>
                <w:szCs w:val="18"/>
              </w:rPr>
              <w:t xml:space="preserve">D.2.8 </w:t>
            </w:r>
            <w:r w:rsidRPr="00AB418A">
              <w:rPr>
                <w:rFonts w:ascii="Arial" w:hAnsi="Arial" w:cs="Arial"/>
                <w:iCs/>
                <w:sz w:val="18"/>
                <w:szCs w:val="18"/>
              </w:rPr>
              <w:t xml:space="preserve">Are there training materials in NIS recommend survey methodologies ready in the local language(s)? </w:t>
            </w:r>
          </w:p>
        </w:tc>
        <w:tc>
          <w:tcPr>
            <w:tcW w:w="11340" w:type="dxa"/>
            <w:shd w:val="clear" w:color="auto" w:fill="auto"/>
          </w:tcPr>
          <w:p w14:paraId="38DB3EB7" w14:textId="1FD891C8" w:rsidR="00D65F7F" w:rsidRPr="00AB418A"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hAnsi="Arial" w:cs="Arial"/>
                <w:iCs/>
                <w:sz w:val="18"/>
                <w:szCs w:val="18"/>
              </w:rPr>
              <w:t xml:space="preserve">Translating agreed-upon survey methodologies into training material in the local language for the survey team personnel will facilitate the dissemination and uptake. Based on the common sources of nutrition-related data, a number of existing training materials already exist: </w:t>
            </w:r>
            <w:hyperlink r:id="rId65" w:tgtFrame="_blank" w:history="1">
              <w:r w:rsidRPr="00AB418A">
                <w:rPr>
                  <w:rStyle w:val="normaltextrun"/>
                  <w:rFonts w:ascii="Arial" w:eastAsiaTheme="majorEastAsia" w:hAnsi="Arial" w:cs="Arial"/>
                  <w:color w:val="0563C1"/>
                  <w:sz w:val="18"/>
                  <w:szCs w:val="18"/>
                  <w:u w:val="single"/>
                </w:rPr>
                <w:t>SMART capacity building toolbox methodology</w:t>
              </w:r>
            </w:hyperlink>
            <w:r w:rsidRPr="00AB418A">
              <w:rPr>
                <w:rFonts w:ascii="Arial" w:hAnsi="Arial" w:cs="Arial"/>
                <w:sz w:val="18"/>
                <w:szCs w:val="18"/>
              </w:rPr>
              <w:t xml:space="preserve"> (same training materials can be used for Rapid SMART surveys) that is available in Arabic, English, French, and Spanish at both survey manager and survey team/enumerator levels; UNHCR’s </w:t>
            </w:r>
            <w:hyperlink r:id="rId66" w:history="1">
              <w:r w:rsidRPr="00AB418A">
                <w:rPr>
                  <w:rStyle w:val="Hyperlink"/>
                  <w:rFonts w:ascii="Arial" w:hAnsi="Arial" w:cs="Arial"/>
                  <w:sz w:val="18"/>
                  <w:szCs w:val="18"/>
                </w:rPr>
                <w:t>SENS</w:t>
              </w:r>
            </w:hyperlink>
            <w:r w:rsidRPr="00AB418A">
              <w:rPr>
                <w:rFonts w:ascii="Arial" w:hAnsi="Arial" w:cs="Arial"/>
                <w:sz w:val="18"/>
                <w:szCs w:val="18"/>
              </w:rPr>
              <w:t xml:space="preserve"> available in English and French for survey teams/enumerators; coverage surveys like </w:t>
            </w:r>
            <w:hyperlink r:id="rId67" w:tgtFrame="_blank" w:history="1">
              <w:r w:rsidRPr="00AB418A">
                <w:rPr>
                  <w:rFonts w:ascii="Arial" w:eastAsia="Times New Roman" w:hAnsi="Arial" w:cs="Arial"/>
                  <w:color w:val="0563C1"/>
                  <w:sz w:val="18"/>
                  <w:szCs w:val="18"/>
                  <w:u w:val="single"/>
                  <w:lang w:eastAsia="fr-FR"/>
                </w:rPr>
                <w:t>SQUEAC capacity building materials</w:t>
              </w:r>
            </w:hyperlink>
            <w:r w:rsidRPr="00AB418A">
              <w:rPr>
                <w:rFonts w:ascii="Trebuchet MS" w:eastAsia="Times New Roman" w:hAnsi="Trebuchet MS" w:cs="Segoe UI"/>
                <w:sz w:val="18"/>
                <w:szCs w:val="18"/>
                <w:lang w:eastAsia="fr-FR"/>
              </w:rPr>
              <w:t> </w:t>
            </w:r>
            <w:r w:rsidRPr="00AB418A">
              <w:rPr>
                <w:rFonts w:ascii="Arial" w:hAnsi="Arial" w:cs="Arial"/>
                <w:sz w:val="18"/>
                <w:szCs w:val="18"/>
              </w:rPr>
              <w:t xml:space="preserve">available in English at both survey manager and survey team/enumerator levels. Additional training materials may be also available through Nutrition Cluster partners. </w:t>
            </w:r>
          </w:p>
        </w:tc>
      </w:tr>
      <w:tr w:rsidR="00D65F7F" w:rsidRPr="00AB418A" w14:paraId="21D5683C" w14:textId="77777777" w:rsidTr="00F74DBA">
        <w:tc>
          <w:tcPr>
            <w:tcW w:w="3539" w:type="dxa"/>
            <w:shd w:val="clear" w:color="auto" w:fill="auto"/>
          </w:tcPr>
          <w:p w14:paraId="500728AA" w14:textId="464D0902"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Pr>
                <w:rFonts w:ascii="Arial" w:hAnsi="Arial" w:cs="Arial"/>
                <w:b/>
                <w:bCs/>
                <w:color w:val="000000" w:themeColor="text1"/>
                <w:sz w:val="18"/>
                <w:szCs w:val="18"/>
                <w:u w:color="E36C0A"/>
              </w:rPr>
              <w:t xml:space="preserve">D.3 </w:t>
            </w:r>
            <w:r w:rsidRPr="00AB418A">
              <w:rPr>
                <w:rFonts w:ascii="Arial" w:hAnsi="Arial" w:cs="Arial"/>
                <w:b/>
                <w:bCs/>
                <w:color w:val="000000" w:themeColor="text1"/>
                <w:sz w:val="18"/>
                <w:szCs w:val="18"/>
                <w:u w:color="E36C0A"/>
              </w:rPr>
              <w:t>Resource Mobilization</w:t>
            </w:r>
          </w:p>
        </w:tc>
        <w:tc>
          <w:tcPr>
            <w:tcW w:w="11340" w:type="dxa"/>
            <w:shd w:val="clear" w:color="auto" w:fill="auto"/>
          </w:tcPr>
          <w:p w14:paraId="3DAFF1A0" w14:textId="5237BB47" w:rsidR="00D65F7F" w:rsidRPr="00AB418A" w:rsidRDefault="00D65F7F" w:rsidP="00D65F7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themeColor="text1"/>
                <w:sz w:val="18"/>
                <w:szCs w:val="18"/>
                <w:u w:color="E36C0A"/>
              </w:rPr>
            </w:pPr>
            <w:r w:rsidRPr="005D323C">
              <w:rPr>
                <w:rFonts w:ascii="Arial" w:eastAsia="Times New Roman" w:hAnsi="Arial" w:cs="Arial"/>
                <w:b/>
                <w:bCs/>
                <w:iCs/>
                <w:sz w:val="18"/>
                <w:szCs w:val="18"/>
              </w:rPr>
              <w:t>DESCRIPTION</w:t>
            </w:r>
          </w:p>
        </w:tc>
      </w:tr>
      <w:tr w:rsidR="00D65F7F" w:rsidRPr="00D73CA5" w14:paraId="01FD2FD4" w14:textId="77777777" w:rsidTr="00F74DBA">
        <w:tc>
          <w:tcPr>
            <w:tcW w:w="3539" w:type="dxa"/>
            <w:shd w:val="clear" w:color="auto" w:fill="auto"/>
          </w:tcPr>
          <w:p w14:paraId="40E23177" w14:textId="78B23EE5" w:rsidR="00D65F7F" w:rsidRPr="00AB418A" w:rsidRDefault="00D65F7F" w:rsidP="00D65F7F">
            <w:pPr>
              <w:pStyle w:val="ListParagraph"/>
              <w:numPr>
                <w:ilvl w:val="0"/>
                <w:numId w:val="16"/>
              </w:numPr>
              <w:rPr>
                <w:rFonts w:ascii="Arial" w:hAnsi="Arial" w:cs="Arial"/>
                <w:bCs/>
                <w:sz w:val="18"/>
                <w:szCs w:val="18"/>
              </w:rPr>
            </w:pPr>
            <w:r>
              <w:rPr>
                <w:rFonts w:ascii="Arial" w:hAnsi="Arial" w:cs="Arial"/>
                <w:bCs/>
                <w:sz w:val="18"/>
                <w:szCs w:val="18"/>
              </w:rPr>
              <w:t xml:space="preserve">D.3.1 </w:t>
            </w:r>
            <w:r w:rsidRPr="00AB418A">
              <w:rPr>
                <w:rFonts w:ascii="Arial" w:hAnsi="Arial" w:cs="Arial"/>
                <w:bCs/>
                <w:sz w:val="18"/>
                <w:szCs w:val="18"/>
              </w:rPr>
              <w:t>Are resources available to implement all activities within the nutrition information system?</w:t>
            </w:r>
          </w:p>
        </w:tc>
        <w:tc>
          <w:tcPr>
            <w:tcW w:w="11340" w:type="dxa"/>
            <w:shd w:val="clear" w:color="auto" w:fill="auto"/>
          </w:tcPr>
          <w:p w14:paraId="4493F6EE" w14:textId="77777777" w:rsidR="00D65F7F" w:rsidRPr="00AB418A" w:rsidRDefault="00D65F7F" w:rsidP="00D65F7F">
            <w:pPr>
              <w:spacing w:after="60"/>
              <w:rPr>
                <w:rFonts w:ascii="Arial" w:hAnsi="Arial" w:cs="Arial"/>
                <w:sz w:val="18"/>
                <w:szCs w:val="18"/>
              </w:rPr>
            </w:pPr>
            <w:r w:rsidRPr="00AB418A">
              <w:rPr>
                <w:rFonts w:ascii="Arial" w:hAnsi="Arial" w:cs="Arial"/>
                <w:sz w:val="18"/>
                <w:szCs w:val="18"/>
              </w:rPr>
              <w:t>During the planning processes, countries should cost NIS activities and advocate for appropriate resource allocation to meet NIS needs. Countries should ensure that funding for assessments are timely align with survey objectives (seasonality, population movements etc.)</w:t>
            </w:r>
          </w:p>
          <w:p w14:paraId="40907C4B" w14:textId="5D9748EF" w:rsidR="00D65F7F" w:rsidRPr="00D73CA5" w:rsidRDefault="00D65F7F" w:rsidP="00D65F7F">
            <w:pPr>
              <w:spacing w:after="60"/>
              <w:rPr>
                <w:rFonts w:ascii="Arial" w:eastAsia="Arial Unicode MS" w:hAnsi="Arial" w:cs="Arial"/>
                <w:color w:val="000000"/>
                <w:sz w:val="18"/>
                <w:szCs w:val="18"/>
                <w:u w:color="000000"/>
                <w:bdr w:val="nil"/>
                <w:lang w:eastAsia="fr-FR"/>
              </w:rPr>
            </w:pPr>
            <w:r w:rsidRPr="00AB418A">
              <w:rPr>
                <w:rFonts w:ascii="Arial" w:eastAsia="Arial Unicode MS" w:hAnsi="Arial" w:cs="Arial"/>
                <w:color w:val="000000"/>
                <w:sz w:val="18"/>
                <w:szCs w:val="18"/>
                <w:u w:color="000000"/>
                <w:bdr w:val="nil"/>
                <w:lang w:eastAsia="fr-FR"/>
              </w:rPr>
              <w:t>Ensure diversification of funding sources with different donors/partners</w:t>
            </w:r>
          </w:p>
        </w:tc>
      </w:tr>
    </w:tbl>
    <w:p w14:paraId="4FBC0923" w14:textId="2815A827" w:rsidR="007523F9" w:rsidRDefault="007523F9" w:rsidP="004613C7"/>
    <w:sectPr w:rsidR="007523F9" w:rsidSect="00F74DBA">
      <w:headerReference w:type="default" r:id="rId68"/>
      <w:endnotePr>
        <w:numFmt w:val="decimal"/>
      </w:endnotePr>
      <w:pgSz w:w="16838" w:h="11906" w:orient="landscape"/>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A4414" w14:textId="77777777" w:rsidR="00530B4A" w:rsidRDefault="00530B4A" w:rsidP="00D97F59">
      <w:pPr>
        <w:spacing w:after="0" w:line="240" w:lineRule="auto"/>
      </w:pPr>
      <w:r>
        <w:separator/>
      </w:r>
    </w:p>
  </w:endnote>
  <w:endnote w:type="continuationSeparator" w:id="0">
    <w:p w14:paraId="5A1FAECB" w14:textId="77777777" w:rsidR="00530B4A" w:rsidRDefault="00530B4A" w:rsidP="00D97F59">
      <w:pPr>
        <w:spacing w:after="0" w:line="240" w:lineRule="auto"/>
      </w:pPr>
      <w:r>
        <w:continuationSeparator/>
      </w:r>
    </w:p>
  </w:endnote>
  <w:endnote w:id="1">
    <w:p w14:paraId="4F25F6A6" w14:textId="77777777" w:rsidR="00D65F7F" w:rsidRPr="00172C4A" w:rsidRDefault="00D65F7F" w:rsidP="00172C4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59621" w14:textId="77777777" w:rsidR="00530B4A" w:rsidRDefault="00530B4A" w:rsidP="00D97F59">
      <w:pPr>
        <w:spacing w:after="0" w:line="240" w:lineRule="auto"/>
      </w:pPr>
      <w:r>
        <w:separator/>
      </w:r>
    </w:p>
  </w:footnote>
  <w:footnote w:type="continuationSeparator" w:id="0">
    <w:p w14:paraId="61AA4B56" w14:textId="77777777" w:rsidR="00530B4A" w:rsidRDefault="00530B4A" w:rsidP="00D97F59">
      <w:pPr>
        <w:spacing w:after="0" w:line="240" w:lineRule="auto"/>
      </w:pPr>
      <w:r>
        <w:continuationSeparator/>
      </w:r>
    </w:p>
  </w:footnote>
  <w:footnote w:id="1">
    <w:p w14:paraId="27E58AE1" w14:textId="77777777" w:rsidR="009739EB" w:rsidRPr="00172C4A" w:rsidRDefault="009739EB" w:rsidP="009739EB">
      <w:pPr>
        <w:pStyle w:val="FootnoteText"/>
        <w:rPr>
          <w:lang w:val="en-CA"/>
        </w:rPr>
      </w:pPr>
      <w:r>
        <w:rPr>
          <w:rStyle w:val="FootnoteReference"/>
        </w:rPr>
        <w:footnoteRef/>
      </w:r>
      <w:r>
        <w:t xml:space="preserve"> </w:t>
      </w:r>
      <w:r w:rsidRPr="00172C4A">
        <w:rPr>
          <w:rFonts w:ascii="Arial" w:hAnsi="Arial" w:cs="Arial"/>
          <w:sz w:val="16"/>
          <w:szCs w:val="16"/>
        </w:rPr>
        <w:t>A number of key points have drawn from the upcoming National NIS guide from UNICEF as well as: Recommendations for data collection, analysis and reporting on anthropometric indicators in children under 5 years old. Geneva: World Health Organization and the United Nations Children’s Fund (UNICEF), 2019. Licence: CC BY-NC-SA 3.0 IGO. Cataloguing-in-Publication (CIP)</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9795" w14:textId="490C29D0" w:rsidR="00AF0D44" w:rsidRDefault="00AF0D44">
    <w:pPr>
      <w:pStyle w:val="Header"/>
    </w:pPr>
    <w:r w:rsidRPr="005B1444">
      <w:rPr>
        <w:b/>
        <w:noProof/>
        <w:color w:val="76923C" w:themeColor="accent3" w:themeShade="BF"/>
        <w:lang w:val="en-GB" w:eastAsia="en-GB"/>
      </w:rPr>
      <mc:AlternateContent>
        <mc:Choice Requires="wps">
          <w:drawing>
            <wp:anchor distT="45720" distB="45720" distL="114300" distR="114300" simplePos="0" relativeHeight="251661312" behindDoc="0" locked="0" layoutInCell="1" allowOverlap="1" wp14:anchorId="1206958A" wp14:editId="64011DA3">
              <wp:simplePos x="0" y="0"/>
              <wp:positionH relativeFrom="page">
                <wp:posOffset>5024120</wp:posOffset>
              </wp:positionH>
              <wp:positionV relativeFrom="paragraph">
                <wp:posOffset>-457200</wp:posOffset>
              </wp:positionV>
              <wp:extent cx="1828800" cy="952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52500"/>
                      </a:xfrm>
                      <a:prstGeom prst="rect">
                        <a:avLst/>
                      </a:prstGeom>
                      <a:solidFill>
                        <a:srgbClr val="FFFFFF"/>
                      </a:solidFill>
                      <a:ln w="9525">
                        <a:noFill/>
                        <a:miter lim="800000"/>
                        <a:headEnd/>
                        <a:tailEnd/>
                      </a:ln>
                    </wps:spPr>
                    <wps:txbx>
                      <w:txbxContent>
                        <w:p w14:paraId="36972EB6" w14:textId="77777777" w:rsidR="00AF0D44" w:rsidRPr="006A0275" w:rsidRDefault="00AF0D44" w:rsidP="005972E2">
                          <w:pPr>
                            <w:spacing w:after="0" w:line="240" w:lineRule="auto"/>
                            <w:rPr>
                              <w:rFonts w:ascii="Arial" w:hAnsi="Arial" w:cs="Arial"/>
                              <w:color w:val="808285"/>
                              <w:sz w:val="40"/>
                            </w:rPr>
                          </w:pPr>
                          <w:r>
                            <w:rPr>
                              <w:rFonts w:ascii="Arial" w:hAnsi="Arial" w:cs="Arial"/>
                              <w:color w:val="808285"/>
                              <w:sz w:val="40"/>
                            </w:rPr>
                            <w:t>Global</w:t>
                          </w:r>
                        </w:p>
                        <w:p w14:paraId="60E7BB81" w14:textId="77777777" w:rsidR="00AF0D44" w:rsidRPr="006A0275" w:rsidRDefault="00AF0D44" w:rsidP="005972E2">
                          <w:pPr>
                            <w:spacing w:after="0" w:line="240" w:lineRule="auto"/>
                            <w:rPr>
                              <w:rFonts w:ascii="Arial" w:hAnsi="Arial" w:cs="Arial"/>
                              <w:b/>
                              <w:color w:val="95C93D"/>
                              <w:sz w:val="44"/>
                            </w:rPr>
                          </w:pPr>
                          <w:r w:rsidRPr="006A0275">
                            <w:rPr>
                              <w:rFonts w:ascii="Arial" w:hAnsi="Arial" w:cs="Arial"/>
                              <w:b/>
                              <w:color w:val="95C93D"/>
                              <w:sz w:val="44"/>
                            </w:rPr>
                            <w:t>NUTRIT</w:t>
                          </w:r>
                          <w:r>
                            <w:rPr>
                              <w:rFonts w:ascii="Arial" w:hAnsi="Arial" w:cs="Arial"/>
                              <w:b/>
                              <w:color w:val="95C93D"/>
                              <w:sz w:val="44"/>
                            </w:rPr>
                            <w:t>I</w:t>
                          </w:r>
                          <w:r w:rsidRPr="006A0275">
                            <w:rPr>
                              <w:rFonts w:ascii="Arial" w:hAnsi="Arial" w:cs="Arial"/>
                              <w:b/>
                              <w:color w:val="95C93D"/>
                              <w:sz w:val="44"/>
                            </w:rPr>
                            <w:t>ON</w:t>
                          </w:r>
                        </w:p>
                        <w:p w14:paraId="35113754" w14:textId="77777777" w:rsidR="00AF0D44" w:rsidRPr="006A0275" w:rsidRDefault="00AF0D44" w:rsidP="005972E2">
                          <w:pPr>
                            <w:spacing w:after="0" w:line="240" w:lineRule="auto"/>
                            <w:rPr>
                              <w:rFonts w:ascii="Arial" w:hAnsi="Arial" w:cs="Arial"/>
                              <w:color w:val="808285"/>
                              <w:sz w:val="40"/>
                            </w:rPr>
                          </w:pPr>
                          <w:r w:rsidRPr="006A0275">
                            <w:rPr>
                              <w:rFonts w:ascii="Arial" w:hAnsi="Arial" w:cs="Arial"/>
                              <w:color w:val="808285"/>
                              <w:sz w:val="40"/>
                            </w:rPr>
                            <w:t>CLUSTER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6958A" id="_x0000_t202" coordsize="21600,21600" o:spt="202" path="m,l,21600r21600,l21600,xe">
              <v:stroke joinstyle="miter"/>
              <v:path gradientshapeok="t" o:connecttype="rect"/>
            </v:shapetype>
            <v:shape id="Text Box 2" o:spid="_x0000_s1026" type="#_x0000_t202" style="position:absolute;margin-left:395.6pt;margin-top:-36pt;width:2in;height:7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" stroked="f">
              <v:textbox>
                <w:txbxContent>
                  <w:p w14:paraId="36972EB6" w14:textId="77777777" w:rsidR="00AF0D44" w:rsidRPr="006A0275" w:rsidRDefault="00AF0D44" w:rsidP="005972E2">
                    <w:pPr>
                      <w:spacing w:after="0" w:line="240" w:lineRule="auto"/>
                      <w:rPr>
                        <w:rFonts w:ascii="Arial" w:hAnsi="Arial" w:cs="Arial"/>
                        <w:color w:val="808285"/>
                        <w:sz w:val="40"/>
                      </w:rPr>
                    </w:pPr>
                    <w:r>
                      <w:rPr>
                        <w:rFonts w:ascii="Arial" w:hAnsi="Arial" w:cs="Arial"/>
                        <w:color w:val="808285"/>
                        <w:sz w:val="40"/>
                      </w:rPr>
                      <w:t>Global</w:t>
                    </w:r>
                  </w:p>
                  <w:p w14:paraId="60E7BB81" w14:textId="77777777" w:rsidR="00AF0D44" w:rsidRPr="006A0275" w:rsidRDefault="00AF0D44" w:rsidP="005972E2">
                    <w:pPr>
                      <w:spacing w:after="0" w:line="240" w:lineRule="auto"/>
                      <w:rPr>
                        <w:rFonts w:ascii="Arial" w:hAnsi="Arial" w:cs="Arial"/>
                        <w:b/>
                        <w:color w:val="95C93D"/>
                        <w:sz w:val="44"/>
                      </w:rPr>
                    </w:pPr>
                    <w:r w:rsidRPr="006A0275">
                      <w:rPr>
                        <w:rFonts w:ascii="Arial" w:hAnsi="Arial" w:cs="Arial"/>
                        <w:b/>
                        <w:color w:val="95C93D"/>
                        <w:sz w:val="44"/>
                      </w:rPr>
                      <w:t>NUTRIT</w:t>
                    </w:r>
                    <w:r>
                      <w:rPr>
                        <w:rFonts w:ascii="Arial" w:hAnsi="Arial" w:cs="Arial"/>
                        <w:b/>
                        <w:color w:val="95C93D"/>
                        <w:sz w:val="44"/>
                      </w:rPr>
                      <w:t>I</w:t>
                    </w:r>
                    <w:r w:rsidRPr="006A0275">
                      <w:rPr>
                        <w:rFonts w:ascii="Arial" w:hAnsi="Arial" w:cs="Arial"/>
                        <w:b/>
                        <w:color w:val="95C93D"/>
                        <w:sz w:val="44"/>
                      </w:rPr>
                      <w:t>ON</w:t>
                    </w:r>
                  </w:p>
                  <w:p w14:paraId="35113754" w14:textId="77777777" w:rsidR="00AF0D44" w:rsidRPr="006A0275" w:rsidRDefault="00AF0D44" w:rsidP="005972E2">
                    <w:pPr>
                      <w:spacing w:after="0" w:line="240" w:lineRule="auto"/>
                      <w:rPr>
                        <w:rFonts w:ascii="Arial" w:hAnsi="Arial" w:cs="Arial"/>
                        <w:color w:val="808285"/>
                        <w:sz w:val="40"/>
                      </w:rPr>
                    </w:pPr>
                    <w:r w:rsidRPr="006A0275">
                      <w:rPr>
                        <w:rFonts w:ascii="Arial" w:hAnsi="Arial" w:cs="Arial"/>
                        <w:color w:val="808285"/>
                        <w:sz w:val="40"/>
                      </w:rPr>
                      <w:t>CLUSTER</w:t>
                    </w:r>
                  </w:p>
                </w:txbxContent>
              </v:textbox>
              <w10:wrap type="square" anchorx="page"/>
            </v:shape>
          </w:pict>
        </mc:Fallback>
      </mc:AlternateContent>
    </w:r>
    <w:r w:rsidRPr="005B1444">
      <w:rPr>
        <w:b/>
        <w:noProof/>
        <w:color w:val="76923C" w:themeColor="accent3" w:themeShade="BF"/>
        <w:lang w:val="en-GB" w:eastAsia="en-GB"/>
      </w:rPr>
      <w:drawing>
        <wp:anchor distT="0" distB="0" distL="114300" distR="114300" simplePos="0" relativeHeight="251659264" behindDoc="0" locked="0" layoutInCell="1" allowOverlap="1" wp14:anchorId="32DBD82E" wp14:editId="66433CE3">
          <wp:simplePos x="0" y="0"/>
          <wp:positionH relativeFrom="column">
            <wp:posOffset>3593465</wp:posOffset>
          </wp:positionH>
          <wp:positionV relativeFrom="paragraph">
            <wp:posOffset>-333375</wp:posOffset>
          </wp:positionV>
          <wp:extent cx="795655" cy="792480"/>
          <wp:effectExtent l="0" t="0" r="0" b="7620"/>
          <wp:wrapSquare wrapText="bothSides"/>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eastfeeding mother.svg"/>
                  <pic:cNvPicPr/>
                </pic:nvPicPr>
                <pic:blipFill>
                  <a:blip r:embed="rId1">
                    <a:extLs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795655"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F6048"/>
    <w:multiLevelType w:val="hybridMultilevel"/>
    <w:tmpl w:val="EB36334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732133E"/>
    <w:multiLevelType w:val="hybridMultilevel"/>
    <w:tmpl w:val="D45C69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67DE1"/>
    <w:multiLevelType w:val="hybridMultilevel"/>
    <w:tmpl w:val="00AA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F8029E8"/>
    <w:multiLevelType w:val="hybridMultilevel"/>
    <w:tmpl w:val="A322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755B35"/>
    <w:multiLevelType w:val="hybridMultilevel"/>
    <w:tmpl w:val="B080CE50"/>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255265BB"/>
    <w:multiLevelType w:val="hybridMultilevel"/>
    <w:tmpl w:val="25C69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D2273D"/>
    <w:multiLevelType w:val="hybridMultilevel"/>
    <w:tmpl w:val="8A045A3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DA66305"/>
    <w:multiLevelType w:val="hybridMultilevel"/>
    <w:tmpl w:val="F3D27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C03418"/>
    <w:multiLevelType w:val="hybridMultilevel"/>
    <w:tmpl w:val="E6D62B2A"/>
    <w:lvl w:ilvl="0" w:tplc="9F1A4F0A">
      <w:start w:val="1"/>
      <w:numFmt w:val="decimal"/>
      <w:lvlText w:val="%1."/>
      <w:lvlJc w:val="left"/>
      <w:pPr>
        <w:ind w:left="360" w:hanging="360"/>
      </w:pPr>
      <w:rPr>
        <w:rFonts w:eastAsia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6FF12D4"/>
    <w:multiLevelType w:val="hybridMultilevel"/>
    <w:tmpl w:val="DB6A2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37E807D0"/>
    <w:multiLevelType w:val="hybridMultilevel"/>
    <w:tmpl w:val="486E077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99429C7"/>
    <w:multiLevelType w:val="hybridMultilevel"/>
    <w:tmpl w:val="FE8290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CF6E8F"/>
    <w:multiLevelType w:val="hybridMultilevel"/>
    <w:tmpl w:val="E10413C8"/>
    <w:lvl w:ilvl="0" w:tplc="183ADD5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431831F6"/>
    <w:multiLevelType w:val="hybridMultilevel"/>
    <w:tmpl w:val="F1D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E7A88"/>
    <w:multiLevelType w:val="hybridMultilevel"/>
    <w:tmpl w:val="8CE22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AC43D5"/>
    <w:multiLevelType w:val="hybridMultilevel"/>
    <w:tmpl w:val="6BDE83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8064429"/>
    <w:multiLevelType w:val="hybridMultilevel"/>
    <w:tmpl w:val="552E36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49063736"/>
    <w:multiLevelType w:val="hybridMultilevel"/>
    <w:tmpl w:val="BA1E962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981C27"/>
    <w:multiLevelType w:val="hybridMultilevel"/>
    <w:tmpl w:val="87041A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A154FC6"/>
    <w:multiLevelType w:val="hybridMultilevel"/>
    <w:tmpl w:val="4F4C66A4"/>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A526765"/>
    <w:multiLevelType w:val="hybridMultilevel"/>
    <w:tmpl w:val="CF44ED4A"/>
    <w:lvl w:ilvl="0" w:tplc="B11AC6F2">
      <w:numFmt w:val="bullet"/>
      <w:lvlText w:val="-"/>
      <w:lvlJc w:val="left"/>
      <w:pPr>
        <w:ind w:left="720" w:hanging="360"/>
      </w:pPr>
      <w:rPr>
        <w:rFonts w:ascii="Arial" w:eastAsiaTheme="minorHAnsi" w:hAnsi="Aria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4F2B05"/>
    <w:multiLevelType w:val="hybridMultilevel"/>
    <w:tmpl w:val="257C9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276DC5"/>
    <w:multiLevelType w:val="hybridMultilevel"/>
    <w:tmpl w:val="BC2EE26E"/>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582677D1"/>
    <w:multiLevelType w:val="multilevel"/>
    <w:tmpl w:val="9E0A73AC"/>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4">
    <w:nsid w:val="60DA68AC"/>
    <w:multiLevelType w:val="hybridMultilevel"/>
    <w:tmpl w:val="A42CA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B32240"/>
    <w:multiLevelType w:val="multilevel"/>
    <w:tmpl w:val="537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4B42933"/>
    <w:multiLevelType w:val="hybridMultilevel"/>
    <w:tmpl w:val="80141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17A98"/>
    <w:multiLevelType w:val="hybridMultilevel"/>
    <w:tmpl w:val="FCF2530C"/>
    <w:lvl w:ilvl="0" w:tplc="183ADD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7522597C"/>
    <w:multiLevelType w:val="hybridMultilevel"/>
    <w:tmpl w:val="A46E9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6196A17"/>
    <w:multiLevelType w:val="hybridMultilevel"/>
    <w:tmpl w:val="AA0C2AFA"/>
    <w:lvl w:ilvl="0" w:tplc="157454E6">
      <w:start w:val="1"/>
      <w:numFmt w:val="upperLetter"/>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532BB7"/>
    <w:multiLevelType w:val="multilevel"/>
    <w:tmpl w:val="79C28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E670405"/>
    <w:multiLevelType w:val="hybridMultilevel"/>
    <w:tmpl w:val="A1B2C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8"/>
  </w:num>
  <w:num w:numId="4">
    <w:abstractNumId w:val="14"/>
  </w:num>
  <w:num w:numId="5">
    <w:abstractNumId w:val="24"/>
  </w:num>
  <w:num w:numId="6">
    <w:abstractNumId w:val="30"/>
  </w:num>
  <w:num w:numId="7">
    <w:abstractNumId w:val="7"/>
  </w:num>
  <w:num w:numId="8">
    <w:abstractNumId w:val="13"/>
  </w:num>
  <w:num w:numId="9">
    <w:abstractNumId w:val="26"/>
  </w:num>
  <w:num w:numId="10">
    <w:abstractNumId w:val="1"/>
  </w:num>
  <w:num w:numId="11">
    <w:abstractNumId w:val="29"/>
  </w:num>
  <w:num w:numId="12">
    <w:abstractNumId w:val="31"/>
  </w:num>
  <w:num w:numId="13">
    <w:abstractNumId w:val="25"/>
  </w:num>
  <w:num w:numId="14">
    <w:abstractNumId w:val="21"/>
  </w:num>
  <w:num w:numId="15">
    <w:abstractNumId w:val="11"/>
  </w:num>
  <w:num w:numId="16">
    <w:abstractNumId w:val="6"/>
  </w:num>
  <w:num w:numId="17">
    <w:abstractNumId w:val="12"/>
  </w:num>
  <w:num w:numId="18">
    <w:abstractNumId w:val="16"/>
  </w:num>
  <w:num w:numId="19">
    <w:abstractNumId w:val="2"/>
  </w:num>
  <w:num w:numId="20">
    <w:abstractNumId w:val="9"/>
  </w:num>
  <w:num w:numId="21">
    <w:abstractNumId w:val="18"/>
  </w:num>
  <w:num w:numId="22">
    <w:abstractNumId w:val="22"/>
  </w:num>
  <w:num w:numId="23">
    <w:abstractNumId w:val="10"/>
  </w:num>
  <w:num w:numId="24">
    <w:abstractNumId w:val="4"/>
  </w:num>
  <w:num w:numId="25">
    <w:abstractNumId w:val="27"/>
  </w:num>
  <w:num w:numId="26">
    <w:abstractNumId w:val="19"/>
  </w:num>
  <w:num w:numId="27">
    <w:abstractNumId w:val="15"/>
  </w:num>
  <w:num w:numId="28">
    <w:abstractNumId w:val="0"/>
  </w:num>
  <w:num w:numId="29">
    <w:abstractNumId w:val="23"/>
  </w:num>
  <w:num w:numId="30">
    <w:abstractNumId w:val="17"/>
  </w:num>
  <w:num w:numId="31">
    <w:abstractNumId w:val="8"/>
  </w:num>
  <w:num w:numId="3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trackRevisions/>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CE"/>
    <w:rsid w:val="00002D2B"/>
    <w:rsid w:val="00007870"/>
    <w:rsid w:val="0001381F"/>
    <w:rsid w:val="000266B2"/>
    <w:rsid w:val="000371DB"/>
    <w:rsid w:val="00047251"/>
    <w:rsid w:val="00052D99"/>
    <w:rsid w:val="00053836"/>
    <w:rsid w:val="00062898"/>
    <w:rsid w:val="000701B6"/>
    <w:rsid w:val="00071418"/>
    <w:rsid w:val="0007150F"/>
    <w:rsid w:val="00072202"/>
    <w:rsid w:val="000A37FA"/>
    <w:rsid w:val="000C5DA3"/>
    <w:rsid w:val="000D042C"/>
    <w:rsid w:val="000E32B3"/>
    <w:rsid w:val="000E5640"/>
    <w:rsid w:val="000F5BAB"/>
    <w:rsid w:val="000F7E7A"/>
    <w:rsid w:val="00103D2D"/>
    <w:rsid w:val="00121C10"/>
    <w:rsid w:val="00123BC6"/>
    <w:rsid w:val="00125145"/>
    <w:rsid w:val="00155A78"/>
    <w:rsid w:val="00157617"/>
    <w:rsid w:val="0017159D"/>
    <w:rsid w:val="00172C4A"/>
    <w:rsid w:val="00174B80"/>
    <w:rsid w:val="0017566F"/>
    <w:rsid w:val="00175E4D"/>
    <w:rsid w:val="001867F8"/>
    <w:rsid w:val="00196B0C"/>
    <w:rsid w:val="00197955"/>
    <w:rsid w:val="001A693E"/>
    <w:rsid w:val="001A716E"/>
    <w:rsid w:val="001B1CF3"/>
    <w:rsid w:val="001B633E"/>
    <w:rsid w:val="001B78FE"/>
    <w:rsid w:val="001C66FF"/>
    <w:rsid w:val="001C7F3A"/>
    <w:rsid w:val="001D57CE"/>
    <w:rsid w:val="001D5BDE"/>
    <w:rsid w:val="001F0FA9"/>
    <w:rsid w:val="001F4AA5"/>
    <w:rsid w:val="00210640"/>
    <w:rsid w:val="00216A2C"/>
    <w:rsid w:val="00222235"/>
    <w:rsid w:val="0024150D"/>
    <w:rsid w:val="002418B3"/>
    <w:rsid w:val="0025258C"/>
    <w:rsid w:val="00271BDA"/>
    <w:rsid w:val="0028260C"/>
    <w:rsid w:val="002855A2"/>
    <w:rsid w:val="00294360"/>
    <w:rsid w:val="002B296F"/>
    <w:rsid w:val="002B5A4F"/>
    <w:rsid w:val="002C3036"/>
    <w:rsid w:val="002C63B4"/>
    <w:rsid w:val="002D49B5"/>
    <w:rsid w:val="002F1876"/>
    <w:rsid w:val="002F1F79"/>
    <w:rsid w:val="002F7297"/>
    <w:rsid w:val="00312ED5"/>
    <w:rsid w:val="003133AD"/>
    <w:rsid w:val="00313845"/>
    <w:rsid w:val="00321017"/>
    <w:rsid w:val="0032223F"/>
    <w:rsid w:val="00324DD4"/>
    <w:rsid w:val="003521CD"/>
    <w:rsid w:val="00361A01"/>
    <w:rsid w:val="0036643F"/>
    <w:rsid w:val="00372B91"/>
    <w:rsid w:val="003756AB"/>
    <w:rsid w:val="00376D73"/>
    <w:rsid w:val="003859ED"/>
    <w:rsid w:val="003A4799"/>
    <w:rsid w:val="003A4AC0"/>
    <w:rsid w:val="003B4F01"/>
    <w:rsid w:val="003B5823"/>
    <w:rsid w:val="003B6ACD"/>
    <w:rsid w:val="003B76FA"/>
    <w:rsid w:val="003C45EE"/>
    <w:rsid w:val="003C4B46"/>
    <w:rsid w:val="003C52B5"/>
    <w:rsid w:val="003C6BA7"/>
    <w:rsid w:val="003D4FD1"/>
    <w:rsid w:val="003E28BC"/>
    <w:rsid w:val="003F5D81"/>
    <w:rsid w:val="00401EC2"/>
    <w:rsid w:val="004200DD"/>
    <w:rsid w:val="00420976"/>
    <w:rsid w:val="004371A7"/>
    <w:rsid w:val="0044078D"/>
    <w:rsid w:val="00450227"/>
    <w:rsid w:val="004577EE"/>
    <w:rsid w:val="004613C7"/>
    <w:rsid w:val="00471503"/>
    <w:rsid w:val="00474EF1"/>
    <w:rsid w:val="00486AF3"/>
    <w:rsid w:val="00490B38"/>
    <w:rsid w:val="004A511D"/>
    <w:rsid w:val="004B0556"/>
    <w:rsid w:val="004B3586"/>
    <w:rsid w:val="004D7E8D"/>
    <w:rsid w:val="004E36B8"/>
    <w:rsid w:val="004E4D2C"/>
    <w:rsid w:val="004E7688"/>
    <w:rsid w:val="00500E70"/>
    <w:rsid w:val="00507A06"/>
    <w:rsid w:val="00512AE1"/>
    <w:rsid w:val="005273A8"/>
    <w:rsid w:val="00530B4A"/>
    <w:rsid w:val="00531D75"/>
    <w:rsid w:val="00536346"/>
    <w:rsid w:val="00572A88"/>
    <w:rsid w:val="00583E17"/>
    <w:rsid w:val="00585458"/>
    <w:rsid w:val="00592F96"/>
    <w:rsid w:val="005972E2"/>
    <w:rsid w:val="005B1444"/>
    <w:rsid w:val="005B1FCF"/>
    <w:rsid w:val="005B2176"/>
    <w:rsid w:val="005B3C30"/>
    <w:rsid w:val="005B7939"/>
    <w:rsid w:val="005B7A87"/>
    <w:rsid w:val="005C0C49"/>
    <w:rsid w:val="005E1FEB"/>
    <w:rsid w:val="005E3224"/>
    <w:rsid w:val="005E5EC1"/>
    <w:rsid w:val="005F083D"/>
    <w:rsid w:val="006172CC"/>
    <w:rsid w:val="00620426"/>
    <w:rsid w:val="00626900"/>
    <w:rsid w:val="006306F6"/>
    <w:rsid w:val="00637E98"/>
    <w:rsid w:val="0064044A"/>
    <w:rsid w:val="0064138F"/>
    <w:rsid w:val="006432A9"/>
    <w:rsid w:val="006477F1"/>
    <w:rsid w:val="00653199"/>
    <w:rsid w:val="00655FDB"/>
    <w:rsid w:val="00662786"/>
    <w:rsid w:val="006752E7"/>
    <w:rsid w:val="006805A1"/>
    <w:rsid w:val="0068350A"/>
    <w:rsid w:val="006A2185"/>
    <w:rsid w:val="006A2F74"/>
    <w:rsid w:val="006B0E8F"/>
    <w:rsid w:val="006C117B"/>
    <w:rsid w:val="006C23DE"/>
    <w:rsid w:val="006E08E1"/>
    <w:rsid w:val="006F0132"/>
    <w:rsid w:val="007023DE"/>
    <w:rsid w:val="00712331"/>
    <w:rsid w:val="007220F0"/>
    <w:rsid w:val="007240AA"/>
    <w:rsid w:val="00746ABE"/>
    <w:rsid w:val="007523F9"/>
    <w:rsid w:val="00752DA7"/>
    <w:rsid w:val="00760EC2"/>
    <w:rsid w:val="00762620"/>
    <w:rsid w:val="007639E3"/>
    <w:rsid w:val="0077492B"/>
    <w:rsid w:val="00775ABF"/>
    <w:rsid w:val="00780C10"/>
    <w:rsid w:val="00795F43"/>
    <w:rsid w:val="007960D6"/>
    <w:rsid w:val="007A0F33"/>
    <w:rsid w:val="007A1722"/>
    <w:rsid w:val="007A3D9F"/>
    <w:rsid w:val="007A79F8"/>
    <w:rsid w:val="007B18DF"/>
    <w:rsid w:val="007B60A4"/>
    <w:rsid w:val="007C1B2E"/>
    <w:rsid w:val="007E2080"/>
    <w:rsid w:val="0080337C"/>
    <w:rsid w:val="008251C6"/>
    <w:rsid w:val="0082524E"/>
    <w:rsid w:val="00832669"/>
    <w:rsid w:val="00854721"/>
    <w:rsid w:val="00861AB4"/>
    <w:rsid w:val="008653CA"/>
    <w:rsid w:val="0087639D"/>
    <w:rsid w:val="008B77A2"/>
    <w:rsid w:val="008D491B"/>
    <w:rsid w:val="008E1749"/>
    <w:rsid w:val="008E6F8D"/>
    <w:rsid w:val="009109A6"/>
    <w:rsid w:val="00910A8E"/>
    <w:rsid w:val="00913EBE"/>
    <w:rsid w:val="00922077"/>
    <w:rsid w:val="00952E88"/>
    <w:rsid w:val="00954084"/>
    <w:rsid w:val="00965B3D"/>
    <w:rsid w:val="0097103D"/>
    <w:rsid w:val="00972F5F"/>
    <w:rsid w:val="009739EB"/>
    <w:rsid w:val="00991C87"/>
    <w:rsid w:val="00994F72"/>
    <w:rsid w:val="009A28E6"/>
    <w:rsid w:val="009A6E91"/>
    <w:rsid w:val="009B2C74"/>
    <w:rsid w:val="009B6C8C"/>
    <w:rsid w:val="009C3D7F"/>
    <w:rsid w:val="009C7BC1"/>
    <w:rsid w:val="009D2283"/>
    <w:rsid w:val="009D32A4"/>
    <w:rsid w:val="009D34E3"/>
    <w:rsid w:val="009D666C"/>
    <w:rsid w:val="009E3D63"/>
    <w:rsid w:val="009E63E9"/>
    <w:rsid w:val="009F0A45"/>
    <w:rsid w:val="00A13965"/>
    <w:rsid w:val="00A13EDB"/>
    <w:rsid w:val="00A2215D"/>
    <w:rsid w:val="00A25682"/>
    <w:rsid w:val="00A30D16"/>
    <w:rsid w:val="00A31F48"/>
    <w:rsid w:val="00A42DBD"/>
    <w:rsid w:val="00A47133"/>
    <w:rsid w:val="00A52F79"/>
    <w:rsid w:val="00A72109"/>
    <w:rsid w:val="00A74C8C"/>
    <w:rsid w:val="00A76257"/>
    <w:rsid w:val="00A83660"/>
    <w:rsid w:val="00A86297"/>
    <w:rsid w:val="00A8691B"/>
    <w:rsid w:val="00AB418A"/>
    <w:rsid w:val="00AC6A05"/>
    <w:rsid w:val="00AE2977"/>
    <w:rsid w:val="00AF0D44"/>
    <w:rsid w:val="00AF6804"/>
    <w:rsid w:val="00B00AB6"/>
    <w:rsid w:val="00B05458"/>
    <w:rsid w:val="00B32588"/>
    <w:rsid w:val="00B33239"/>
    <w:rsid w:val="00B379BB"/>
    <w:rsid w:val="00B65239"/>
    <w:rsid w:val="00B80FFB"/>
    <w:rsid w:val="00B91EEB"/>
    <w:rsid w:val="00B964E0"/>
    <w:rsid w:val="00BA39A6"/>
    <w:rsid w:val="00BB0CEB"/>
    <w:rsid w:val="00BB2054"/>
    <w:rsid w:val="00BB39A1"/>
    <w:rsid w:val="00BB41D3"/>
    <w:rsid w:val="00BD266D"/>
    <w:rsid w:val="00BF4526"/>
    <w:rsid w:val="00BF65C7"/>
    <w:rsid w:val="00BF7035"/>
    <w:rsid w:val="00C04DA4"/>
    <w:rsid w:val="00C13014"/>
    <w:rsid w:val="00C167D4"/>
    <w:rsid w:val="00C4577F"/>
    <w:rsid w:val="00C51883"/>
    <w:rsid w:val="00C52B06"/>
    <w:rsid w:val="00C530AD"/>
    <w:rsid w:val="00C57FF1"/>
    <w:rsid w:val="00C6668A"/>
    <w:rsid w:val="00C81760"/>
    <w:rsid w:val="00C83546"/>
    <w:rsid w:val="00C96344"/>
    <w:rsid w:val="00CA4A95"/>
    <w:rsid w:val="00CB6964"/>
    <w:rsid w:val="00CC082E"/>
    <w:rsid w:val="00CC236A"/>
    <w:rsid w:val="00CC6DB1"/>
    <w:rsid w:val="00CD4894"/>
    <w:rsid w:val="00CD67A5"/>
    <w:rsid w:val="00CD7730"/>
    <w:rsid w:val="00CF0091"/>
    <w:rsid w:val="00D03945"/>
    <w:rsid w:val="00D1067D"/>
    <w:rsid w:val="00D1527F"/>
    <w:rsid w:val="00D17D74"/>
    <w:rsid w:val="00D24216"/>
    <w:rsid w:val="00D2529E"/>
    <w:rsid w:val="00D30EAD"/>
    <w:rsid w:val="00D34990"/>
    <w:rsid w:val="00D44A6E"/>
    <w:rsid w:val="00D51DC7"/>
    <w:rsid w:val="00D542B1"/>
    <w:rsid w:val="00D56BD7"/>
    <w:rsid w:val="00D629B3"/>
    <w:rsid w:val="00D65F7F"/>
    <w:rsid w:val="00D71B56"/>
    <w:rsid w:val="00D73CA5"/>
    <w:rsid w:val="00D742A9"/>
    <w:rsid w:val="00D913A5"/>
    <w:rsid w:val="00D97F59"/>
    <w:rsid w:val="00DA2C33"/>
    <w:rsid w:val="00DA7C40"/>
    <w:rsid w:val="00DB51BA"/>
    <w:rsid w:val="00DC2493"/>
    <w:rsid w:val="00DC7D0D"/>
    <w:rsid w:val="00DD3C70"/>
    <w:rsid w:val="00DD3F3A"/>
    <w:rsid w:val="00DE1BBC"/>
    <w:rsid w:val="00DE4B38"/>
    <w:rsid w:val="00E004E8"/>
    <w:rsid w:val="00E14F75"/>
    <w:rsid w:val="00E22004"/>
    <w:rsid w:val="00E24B41"/>
    <w:rsid w:val="00E259EC"/>
    <w:rsid w:val="00E304FD"/>
    <w:rsid w:val="00E32294"/>
    <w:rsid w:val="00E45CCD"/>
    <w:rsid w:val="00E60E52"/>
    <w:rsid w:val="00EB0898"/>
    <w:rsid w:val="00EB1F42"/>
    <w:rsid w:val="00EB36B9"/>
    <w:rsid w:val="00EC1F1D"/>
    <w:rsid w:val="00EC350C"/>
    <w:rsid w:val="00EC3B20"/>
    <w:rsid w:val="00EC5D21"/>
    <w:rsid w:val="00EC69FC"/>
    <w:rsid w:val="00EE5DF6"/>
    <w:rsid w:val="00EF316B"/>
    <w:rsid w:val="00EF4775"/>
    <w:rsid w:val="00F00B81"/>
    <w:rsid w:val="00F0129A"/>
    <w:rsid w:val="00F026B0"/>
    <w:rsid w:val="00F05FBB"/>
    <w:rsid w:val="00F12CCA"/>
    <w:rsid w:val="00F170CA"/>
    <w:rsid w:val="00F17294"/>
    <w:rsid w:val="00F21C62"/>
    <w:rsid w:val="00F21ECF"/>
    <w:rsid w:val="00F220C4"/>
    <w:rsid w:val="00F33EDF"/>
    <w:rsid w:val="00F40201"/>
    <w:rsid w:val="00F41674"/>
    <w:rsid w:val="00F53185"/>
    <w:rsid w:val="00F5772B"/>
    <w:rsid w:val="00F57C83"/>
    <w:rsid w:val="00F65006"/>
    <w:rsid w:val="00F66462"/>
    <w:rsid w:val="00F74DBA"/>
    <w:rsid w:val="00F909A6"/>
    <w:rsid w:val="00FA4DD6"/>
    <w:rsid w:val="00FB2B09"/>
    <w:rsid w:val="00FB327A"/>
    <w:rsid w:val="00FD3B85"/>
    <w:rsid w:val="00FD63CD"/>
    <w:rsid w:val="00FE75AE"/>
    <w:rsid w:val="00FF196B"/>
    <w:rsid w:val="00FF3EE0"/>
    <w:rsid w:val="00FF65C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82EC1"/>
  <w15:chartTrackingRefBased/>
  <w15:docId w15:val="{26A6DDCB-F4D8-4FFC-BF59-0CDCCE94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637E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7E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7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1,F1,Footnote Text Char Char,Footnote Text Char1 Char Char,Footnote Text Char Char Char Char,Footnote Text Char Char1,ft,single space,footnote text,Char"/>
    <w:basedOn w:val="Normal"/>
    <w:link w:val="FootnoteTextChar"/>
    <w:uiPriority w:val="99"/>
    <w:qFormat/>
    <w:rsid w:val="00D97F5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Footnote Text Char1 Char,F1 Char,Footnote Text Char Char Char,Footnote Text Char1 Char Char Char,Footnote Text Char Char Char Char Char,Footnote Text Char Char1 Char,ft Char,single space Char,footnote text Char,Char Char"/>
    <w:basedOn w:val="DefaultParagraphFont"/>
    <w:link w:val="FootnoteText"/>
    <w:uiPriority w:val="99"/>
    <w:qFormat/>
    <w:rsid w:val="00D97F59"/>
    <w:rPr>
      <w:rFonts w:ascii="Times New Roman" w:eastAsia="Times New Roman" w:hAnsi="Times New Roman" w:cs="Times New Roman"/>
      <w:sz w:val="20"/>
      <w:szCs w:val="20"/>
      <w:lang w:val="en-US"/>
    </w:rPr>
  </w:style>
  <w:style w:type="character" w:styleId="FootnoteReference">
    <w:name w:val="footnote reference"/>
    <w:aliases w:val="fr,BVI fnr,BVI fnr Car Car,BVI fnr Car,BVI fnr Car Car Car Car"/>
    <w:uiPriority w:val="99"/>
    <w:qFormat/>
    <w:rsid w:val="00D97F59"/>
    <w:rPr>
      <w:vertAlign w:val="superscript"/>
    </w:rPr>
  </w:style>
  <w:style w:type="character" w:customStyle="1" w:styleId="Heading2Char">
    <w:name w:val="Heading 2 Char"/>
    <w:basedOn w:val="DefaultParagraphFont"/>
    <w:link w:val="Heading2"/>
    <w:uiPriority w:val="9"/>
    <w:rsid w:val="00637E9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37E98"/>
    <w:rPr>
      <w:rFonts w:asciiTheme="majorHAnsi" w:eastAsiaTheme="majorEastAsia" w:hAnsiTheme="majorHAnsi" w:cstheme="majorBidi"/>
      <w:color w:val="365F91" w:themeColor="accent1" w:themeShade="BF"/>
      <w:sz w:val="32"/>
      <w:szCs w:val="32"/>
    </w:rPr>
  </w:style>
  <w:style w:type="table" w:styleId="GridTable4-Accent3">
    <w:name w:val="Grid Table 4 Accent 3"/>
    <w:basedOn w:val="TableNormal"/>
    <w:uiPriority w:val="49"/>
    <w:rsid w:val="00637E98"/>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922077"/>
    <w:pPr>
      <w:ind w:left="720"/>
      <w:contextualSpacing/>
    </w:pPr>
  </w:style>
  <w:style w:type="character" w:styleId="Hyperlink">
    <w:name w:val="Hyperlink"/>
    <w:basedOn w:val="DefaultParagraphFont"/>
    <w:uiPriority w:val="99"/>
    <w:unhideWhenUsed/>
    <w:rsid w:val="00DC2493"/>
    <w:rPr>
      <w:color w:val="0000FF" w:themeColor="hyperlink"/>
      <w:u w:val="single"/>
    </w:rPr>
  </w:style>
  <w:style w:type="character" w:styleId="CommentReference">
    <w:name w:val="annotation reference"/>
    <w:basedOn w:val="DefaultParagraphFont"/>
    <w:uiPriority w:val="99"/>
    <w:semiHidden/>
    <w:unhideWhenUsed/>
    <w:rsid w:val="003B5823"/>
    <w:rPr>
      <w:sz w:val="16"/>
      <w:szCs w:val="16"/>
    </w:rPr>
  </w:style>
  <w:style w:type="paragraph" w:styleId="CommentText">
    <w:name w:val="annotation text"/>
    <w:basedOn w:val="Normal"/>
    <w:link w:val="CommentTextChar"/>
    <w:uiPriority w:val="99"/>
    <w:unhideWhenUsed/>
    <w:rsid w:val="003B5823"/>
    <w:pPr>
      <w:spacing w:line="240" w:lineRule="auto"/>
    </w:pPr>
    <w:rPr>
      <w:sz w:val="20"/>
      <w:szCs w:val="20"/>
    </w:rPr>
  </w:style>
  <w:style w:type="character" w:customStyle="1" w:styleId="CommentTextChar">
    <w:name w:val="Comment Text Char"/>
    <w:basedOn w:val="DefaultParagraphFont"/>
    <w:link w:val="CommentText"/>
    <w:uiPriority w:val="99"/>
    <w:rsid w:val="003B5823"/>
    <w:rPr>
      <w:sz w:val="20"/>
      <w:szCs w:val="20"/>
    </w:rPr>
  </w:style>
  <w:style w:type="paragraph" w:styleId="CommentSubject">
    <w:name w:val="annotation subject"/>
    <w:basedOn w:val="CommentText"/>
    <w:next w:val="CommentText"/>
    <w:link w:val="CommentSubjectChar"/>
    <w:uiPriority w:val="99"/>
    <w:semiHidden/>
    <w:unhideWhenUsed/>
    <w:rsid w:val="003B5823"/>
    <w:rPr>
      <w:b/>
      <w:bCs/>
    </w:rPr>
  </w:style>
  <w:style w:type="character" w:customStyle="1" w:styleId="CommentSubjectChar">
    <w:name w:val="Comment Subject Char"/>
    <w:basedOn w:val="CommentTextChar"/>
    <w:link w:val="CommentSubject"/>
    <w:uiPriority w:val="99"/>
    <w:semiHidden/>
    <w:rsid w:val="003B5823"/>
    <w:rPr>
      <w:b/>
      <w:bCs/>
      <w:sz w:val="20"/>
      <w:szCs w:val="20"/>
    </w:rPr>
  </w:style>
  <w:style w:type="paragraph" w:styleId="BalloonText">
    <w:name w:val="Balloon Text"/>
    <w:basedOn w:val="Normal"/>
    <w:link w:val="BalloonTextChar"/>
    <w:uiPriority w:val="99"/>
    <w:semiHidden/>
    <w:unhideWhenUsed/>
    <w:rsid w:val="003B5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823"/>
    <w:rPr>
      <w:rFonts w:ascii="Segoe UI" w:hAnsi="Segoe UI" w:cs="Segoe UI"/>
      <w:sz w:val="18"/>
      <w:szCs w:val="18"/>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basedOn w:val="DefaultParagraphFont"/>
    <w:link w:val="ListParagraph"/>
    <w:uiPriority w:val="34"/>
    <w:locked/>
    <w:rsid w:val="00D71B56"/>
  </w:style>
  <w:style w:type="paragraph" w:customStyle="1" w:styleId="paragraph">
    <w:name w:val="paragraph"/>
    <w:basedOn w:val="Normal"/>
    <w:rsid w:val="00FF3EE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FF3EE0"/>
  </w:style>
  <w:style w:type="character" w:customStyle="1" w:styleId="eop">
    <w:name w:val="eop"/>
    <w:basedOn w:val="DefaultParagraphFont"/>
    <w:rsid w:val="00FF3EE0"/>
  </w:style>
  <w:style w:type="character" w:customStyle="1" w:styleId="contextualspellingandgrammarerror">
    <w:name w:val="contextualspellingandgrammarerror"/>
    <w:basedOn w:val="DefaultParagraphFont"/>
    <w:rsid w:val="00FF3EE0"/>
  </w:style>
  <w:style w:type="paragraph" w:styleId="Header">
    <w:name w:val="header"/>
    <w:basedOn w:val="Normal"/>
    <w:link w:val="HeaderChar"/>
    <w:uiPriority w:val="99"/>
    <w:unhideWhenUsed/>
    <w:rsid w:val="00AE297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AE2977"/>
    <w:rPr>
      <w:lang w:val="en-US"/>
    </w:rPr>
  </w:style>
  <w:style w:type="paragraph" w:styleId="Footer">
    <w:name w:val="footer"/>
    <w:basedOn w:val="Normal"/>
    <w:link w:val="FooterChar"/>
    <w:unhideWhenUsed/>
    <w:rsid w:val="00AE2977"/>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AE2977"/>
    <w:rPr>
      <w:lang w:val="en-US"/>
    </w:rPr>
  </w:style>
  <w:style w:type="table" w:styleId="TableGridLight">
    <w:name w:val="Grid Table Light"/>
    <w:basedOn w:val="TableNormal"/>
    <w:uiPriority w:val="40"/>
    <w:rsid w:val="00AE2977"/>
    <w:pPr>
      <w:spacing w:after="0" w:line="240" w:lineRule="auto"/>
    </w:pPr>
    <w:rPr>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E2977"/>
    <w:rPr>
      <w:color w:val="605E5C"/>
      <w:shd w:val="clear" w:color="auto" w:fill="E1DFDD"/>
    </w:rPr>
  </w:style>
  <w:style w:type="character" w:styleId="FollowedHyperlink">
    <w:name w:val="FollowedHyperlink"/>
    <w:basedOn w:val="DefaultParagraphFont"/>
    <w:uiPriority w:val="99"/>
    <w:semiHidden/>
    <w:unhideWhenUsed/>
    <w:rsid w:val="00AE2977"/>
    <w:rPr>
      <w:color w:val="800080" w:themeColor="followedHyperlink"/>
      <w:u w:val="single"/>
    </w:rPr>
  </w:style>
  <w:style w:type="character" w:customStyle="1" w:styleId="UnresolvedMention2">
    <w:name w:val="Unresolved Mention2"/>
    <w:basedOn w:val="DefaultParagraphFont"/>
    <w:uiPriority w:val="99"/>
    <w:semiHidden/>
    <w:unhideWhenUsed/>
    <w:rsid w:val="00AE2977"/>
    <w:rPr>
      <w:color w:val="605E5C"/>
      <w:shd w:val="clear" w:color="auto" w:fill="E1DFDD"/>
    </w:rPr>
  </w:style>
  <w:style w:type="paragraph" w:styleId="EndnoteText">
    <w:name w:val="endnote text"/>
    <w:basedOn w:val="Normal"/>
    <w:link w:val="EndnoteTextChar"/>
    <w:uiPriority w:val="99"/>
    <w:unhideWhenUsed/>
    <w:rsid w:val="00AE2977"/>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AE2977"/>
    <w:rPr>
      <w:sz w:val="20"/>
      <w:szCs w:val="20"/>
      <w:lang w:val="en-US"/>
    </w:rPr>
  </w:style>
  <w:style w:type="character" w:styleId="EndnoteReference">
    <w:name w:val="endnote reference"/>
    <w:basedOn w:val="DefaultParagraphFont"/>
    <w:uiPriority w:val="99"/>
    <w:semiHidden/>
    <w:unhideWhenUsed/>
    <w:rsid w:val="00AE2977"/>
    <w:rPr>
      <w:vertAlign w:val="superscript"/>
    </w:rPr>
  </w:style>
  <w:style w:type="paragraph" w:customStyle="1" w:styleId="Body">
    <w:name w:val="Body"/>
    <w:rsid w:val="0017566F"/>
    <w:pPr>
      <w:pBdr>
        <w:top w:val="nil"/>
        <w:left w:val="nil"/>
        <w:bottom w:val="nil"/>
        <w:right w:val="nil"/>
        <w:between w:val="nil"/>
        <w:bar w:val="nil"/>
      </w:pBdr>
    </w:pPr>
    <w:rPr>
      <w:rFonts w:ascii="Calibri" w:eastAsia="Arial Unicode MS" w:hAnsi="Calibri" w:cs="Arial Unicode MS"/>
      <w:color w:val="000000"/>
      <w:u w:color="000000"/>
      <w:bdr w:val="nil"/>
      <w:lang w:val="en-US" w:eastAsia="fr-FR"/>
      <w14:textOutline w14:w="0" w14:cap="flat" w14:cmpd="sng" w14:algn="ctr">
        <w14:noFill/>
        <w14:prstDash w14:val="solid"/>
        <w14:bevel/>
      </w14:textOutline>
    </w:rPr>
  </w:style>
  <w:style w:type="character" w:customStyle="1" w:styleId="UnresolvedMention3">
    <w:name w:val="Unresolved Mention3"/>
    <w:basedOn w:val="DefaultParagraphFont"/>
    <w:uiPriority w:val="99"/>
    <w:semiHidden/>
    <w:unhideWhenUsed/>
    <w:rsid w:val="000266B2"/>
    <w:rPr>
      <w:color w:val="605E5C"/>
      <w:shd w:val="clear" w:color="auto" w:fill="E1DFDD"/>
    </w:rPr>
  </w:style>
  <w:style w:type="character" w:customStyle="1" w:styleId="advancedproofingissue">
    <w:name w:val="advancedproofingissue"/>
    <w:basedOn w:val="DefaultParagraphFont"/>
    <w:rsid w:val="00994F72"/>
  </w:style>
  <w:style w:type="character" w:customStyle="1" w:styleId="spellingerror">
    <w:name w:val="spellingerror"/>
    <w:basedOn w:val="DefaultParagraphFont"/>
    <w:rsid w:val="00994F72"/>
  </w:style>
  <w:style w:type="paragraph" w:customStyle="1" w:styleId="Default">
    <w:name w:val="Default"/>
    <w:rsid w:val="0097103D"/>
    <w:pPr>
      <w:autoSpaceDE w:val="0"/>
      <w:autoSpaceDN w:val="0"/>
      <w:adjustRightInd w:val="0"/>
      <w:spacing w:after="0" w:line="240" w:lineRule="auto"/>
    </w:pPr>
    <w:rPr>
      <w:rFonts w:ascii="Calibri" w:hAnsi="Calibri" w:cs="Calibri"/>
      <w:color w:val="000000"/>
      <w:sz w:val="24"/>
      <w:szCs w:val="24"/>
      <w:lang w:val="en-CA"/>
    </w:rPr>
  </w:style>
  <w:style w:type="paragraph" w:styleId="Revision">
    <w:name w:val="Revision"/>
    <w:hidden/>
    <w:uiPriority w:val="99"/>
    <w:semiHidden/>
    <w:rsid w:val="001B78FE"/>
    <w:pPr>
      <w:spacing w:after="0" w:line="240" w:lineRule="auto"/>
    </w:pPr>
    <w:rPr>
      <w:lang w:val="en-CA"/>
    </w:rPr>
  </w:style>
  <w:style w:type="character" w:customStyle="1" w:styleId="UnresolvedMention4">
    <w:name w:val="Unresolved Mention4"/>
    <w:basedOn w:val="DefaultParagraphFont"/>
    <w:uiPriority w:val="99"/>
    <w:rsid w:val="002C3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966926">
      <w:bodyDiv w:val="1"/>
      <w:marLeft w:val="0"/>
      <w:marRight w:val="0"/>
      <w:marTop w:val="0"/>
      <w:marBottom w:val="0"/>
      <w:divBdr>
        <w:top w:val="none" w:sz="0" w:space="0" w:color="auto"/>
        <w:left w:val="none" w:sz="0" w:space="0" w:color="auto"/>
        <w:bottom w:val="none" w:sz="0" w:space="0" w:color="auto"/>
        <w:right w:val="none" w:sz="0" w:space="0" w:color="auto"/>
      </w:divBdr>
      <w:divsChild>
        <w:div w:id="1987582556">
          <w:marLeft w:val="0"/>
          <w:marRight w:val="0"/>
          <w:marTop w:val="0"/>
          <w:marBottom w:val="0"/>
          <w:divBdr>
            <w:top w:val="none" w:sz="0" w:space="0" w:color="auto"/>
            <w:left w:val="none" w:sz="0" w:space="0" w:color="auto"/>
            <w:bottom w:val="none" w:sz="0" w:space="0" w:color="auto"/>
            <w:right w:val="none" w:sz="0" w:space="0" w:color="auto"/>
          </w:divBdr>
          <w:divsChild>
            <w:div w:id="1525750480">
              <w:marLeft w:val="0"/>
              <w:marRight w:val="0"/>
              <w:marTop w:val="0"/>
              <w:marBottom w:val="0"/>
              <w:divBdr>
                <w:top w:val="none" w:sz="0" w:space="0" w:color="auto"/>
                <w:left w:val="none" w:sz="0" w:space="0" w:color="auto"/>
                <w:bottom w:val="none" w:sz="0" w:space="0" w:color="auto"/>
                <w:right w:val="none" w:sz="0" w:space="0" w:color="auto"/>
              </w:divBdr>
            </w:div>
            <w:div w:id="446050794">
              <w:marLeft w:val="0"/>
              <w:marRight w:val="0"/>
              <w:marTop w:val="0"/>
              <w:marBottom w:val="0"/>
              <w:divBdr>
                <w:top w:val="none" w:sz="0" w:space="0" w:color="auto"/>
                <w:left w:val="none" w:sz="0" w:space="0" w:color="auto"/>
                <w:bottom w:val="none" w:sz="0" w:space="0" w:color="auto"/>
                <w:right w:val="none" w:sz="0" w:space="0" w:color="auto"/>
              </w:divBdr>
            </w:div>
          </w:divsChild>
        </w:div>
        <w:div w:id="722412045">
          <w:marLeft w:val="0"/>
          <w:marRight w:val="0"/>
          <w:marTop w:val="0"/>
          <w:marBottom w:val="0"/>
          <w:divBdr>
            <w:top w:val="none" w:sz="0" w:space="0" w:color="auto"/>
            <w:left w:val="none" w:sz="0" w:space="0" w:color="auto"/>
            <w:bottom w:val="none" w:sz="0" w:space="0" w:color="auto"/>
            <w:right w:val="none" w:sz="0" w:space="0" w:color="auto"/>
          </w:divBdr>
          <w:divsChild>
            <w:div w:id="1129589177">
              <w:marLeft w:val="0"/>
              <w:marRight w:val="0"/>
              <w:marTop w:val="0"/>
              <w:marBottom w:val="0"/>
              <w:divBdr>
                <w:top w:val="none" w:sz="0" w:space="0" w:color="auto"/>
                <w:left w:val="none" w:sz="0" w:space="0" w:color="auto"/>
                <w:bottom w:val="none" w:sz="0" w:space="0" w:color="auto"/>
                <w:right w:val="none" w:sz="0" w:space="0" w:color="auto"/>
              </w:divBdr>
            </w:div>
            <w:div w:id="20022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4158">
      <w:bodyDiv w:val="1"/>
      <w:marLeft w:val="0"/>
      <w:marRight w:val="0"/>
      <w:marTop w:val="0"/>
      <w:marBottom w:val="0"/>
      <w:divBdr>
        <w:top w:val="none" w:sz="0" w:space="0" w:color="auto"/>
        <w:left w:val="none" w:sz="0" w:space="0" w:color="auto"/>
        <w:bottom w:val="none" w:sz="0" w:space="0" w:color="auto"/>
        <w:right w:val="none" w:sz="0" w:space="0" w:color="auto"/>
      </w:divBdr>
      <w:divsChild>
        <w:div w:id="667516343">
          <w:marLeft w:val="0"/>
          <w:marRight w:val="0"/>
          <w:marTop w:val="0"/>
          <w:marBottom w:val="0"/>
          <w:divBdr>
            <w:top w:val="none" w:sz="0" w:space="0" w:color="auto"/>
            <w:left w:val="none" w:sz="0" w:space="0" w:color="auto"/>
            <w:bottom w:val="none" w:sz="0" w:space="0" w:color="auto"/>
            <w:right w:val="none" w:sz="0" w:space="0" w:color="auto"/>
          </w:divBdr>
          <w:divsChild>
            <w:div w:id="168062870">
              <w:marLeft w:val="0"/>
              <w:marRight w:val="0"/>
              <w:marTop w:val="0"/>
              <w:marBottom w:val="0"/>
              <w:divBdr>
                <w:top w:val="none" w:sz="0" w:space="0" w:color="auto"/>
                <w:left w:val="none" w:sz="0" w:space="0" w:color="auto"/>
                <w:bottom w:val="none" w:sz="0" w:space="0" w:color="auto"/>
                <w:right w:val="none" w:sz="0" w:space="0" w:color="auto"/>
              </w:divBdr>
            </w:div>
          </w:divsChild>
        </w:div>
        <w:div w:id="702629024">
          <w:marLeft w:val="0"/>
          <w:marRight w:val="0"/>
          <w:marTop w:val="0"/>
          <w:marBottom w:val="0"/>
          <w:divBdr>
            <w:top w:val="none" w:sz="0" w:space="0" w:color="auto"/>
            <w:left w:val="none" w:sz="0" w:space="0" w:color="auto"/>
            <w:bottom w:val="none" w:sz="0" w:space="0" w:color="auto"/>
            <w:right w:val="none" w:sz="0" w:space="0" w:color="auto"/>
          </w:divBdr>
          <w:divsChild>
            <w:div w:id="2005818285">
              <w:marLeft w:val="0"/>
              <w:marRight w:val="0"/>
              <w:marTop w:val="0"/>
              <w:marBottom w:val="0"/>
              <w:divBdr>
                <w:top w:val="none" w:sz="0" w:space="0" w:color="auto"/>
                <w:left w:val="none" w:sz="0" w:space="0" w:color="auto"/>
                <w:bottom w:val="none" w:sz="0" w:space="0" w:color="auto"/>
                <w:right w:val="none" w:sz="0" w:space="0" w:color="auto"/>
              </w:divBdr>
            </w:div>
            <w:div w:id="3057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4" Type="http://schemas.openxmlformats.org/officeDocument/2006/relationships/hyperlink" Target="https://smartmethodology.org/" TargetMode="External"/><Relationship Id="rId15" Type="http://schemas.openxmlformats.org/officeDocument/2006/relationships/hyperlink" Target="https://smartmethodology.org/survey-planning-tools/smart-methodology/rapid-smart-methodology/" TargetMode="External"/><Relationship Id="rId16" Type="http://schemas.openxmlformats.org/officeDocument/2006/relationships/hyperlink" Target="http://sens.unhcr.org/" TargetMode="External"/><Relationship Id="rId17" Type="http://schemas.openxmlformats.org/officeDocument/2006/relationships/hyperlink" Target="https://mics.unicef.org/surveys" TargetMode="External"/><Relationship Id="rId18" Type="http://schemas.openxmlformats.org/officeDocument/2006/relationships/hyperlink" Target="https://www.dhsprogram.com/Data/" TargetMode="External"/><Relationship Id="rId19" Type="http://schemas.openxmlformats.org/officeDocument/2006/relationships/hyperlink" Target="https://www.spring-nutrition.org/publications/tool-summaries/semi-quantitative-evaluation-access-and-coverage-squeacsimplified-lot" TargetMode="External"/><Relationship Id="rId63" Type="http://schemas.openxmlformats.org/officeDocument/2006/relationships/hyperlink" Target="https://ta.nutritioncluster.net/request-support" TargetMode="External"/><Relationship Id="rId64" Type="http://schemas.openxmlformats.org/officeDocument/2006/relationships/hyperlink" Target="https://www.humanitarianresponse.info/" TargetMode="External"/><Relationship Id="rId65" Type="http://schemas.openxmlformats.org/officeDocument/2006/relationships/hyperlink" Target="https://smartmethodology.org/survey-planning-tools/" TargetMode="External"/><Relationship Id="rId66" Type="http://schemas.openxmlformats.org/officeDocument/2006/relationships/hyperlink" Target="http://sens.unhcr.org/training-material-sens-field-training/" TargetMode="External"/><Relationship Id="rId67" Type="http://schemas.openxmlformats.org/officeDocument/2006/relationships/hyperlink" Target="https://www.coverage-monitoring.org/capacity-building-materials/" TargetMode="External"/><Relationship Id="rId68" Type="http://schemas.openxmlformats.org/officeDocument/2006/relationships/header" Target="header1.xml"/><Relationship Id="rId69" Type="http://schemas.openxmlformats.org/officeDocument/2006/relationships/fontTable" Target="fontTable.xml"/><Relationship Id="rId50" Type="http://schemas.openxmlformats.org/officeDocument/2006/relationships/hyperlink" Target="https://www.humanitarianresponse.info/en/programme-cycle/space/page/assessments-overview" TargetMode="External"/><Relationship Id="rId51" Type="http://schemas.openxmlformats.org/officeDocument/2006/relationships/hyperlink" Target="https://www.developmentbookshelf.com/doi/full/10.3362/9781908176707.006" TargetMode="External"/><Relationship Id="rId52" Type="http://schemas.openxmlformats.org/officeDocument/2006/relationships/hyperlink" Target="https://smartmethodology.org/survey-planning-tools/smart-methodology/rapid-smart-methodology/" TargetMode="External"/><Relationship Id="rId53" Type="http://schemas.openxmlformats.org/officeDocument/2006/relationships/hyperlink" Target="https://sites.google.com/site/stcehn/documents/iycf-e-toolkit-v3/related-annexes" TargetMode="External"/><Relationship Id="rId54" Type="http://schemas.openxmlformats.org/officeDocument/2006/relationships/hyperlink" Target="https://smartmethodology.org/" TargetMode="External"/><Relationship Id="rId55" Type="http://schemas.openxmlformats.org/officeDocument/2006/relationships/hyperlink" Target="https://gbvguidelines.org/wp/wp-content/uploads/2020/03/2.1-Consultations-Tip-Sheet.pdf" TargetMode="External"/><Relationship Id="rId56" Type="http://schemas.openxmlformats.org/officeDocument/2006/relationships/hyperlink" Target="http://nutritioncluster.net/resources/indicators-registry-nutrition-cluster/" TargetMode="External"/><Relationship Id="rId57" Type="http://schemas.openxmlformats.org/officeDocument/2006/relationships/hyperlink" Target="https://www.humanitarianresponse.info/en/programme-cycle/space/page/assessments-tools-guidance" TargetMode="External"/><Relationship Id="rId58" Type="http://schemas.openxmlformats.org/officeDocument/2006/relationships/hyperlink" Target="http://nutritioncluster.net/resources/surveys-database/" TargetMode="External"/><Relationship Id="rId59" Type="http://schemas.openxmlformats.org/officeDocument/2006/relationships/hyperlink" Target="https://www.nutritioncluster.net/node/4869" TargetMode="External"/><Relationship Id="rId40" Type="http://schemas.openxmlformats.org/officeDocument/2006/relationships/hyperlink" Target="https://www.nutritioncluster.net/resource_NutHumanitarianAnalysis" TargetMode="External"/><Relationship Id="rId41" Type="http://schemas.openxmlformats.org/officeDocument/2006/relationships/hyperlink" Target="http://nutritioncluster.net/resources/indicators-registry-nutrition-cluster/" TargetMode="External"/><Relationship Id="rId42" Type="http://schemas.openxmlformats.org/officeDocument/2006/relationships/hyperlink" Target="https://www.nutritioncluster.net/resource_NutHumanitarianAnalysis" TargetMode="External"/><Relationship Id="rId43" Type="http://schemas.openxmlformats.org/officeDocument/2006/relationships/hyperlink" Target="https://www.who.int/nutrition/publications/infantfeeding/9789241596664/en/" TargetMode="External"/><Relationship Id="rId44" Type="http://schemas.openxmlformats.org/officeDocument/2006/relationships/hyperlink" Target="http://sens.unhcr.org/introduction/module-3-iycf/" TargetMode="External"/><Relationship Id="rId45" Type="http://schemas.openxmlformats.org/officeDocument/2006/relationships/hyperlink" Target="https://www.nutritioncluster.net/resource_NutHumanitarianAnalysis" TargetMode="External"/><Relationship Id="rId46" Type="http://schemas.openxmlformats.org/officeDocument/2006/relationships/hyperlink" Target="http://nutritioncluster.net/resources/indicators-registry-nutrition-cluster/" TargetMode="External"/><Relationship Id="rId47" Type="http://schemas.openxmlformats.org/officeDocument/2006/relationships/hyperlink" Target="https://gbvguidelines.org/wp/wp-content/uploads/2020/03/2.1-Consultations-Tip-Sheet.pdf" TargetMode="External"/><Relationship Id="rId48" Type="http://schemas.openxmlformats.org/officeDocument/2006/relationships/hyperlink" Target="https://www.nutritioncluster.net/resource_NutHumanitarianAnalysis" TargetMode="External"/><Relationship Id="rId49" Type="http://schemas.openxmlformats.org/officeDocument/2006/relationships/hyperlink" Target="https://interagencystandingcommittee.org/needs-assessment/documents-public/iasc-operational-guidance-coordinated-assessments-humanitaria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30" Type="http://schemas.openxmlformats.org/officeDocument/2006/relationships/hyperlink" Target="https://smartmethodology.org/survey-planning-tools/updated-muac-tool/" TargetMode="External"/><Relationship Id="rId31" Type="http://schemas.openxmlformats.org/officeDocument/2006/relationships/hyperlink" Target="https://smartmethodology.org/survey-planning-tools/smart-methodology/rapid-smart-methodology/" TargetMode="External"/><Relationship Id="rId32" Type="http://schemas.openxmlformats.org/officeDocument/2006/relationships/hyperlink" Target="https://smartmethodology.org/" TargetMode="External"/><Relationship Id="rId33" Type="http://schemas.openxmlformats.org/officeDocument/2006/relationships/hyperlink" Target="https://fews.net/" TargetMode="External"/><Relationship Id="rId34" Type="http://schemas.openxmlformats.org/officeDocument/2006/relationships/hyperlink" Target="http://www.ipcinfo.org/" TargetMode="External"/><Relationship Id="rId35" Type="http://schemas.openxmlformats.org/officeDocument/2006/relationships/hyperlink" Target="http://ewars-project.org/" TargetMode="External"/><Relationship Id="rId36" Type="http://schemas.openxmlformats.org/officeDocument/2006/relationships/hyperlink" Target="https://www.nutritioncluster.net/resource_NutHumanitarianAnalysis" TargetMode="External"/><Relationship Id="rId37" Type="http://schemas.openxmlformats.org/officeDocument/2006/relationships/hyperlink" Target="https://www.humanitarianresponse.info/en/programme-cycle/space/page/assessments-tools-guidance" TargetMode="External"/><Relationship Id="rId38" Type="http://schemas.openxmlformats.org/officeDocument/2006/relationships/hyperlink" Target="https://www.nutritioncluster.net/resource_NutHumanitarianAnalysis" TargetMode="External"/><Relationship Id="rId39" Type="http://schemas.openxmlformats.org/officeDocument/2006/relationships/hyperlink" Target="http://nutritioncluster.net/resources/hrp-tips/" TargetMode="External"/><Relationship Id="rId70" Type="http://schemas.openxmlformats.org/officeDocument/2006/relationships/theme" Target="theme/theme1.xml"/><Relationship Id="rId20" Type="http://schemas.openxmlformats.org/officeDocument/2006/relationships/hyperlink" Target="https://smartmethodology.org/survey-planning-tools/updated-muac-tool/" TargetMode="External"/><Relationship Id="rId21" Type="http://schemas.openxmlformats.org/officeDocument/2006/relationships/hyperlink" Target="https://www.who.int/nutrition/publications/CIP_document/en/" TargetMode="External"/><Relationship Id="rId22" Type="http://schemas.openxmlformats.org/officeDocument/2006/relationships/hyperlink" Target="https://sustainabledevelopment.un.org/sdg2" TargetMode="External"/><Relationship Id="rId23" Type="http://schemas.openxmlformats.org/officeDocument/2006/relationships/hyperlink" Target="https://www.nutritioncluster.net/resource_NISandCOVID19" TargetMode="External"/><Relationship Id="rId24" Type="http://schemas.openxmlformats.org/officeDocument/2006/relationships/hyperlink" Target="https://www.nutritioncluster.net/node/19936" TargetMode="External"/><Relationship Id="rId25" Type="http://schemas.openxmlformats.org/officeDocument/2006/relationships/hyperlink" Target="https://www.nutritioncluster.net/resource_NutHumanitarianAnalysis" TargetMode="External"/><Relationship Id="rId26" Type="http://schemas.openxmlformats.org/officeDocument/2006/relationships/hyperlink" Target="https://www.nutritioncluster.net/resource_GNC_preparedness_guidelines" TargetMode="External"/><Relationship Id="rId27" Type="http://schemas.openxmlformats.org/officeDocument/2006/relationships/hyperlink" Target="https://www.humanitarianresponse.info/en/programme-cycle/space/document/multi-sector-initial-rapid-assessment-guidance-revision-july-2015" TargetMode="External"/><Relationship Id="rId28" Type="http://schemas.openxmlformats.org/officeDocument/2006/relationships/hyperlink" Target="https://interagencystandingcommittee.org/needs-assessment/documents-public/iasc-operational-guidance-coordinated-assessments-humanitarian" TargetMode="External"/><Relationship Id="rId29" Type="http://schemas.openxmlformats.org/officeDocument/2006/relationships/hyperlink" Target="https://resourcecentre.savethechildren.net/library/iycf-e-toolkit-chapter-two-assessing-need" TargetMode="External"/><Relationship Id="rId60" Type="http://schemas.openxmlformats.org/officeDocument/2006/relationships/hyperlink" Target="https://smartmethodology.org/contact-us/" TargetMode="External"/><Relationship Id="rId61" Type="http://schemas.openxmlformats.org/officeDocument/2006/relationships/hyperlink" Target="https://ta.nutritioncluster.net/request-support" TargetMode="External"/><Relationship Id="rId62" Type="http://schemas.openxmlformats.org/officeDocument/2006/relationships/hyperlink" Target="https://smartmethodology.org/contact-us/" TargetMode="Externa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TaxCatchAll xmlns="ca283e0b-db31-4043-a2ef-b80661bf084a">
      <Value>3</Value>
    </TaxCatchAll>
    <k8c968e8c72a4eda96b7e8fdbe192be2 xmlns="ca283e0b-db31-4043-a2ef-b80661bf084a">
      <Terms xmlns="http://schemas.microsoft.com/office/infopath/2007/PartnerControls"/>
    </k8c968e8c72a4eda96b7e8fdbe192be2>
    <ContentStatus xmlns="ca283e0b-db31-4043-a2ef-b80661bf084a" xsi:nil="true"/>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mda26ace941f4791a7314a339fee829c xmlns="ca283e0b-db31-4043-a2ef-b80661bf084a">
      <Terms xmlns="http://schemas.microsoft.com/office/infopath/2007/PartnerControls"/>
    </mda26ace941f4791a7314a339fee829c>
    <RecipientsEmail xmlns="ca283e0b-db31-4043-a2ef-b80661bf084a" xsi:nil="true"/>
    <WrittenBy xmlns="ca283e0b-db31-4043-a2ef-b80661bf084a">
      <UserInfo>
        <DisplayName/>
        <AccountId xsi:nil="true"/>
        <AccountType/>
      </UserInfo>
    </WrittenBy>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85AA-727D-42C8-A541-C209ECB0A8D7}">
  <ds:schemaRefs>
    <ds:schemaRef ds:uri="Microsoft.SharePoint.Taxonomy.ContentTypeSync"/>
  </ds:schemaRefs>
</ds:datastoreItem>
</file>

<file path=customXml/itemProps2.xml><?xml version="1.0" encoding="utf-8"?>
<ds:datastoreItem xmlns:ds="http://schemas.openxmlformats.org/officeDocument/2006/customXml" ds:itemID="{82665347-CD10-4BEE-9970-C163D7421C55}">
  <ds:schemaRefs>
    <ds:schemaRef ds:uri="http://schemas.microsoft.com/office/2006/metadata/customXsn"/>
  </ds:schemaRefs>
</ds:datastoreItem>
</file>

<file path=customXml/itemProps3.xml><?xml version="1.0" encoding="utf-8"?>
<ds:datastoreItem xmlns:ds="http://schemas.openxmlformats.org/officeDocument/2006/customXml" ds:itemID="{C68BF30C-44BB-46CB-9A47-945AC377CC82}">
  <ds:schemaRefs>
    <ds:schemaRef ds:uri="http://schemas.microsoft.com/sharepoint/v3/contenttype/forms"/>
  </ds:schemaRefs>
</ds:datastoreItem>
</file>

<file path=customXml/itemProps4.xml><?xml version="1.0" encoding="utf-8"?>
<ds:datastoreItem xmlns:ds="http://schemas.openxmlformats.org/officeDocument/2006/customXml" ds:itemID="{DFCC73C5-7347-4A7B-8993-C43561E1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FA8158-078C-4E2F-B0C1-3BA05091CDBA}">
  <ds:schemaRefs>
    <ds:schemaRef ds:uri="http://schemas.microsoft.com/sharepoint/events"/>
  </ds:schemaRefs>
</ds:datastoreItem>
</file>

<file path=customXml/itemProps6.xml><?xml version="1.0" encoding="utf-8"?>
<ds:datastoreItem xmlns:ds="http://schemas.openxmlformats.org/officeDocument/2006/customXml" ds:itemID="{E1FBD5E8-1761-4457-9A35-ED96DC96A0C9}">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7.xml><?xml version="1.0" encoding="utf-8"?>
<ds:datastoreItem xmlns:ds="http://schemas.openxmlformats.org/officeDocument/2006/customXml" ds:itemID="{C2BB87F8-8AC3-944B-8812-15412E16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8545</Words>
  <Characters>48711</Characters>
  <Application>Microsoft Macintosh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dc:description/>
  <cp:lastModifiedBy>nuria salse</cp:lastModifiedBy>
  <cp:revision>3</cp:revision>
  <cp:lastPrinted>2016-04-29T12:14:00Z</cp:lastPrinted>
  <dcterms:created xsi:type="dcterms:W3CDTF">2021-10-27T12:16:00Z</dcterms:created>
  <dcterms:modified xsi:type="dcterms:W3CDTF">2021-10-27T12:16:00Z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TaxKeyword">
    <vt:lpwstr/>
  </property>
</Properties>
</file>