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635B" w14:textId="77777777" w:rsidR="005551BF" w:rsidRDefault="005551BF" w:rsidP="00D914D0">
      <w:pPr>
        <w:pBdr>
          <w:bottom w:val="single" w:sz="4" w:space="1" w:color="auto"/>
        </w:pBdr>
        <w:rPr>
          <w:b/>
          <w:bCs/>
          <w:color w:val="000000" w:themeColor="text1"/>
          <w:sz w:val="36"/>
          <w:szCs w:val="36"/>
          <w:lang w:val="en-GB"/>
        </w:rPr>
      </w:pPr>
    </w:p>
    <w:p w14:paraId="0EBFF304" w14:textId="1320BBA4" w:rsidR="00B2136B" w:rsidRPr="009C3F7B" w:rsidRDefault="00F95DEA" w:rsidP="00362513">
      <w:pPr>
        <w:pBdr>
          <w:bottom w:val="single" w:sz="4" w:space="1" w:color="auto"/>
        </w:pBdr>
        <w:rPr>
          <w:b/>
          <w:bCs/>
          <w:color w:val="000000" w:themeColor="text1"/>
          <w:sz w:val="36"/>
          <w:szCs w:val="36"/>
        </w:rPr>
      </w:pPr>
      <w:r w:rsidRPr="009C3F7B">
        <w:rPr>
          <w:b/>
          <w:bCs/>
          <w:color w:val="000000" w:themeColor="text1"/>
          <w:sz w:val="36"/>
          <w:szCs w:val="36"/>
        </w:rPr>
        <w:t xml:space="preserve">HRP </w:t>
      </w:r>
      <w:r w:rsidR="009C2DCB" w:rsidRPr="009C3F7B">
        <w:rPr>
          <w:b/>
          <w:bCs/>
          <w:color w:val="000000" w:themeColor="text1"/>
          <w:sz w:val="36"/>
          <w:szCs w:val="36"/>
        </w:rPr>
        <w:t xml:space="preserve">Nutrition </w:t>
      </w:r>
      <w:proofErr w:type="spellStart"/>
      <w:r w:rsidR="009C2DCB" w:rsidRPr="009C3F7B">
        <w:rPr>
          <w:b/>
          <w:bCs/>
          <w:color w:val="000000" w:themeColor="text1"/>
          <w:sz w:val="36"/>
          <w:szCs w:val="36"/>
        </w:rPr>
        <w:t>checklist</w:t>
      </w:r>
      <w:proofErr w:type="spellEnd"/>
      <w:r w:rsidR="009C2DCB" w:rsidRPr="009C3F7B">
        <w:rPr>
          <w:b/>
          <w:bCs/>
          <w:color w:val="000000" w:themeColor="text1"/>
          <w:sz w:val="36"/>
          <w:szCs w:val="36"/>
        </w:rPr>
        <w:t xml:space="preserve"> </w:t>
      </w:r>
      <w:r w:rsidR="00D914D0" w:rsidRPr="009C3F7B">
        <w:rPr>
          <w:b/>
          <w:bCs/>
          <w:color w:val="000000" w:themeColor="text1"/>
          <w:sz w:val="36"/>
          <w:szCs w:val="36"/>
        </w:rPr>
        <w:t>v.</w:t>
      </w:r>
      <w:r w:rsidR="195F9C2F" w:rsidRPr="009C3F7B">
        <w:rPr>
          <w:b/>
          <w:bCs/>
          <w:color w:val="000000" w:themeColor="text1"/>
          <w:sz w:val="36"/>
          <w:szCs w:val="36"/>
        </w:rPr>
        <w:t>2</w:t>
      </w:r>
      <w:r w:rsidR="00D914D0" w:rsidRPr="009C3F7B">
        <w:rPr>
          <w:b/>
          <w:bCs/>
          <w:color w:val="000000" w:themeColor="text1"/>
          <w:sz w:val="36"/>
          <w:szCs w:val="36"/>
        </w:rPr>
        <w:tab/>
      </w:r>
      <w:r w:rsidR="00D914D0" w:rsidRPr="009C3F7B">
        <w:rPr>
          <w:b/>
          <w:bCs/>
          <w:color w:val="000000" w:themeColor="text1"/>
          <w:sz w:val="36"/>
          <w:szCs w:val="36"/>
        </w:rPr>
        <w:tab/>
      </w:r>
      <w:r w:rsidR="00D914D0" w:rsidRPr="009C3F7B">
        <w:rPr>
          <w:b/>
          <w:bCs/>
          <w:color w:val="000000" w:themeColor="text1"/>
          <w:sz w:val="36"/>
          <w:szCs w:val="36"/>
        </w:rPr>
        <w:tab/>
      </w:r>
      <w:r w:rsidR="00362513">
        <w:rPr>
          <w:b/>
          <w:bCs/>
          <w:color w:val="000000" w:themeColor="text1"/>
          <w:sz w:val="36"/>
          <w:szCs w:val="36"/>
        </w:rPr>
        <w:t xml:space="preserve">           </w:t>
      </w:r>
      <w:r w:rsidR="00362513">
        <w:rPr>
          <w:b/>
          <w:bCs/>
          <w:color w:val="000000" w:themeColor="text1"/>
          <w:sz w:val="36"/>
          <w:szCs w:val="36"/>
        </w:rPr>
        <w:tab/>
      </w:r>
      <w:r w:rsidR="00362513">
        <w:rPr>
          <w:b/>
          <w:bCs/>
          <w:color w:val="000000" w:themeColor="text1"/>
          <w:sz w:val="36"/>
          <w:szCs w:val="36"/>
        </w:rPr>
        <w:tab/>
      </w:r>
      <w:r w:rsidR="00362513">
        <w:rPr>
          <w:b/>
          <w:bCs/>
          <w:color w:val="000000" w:themeColor="text1"/>
          <w:sz w:val="36"/>
          <w:szCs w:val="36"/>
        </w:rPr>
        <w:tab/>
      </w:r>
      <w:r w:rsidR="00362513">
        <w:rPr>
          <w:b/>
          <w:bCs/>
          <w:color w:val="000000" w:themeColor="text1"/>
          <w:sz w:val="36"/>
          <w:szCs w:val="36"/>
        </w:rPr>
        <w:tab/>
      </w:r>
      <w:r w:rsidR="00D914D0" w:rsidRPr="009C3F7B">
        <w:rPr>
          <w:b/>
          <w:bCs/>
          <w:color w:val="000000" w:themeColor="text1"/>
          <w:sz w:val="36"/>
          <w:szCs w:val="36"/>
        </w:rPr>
        <w:tab/>
      </w:r>
      <w:r w:rsidR="00D914D0" w:rsidRPr="009C3F7B">
        <w:rPr>
          <w:b/>
          <w:bCs/>
          <w:color w:val="000000" w:themeColor="text1"/>
          <w:sz w:val="36"/>
          <w:szCs w:val="36"/>
        </w:rPr>
        <w:tab/>
        <w:t xml:space="preserve">       (</w:t>
      </w:r>
      <w:r w:rsidR="31761597" w:rsidRPr="009C3F7B">
        <w:rPr>
          <w:b/>
          <w:bCs/>
          <w:color w:val="000000" w:themeColor="text1"/>
          <w:sz w:val="36"/>
          <w:szCs w:val="36"/>
        </w:rPr>
        <w:t>1</w:t>
      </w:r>
      <w:r w:rsidR="00553CC3" w:rsidRPr="009C3F7B">
        <w:rPr>
          <w:b/>
          <w:bCs/>
          <w:color w:val="000000" w:themeColor="text1"/>
          <w:sz w:val="36"/>
          <w:szCs w:val="36"/>
        </w:rPr>
        <w:t>4</w:t>
      </w:r>
      <w:r w:rsidR="00D914D0" w:rsidRPr="009C3F7B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4A4AD18F" w:rsidRPr="009C3F7B">
        <w:rPr>
          <w:b/>
          <w:bCs/>
          <w:color w:val="000000" w:themeColor="text1"/>
          <w:sz w:val="36"/>
          <w:szCs w:val="36"/>
        </w:rPr>
        <w:t>October</w:t>
      </w:r>
      <w:proofErr w:type="spellEnd"/>
      <w:r w:rsidR="4A4AD18F" w:rsidRPr="009C3F7B">
        <w:rPr>
          <w:b/>
          <w:bCs/>
          <w:color w:val="000000" w:themeColor="text1"/>
          <w:sz w:val="36"/>
          <w:szCs w:val="36"/>
        </w:rPr>
        <w:t xml:space="preserve"> </w:t>
      </w:r>
      <w:r w:rsidR="00D914D0" w:rsidRPr="009C3F7B">
        <w:rPr>
          <w:b/>
          <w:bCs/>
          <w:color w:val="000000" w:themeColor="text1"/>
          <w:sz w:val="36"/>
          <w:szCs w:val="36"/>
        </w:rPr>
        <w:t>20</w:t>
      </w:r>
      <w:r w:rsidR="00553CC3" w:rsidRPr="009C3F7B">
        <w:rPr>
          <w:b/>
          <w:bCs/>
          <w:color w:val="000000" w:themeColor="text1"/>
          <w:sz w:val="36"/>
          <w:szCs w:val="36"/>
        </w:rPr>
        <w:t>20</w:t>
      </w:r>
      <w:r w:rsidR="00D914D0" w:rsidRPr="009C3F7B">
        <w:rPr>
          <w:b/>
          <w:bCs/>
          <w:color w:val="000000" w:themeColor="text1"/>
          <w:sz w:val="36"/>
          <w:szCs w:val="36"/>
        </w:rPr>
        <w:t>)</w:t>
      </w:r>
    </w:p>
    <w:p w14:paraId="74DA9008" w14:textId="77777777" w:rsidR="004B66B5" w:rsidRPr="009C3F7B" w:rsidRDefault="004B66B5">
      <w:pPr>
        <w:rPr>
          <w:color w:val="000000" w:themeColor="text1"/>
        </w:rPr>
      </w:pPr>
    </w:p>
    <w:p w14:paraId="758969F3" w14:textId="77777777" w:rsidR="00E13B24" w:rsidRPr="009C3F7B" w:rsidRDefault="00E13B24">
      <w:pPr>
        <w:rPr>
          <w:color w:val="000000" w:themeColor="text1"/>
        </w:rPr>
      </w:pPr>
    </w:p>
    <w:p w14:paraId="7FD469DB" w14:textId="7F4E2FB7" w:rsidR="00D914D0" w:rsidRPr="00ED275E" w:rsidRDefault="00D914D0">
      <w:pPr>
        <w:rPr>
          <w:color w:val="000000" w:themeColor="text1"/>
          <w:lang w:val="en-GB"/>
        </w:rPr>
      </w:pPr>
      <w:r w:rsidRPr="00ED275E">
        <w:rPr>
          <w:color w:val="000000" w:themeColor="text1"/>
          <w:lang w:val="en-GB"/>
        </w:rPr>
        <w:t xml:space="preserve">Notes: </w:t>
      </w:r>
    </w:p>
    <w:p w14:paraId="12EDE694" w14:textId="77777777" w:rsidR="00D914D0" w:rsidRPr="00ED275E" w:rsidRDefault="00D914D0">
      <w:pPr>
        <w:rPr>
          <w:color w:val="000000" w:themeColor="text1"/>
          <w:lang w:val="en-GB"/>
        </w:rPr>
      </w:pPr>
    </w:p>
    <w:p w14:paraId="502D65BB" w14:textId="2DF12FD3" w:rsidR="009274A4" w:rsidRDefault="00553CC3" w:rsidP="00517A70">
      <w:pPr>
        <w:pStyle w:val="ListParagraph"/>
        <w:numPr>
          <w:ilvl w:val="0"/>
          <w:numId w:val="1"/>
        </w:numPr>
        <w:spacing w:after="200"/>
        <w:contextualSpacing w:val="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This checklist was developed to support nutrition cluster</w:t>
      </w:r>
      <w:r w:rsidR="009274A4">
        <w:rPr>
          <w:color w:val="000000" w:themeColor="text1"/>
          <w:lang w:val="en-GB"/>
        </w:rPr>
        <w:t>/sector coordinators, SAG members, partners, and the GNC team with the HRP process</w:t>
      </w:r>
      <w:r>
        <w:rPr>
          <w:color w:val="000000" w:themeColor="text1"/>
          <w:lang w:val="en-GB"/>
        </w:rPr>
        <w:t xml:space="preserve">. </w:t>
      </w:r>
    </w:p>
    <w:p w14:paraId="045A0835" w14:textId="51CB584D" w:rsidR="00166BFF" w:rsidRDefault="009274A4" w:rsidP="00517A70">
      <w:pPr>
        <w:pStyle w:val="ListParagraph"/>
        <w:numPr>
          <w:ilvl w:val="0"/>
          <w:numId w:val="1"/>
        </w:numPr>
        <w:spacing w:after="200"/>
        <w:contextualSpacing w:val="0"/>
        <w:rPr>
          <w:color w:val="000000" w:themeColor="text1"/>
          <w:lang w:val="en-GB"/>
        </w:rPr>
      </w:pPr>
      <w:r w:rsidRPr="511F4692">
        <w:rPr>
          <w:color w:val="000000" w:themeColor="text1"/>
          <w:lang w:val="en-GB"/>
        </w:rPr>
        <w:t>This</w:t>
      </w:r>
      <w:r w:rsidR="0086387D" w:rsidRPr="511F4692">
        <w:rPr>
          <w:color w:val="000000" w:themeColor="text1"/>
          <w:lang w:val="en-GB"/>
        </w:rPr>
        <w:t xml:space="preserve"> </w:t>
      </w:r>
      <w:r w:rsidR="273A2E06" w:rsidRPr="511F4692">
        <w:rPr>
          <w:color w:val="000000" w:themeColor="text1"/>
          <w:lang w:val="en-GB"/>
        </w:rPr>
        <w:t xml:space="preserve">checklist </w:t>
      </w:r>
      <w:r w:rsidRPr="511F4692">
        <w:rPr>
          <w:color w:val="000000" w:themeColor="text1"/>
          <w:lang w:val="en-GB"/>
        </w:rPr>
        <w:t>is streamlined with current guidance and</w:t>
      </w:r>
      <w:r w:rsidR="00BB4FC3" w:rsidRPr="511F4692">
        <w:rPr>
          <w:color w:val="000000" w:themeColor="text1"/>
          <w:lang w:val="en-GB"/>
        </w:rPr>
        <w:t xml:space="preserve"> address</w:t>
      </w:r>
      <w:r w:rsidR="00D529DD" w:rsidRPr="511F4692">
        <w:rPr>
          <w:color w:val="000000" w:themeColor="text1"/>
          <w:lang w:val="en-GB"/>
        </w:rPr>
        <w:t>es</w:t>
      </w:r>
      <w:r w:rsidR="00BB4FC3" w:rsidRPr="511F4692">
        <w:rPr>
          <w:color w:val="000000" w:themeColor="text1"/>
          <w:lang w:val="en-GB"/>
        </w:rPr>
        <w:t xml:space="preserve"> nutrition against </w:t>
      </w:r>
      <w:r w:rsidR="00D529DD" w:rsidRPr="511F4692">
        <w:rPr>
          <w:color w:val="000000" w:themeColor="text1"/>
          <w:lang w:val="en-GB"/>
        </w:rPr>
        <w:t>each of the quality assessment criterion</w:t>
      </w:r>
      <w:r w:rsidR="0086387D" w:rsidRPr="511F4692">
        <w:rPr>
          <w:color w:val="000000" w:themeColor="text1"/>
          <w:lang w:val="en-GB"/>
        </w:rPr>
        <w:t xml:space="preserve"> identified in the 2019 </w:t>
      </w:r>
      <w:proofErr w:type="spellStart"/>
      <w:r w:rsidR="0086387D" w:rsidRPr="511F4692">
        <w:rPr>
          <w:color w:val="000000" w:themeColor="text1"/>
          <w:lang w:val="en-GB"/>
        </w:rPr>
        <w:t>GPPi</w:t>
      </w:r>
      <w:proofErr w:type="spellEnd"/>
      <w:r w:rsidR="0086387D" w:rsidRPr="511F4692">
        <w:rPr>
          <w:color w:val="000000" w:themeColor="text1"/>
          <w:lang w:val="en-GB"/>
        </w:rPr>
        <w:t xml:space="preserve"> Quality Assessment Criteria</w:t>
      </w:r>
      <w:r w:rsidR="00D529DD" w:rsidRPr="511F4692">
        <w:rPr>
          <w:color w:val="000000" w:themeColor="text1"/>
          <w:lang w:val="en-GB"/>
        </w:rPr>
        <w:t xml:space="preserve">. </w:t>
      </w:r>
    </w:p>
    <w:p w14:paraId="0C5D7046" w14:textId="7522C3EA" w:rsidR="009274A4" w:rsidRDefault="00166BFF" w:rsidP="00517A70">
      <w:pPr>
        <w:pStyle w:val="ListParagraph"/>
        <w:numPr>
          <w:ilvl w:val="0"/>
          <w:numId w:val="1"/>
        </w:numPr>
        <w:spacing w:after="200"/>
        <w:contextualSpacing w:val="0"/>
        <w:rPr>
          <w:color w:val="000000" w:themeColor="text1"/>
          <w:lang w:val="en-GB"/>
        </w:rPr>
      </w:pPr>
      <w:r w:rsidRPr="511F4692">
        <w:rPr>
          <w:color w:val="000000" w:themeColor="text1"/>
          <w:lang w:val="en-GB"/>
        </w:rPr>
        <w:t>This tool can be used while drafting or reviewing the HRP to ensure that nutrition is adequately addressed in all sections of the HRP</w:t>
      </w:r>
      <w:r w:rsidR="009274A4" w:rsidRPr="511F4692">
        <w:rPr>
          <w:color w:val="000000" w:themeColor="text1"/>
          <w:lang w:val="en-GB"/>
        </w:rPr>
        <w:t xml:space="preserve"> (sectoral and inter-sectoral)</w:t>
      </w:r>
      <w:r w:rsidRPr="511F4692">
        <w:rPr>
          <w:color w:val="000000" w:themeColor="text1"/>
          <w:lang w:val="en-GB"/>
        </w:rPr>
        <w:t xml:space="preserve">. </w:t>
      </w:r>
      <w:r w:rsidR="005E50B5" w:rsidRPr="511F4692">
        <w:rPr>
          <w:color w:val="000000" w:themeColor="text1"/>
          <w:lang w:val="en-GB"/>
        </w:rPr>
        <w:t xml:space="preserve">Specifically: </w:t>
      </w:r>
    </w:p>
    <w:p w14:paraId="43518895" w14:textId="3F5F5EBE" w:rsidR="6EA551D8" w:rsidRDefault="6EA551D8" w:rsidP="511F4692">
      <w:pPr>
        <w:pStyle w:val="ListParagraph"/>
        <w:numPr>
          <w:ilvl w:val="1"/>
          <w:numId w:val="1"/>
        </w:numPr>
        <w:spacing w:after="200"/>
        <w:rPr>
          <w:color w:val="000000" w:themeColor="text1"/>
          <w:lang w:val="en-GB"/>
        </w:rPr>
      </w:pPr>
      <w:r w:rsidRPr="511F4692">
        <w:rPr>
          <w:color w:val="000000" w:themeColor="text1"/>
          <w:lang w:val="en-GB"/>
        </w:rPr>
        <w:t>The category column refers to the requirements of the 2021 HRPs.</w:t>
      </w:r>
    </w:p>
    <w:p w14:paraId="057A75C7" w14:textId="006AE007" w:rsidR="00166BFF" w:rsidRDefault="005E50B5" w:rsidP="005E50B5">
      <w:pPr>
        <w:pStyle w:val="ListParagraph"/>
        <w:numPr>
          <w:ilvl w:val="1"/>
          <w:numId w:val="1"/>
        </w:numPr>
        <w:spacing w:after="200"/>
        <w:contextualSpacing w:val="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The Indicator column</w:t>
      </w:r>
      <w:r w:rsidR="00166BFF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provides suggestions (italic text) on how nutrition can be potentially addressed against each quality criteria (regular text). </w:t>
      </w:r>
    </w:p>
    <w:p w14:paraId="67302310" w14:textId="40BDBBBC" w:rsidR="009274A4" w:rsidRDefault="009274A4" w:rsidP="005E50B5">
      <w:pPr>
        <w:pStyle w:val="ListParagraph"/>
        <w:numPr>
          <w:ilvl w:val="1"/>
          <w:numId w:val="1"/>
        </w:numPr>
        <w:spacing w:after="200"/>
        <w:contextualSpacing w:val="0"/>
        <w:rPr>
          <w:color w:val="000000" w:themeColor="text1"/>
          <w:lang w:val="en-GB"/>
        </w:rPr>
      </w:pPr>
      <w:r w:rsidRPr="097057D7">
        <w:rPr>
          <w:color w:val="000000" w:themeColor="text1"/>
          <w:lang w:val="en-GB"/>
        </w:rPr>
        <w:t xml:space="preserve">The </w:t>
      </w:r>
      <w:r w:rsidR="005E50B5" w:rsidRPr="097057D7">
        <w:rPr>
          <w:color w:val="000000" w:themeColor="text1"/>
          <w:lang w:val="en-GB"/>
        </w:rPr>
        <w:t>C</w:t>
      </w:r>
      <w:r w:rsidRPr="097057D7">
        <w:rPr>
          <w:color w:val="000000" w:themeColor="text1"/>
          <w:lang w:val="en-GB"/>
        </w:rPr>
        <w:t xml:space="preserve">omments column can be used to indicate </w:t>
      </w:r>
      <w:r w:rsidR="1059E21F" w:rsidRPr="097057D7">
        <w:rPr>
          <w:color w:val="000000" w:themeColor="text1"/>
          <w:lang w:val="en-GB"/>
        </w:rPr>
        <w:t>whether</w:t>
      </w:r>
      <w:r w:rsidRPr="097057D7">
        <w:rPr>
          <w:color w:val="000000" w:themeColor="text1"/>
          <w:lang w:val="en-GB"/>
        </w:rPr>
        <w:t xml:space="preserve"> nutrition has been adequately addressed</w:t>
      </w:r>
      <w:r w:rsidR="005E50B5" w:rsidRPr="097057D7">
        <w:rPr>
          <w:color w:val="000000" w:themeColor="text1"/>
          <w:lang w:val="en-GB"/>
        </w:rPr>
        <w:t xml:space="preserve"> against the respective indicator. </w:t>
      </w:r>
    </w:p>
    <w:p w14:paraId="56C72EAA" w14:textId="6CC21DEE" w:rsidR="00BB4FC3" w:rsidRDefault="00166BFF" w:rsidP="005E50B5">
      <w:pPr>
        <w:pStyle w:val="ListParagraph"/>
        <w:numPr>
          <w:ilvl w:val="1"/>
          <w:numId w:val="1"/>
        </w:numPr>
        <w:spacing w:after="200"/>
        <w:contextualSpacing w:val="0"/>
        <w:rPr>
          <w:color w:val="000000" w:themeColor="text1"/>
          <w:lang w:val="en-GB"/>
        </w:rPr>
      </w:pPr>
      <w:r w:rsidRPr="511F4692">
        <w:rPr>
          <w:color w:val="000000" w:themeColor="text1"/>
          <w:lang w:val="en-GB"/>
        </w:rPr>
        <w:t xml:space="preserve">The </w:t>
      </w:r>
      <w:r w:rsidR="005E50B5" w:rsidRPr="511F4692">
        <w:rPr>
          <w:color w:val="000000" w:themeColor="text1"/>
          <w:lang w:val="en-GB"/>
        </w:rPr>
        <w:t>S</w:t>
      </w:r>
      <w:r w:rsidRPr="511F4692">
        <w:rPr>
          <w:color w:val="000000" w:themeColor="text1"/>
          <w:lang w:val="en-GB"/>
        </w:rPr>
        <w:t xml:space="preserve">ource of </w:t>
      </w:r>
      <w:r w:rsidR="005E50B5" w:rsidRPr="511F4692">
        <w:rPr>
          <w:color w:val="000000" w:themeColor="text1"/>
          <w:lang w:val="en-GB"/>
        </w:rPr>
        <w:t>I</w:t>
      </w:r>
      <w:r w:rsidRPr="511F4692">
        <w:rPr>
          <w:color w:val="000000" w:themeColor="text1"/>
          <w:lang w:val="en-GB"/>
        </w:rPr>
        <w:t xml:space="preserve">nformation column highlights the </w:t>
      </w:r>
      <w:r w:rsidR="009274A4" w:rsidRPr="511F4692">
        <w:rPr>
          <w:color w:val="000000" w:themeColor="text1"/>
          <w:lang w:val="en-GB"/>
        </w:rPr>
        <w:t xml:space="preserve">sections and sub-sections of the HRP where the indicator may be applicable. </w:t>
      </w:r>
    </w:p>
    <w:p w14:paraId="3D1E5BEE" w14:textId="20959C07" w:rsidR="0086387D" w:rsidRDefault="6C5EFDD3" w:rsidP="00517A70">
      <w:pPr>
        <w:pStyle w:val="ListParagraph"/>
        <w:numPr>
          <w:ilvl w:val="0"/>
          <w:numId w:val="1"/>
        </w:numPr>
        <w:spacing w:after="200"/>
        <w:contextualSpacing w:val="0"/>
        <w:rPr>
          <w:color w:val="000000" w:themeColor="text1"/>
          <w:lang w:val="en-GB"/>
        </w:rPr>
      </w:pPr>
      <w:r w:rsidRPr="29BA3449">
        <w:rPr>
          <w:color w:val="000000" w:themeColor="text1"/>
          <w:lang w:val="en-GB"/>
        </w:rPr>
        <w:t>It is important to note that t</w:t>
      </w:r>
      <w:r w:rsidR="0086387D" w:rsidRPr="29BA3449">
        <w:rPr>
          <w:color w:val="000000" w:themeColor="text1"/>
          <w:lang w:val="en-GB"/>
        </w:rPr>
        <w:t>his checklist will be updated once the 2021 HRP Quality Assessment Criteria is released (estimated date: October 2020).</w:t>
      </w:r>
    </w:p>
    <w:p w14:paraId="1E0C6548" w14:textId="0A038B11" w:rsidR="00CA5A5A" w:rsidRDefault="00BB4FC3" w:rsidP="511F4692">
      <w:pPr>
        <w:pStyle w:val="ListParagraph"/>
        <w:numPr>
          <w:ilvl w:val="0"/>
          <w:numId w:val="1"/>
        </w:numPr>
        <w:spacing w:after="200"/>
        <w:contextualSpacing w:val="0"/>
        <w:rPr>
          <w:rFonts w:eastAsiaTheme="minorEastAsia"/>
          <w:color w:val="000000" w:themeColor="text1"/>
          <w:lang w:val="en-GB"/>
        </w:rPr>
      </w:pPr>
      <w:r w:rsidRPr="3B137322">
        <w:rPr>
          <w:color w:val="000000" w:themeColor="text1"/>
          <w:lang w:val="en-GB"/>
        </w:rPr>
        <w:t xml:space="preserve">This </w:t>
      </w:r>
      <w:r w:rsidR="2B40B411" w:rsidRPr="3B137322">
        <w:rPr>
          <w:color w:val="000000" w:themeColor="text1"/>
          <w:lang w:val="en-GB"/>
        </w:rPr>
        <w:t xml:space="preserve">checklist </w:t>
      </w:r>
      <w:r w:rsidR="000F76F9" w:rsidRPr="3B137322">
        <w:rPr>
          <w:color w:val="000000" w:themeColor="text1"/>
          <w:lang w:val="en-GB"/>
        </w:rPr>
        <w:t xml:space="preserve">supplements </w:t>
      </w:r>
      <w:r w:rsidR="009C2DCB" w:rsidRPr="3B137322">
        <w:rPr>
          <w:color w:val="000000" w:themeColor="text1"/>
          <w:lang w:val="en-GB"/>
        </w:rPr>
        <w:t xml:space="preserve">current </w:t>
      </w:r>
      <w:r w:rsidR="0086387D" w:rsidRPr="3B137322">
        <w:rPr>
          <w:color w:val="000000" w:themeColor="text1"/>
          <w:lang w:val="en-GB"/>
        </w:rPr>
        <w:t xml:space="preserve">HRP </w:t>
      </w:r>
      <w:r w:rsidRPr="3B137322">
        <w:rPr>
          <w:color w:val="000000" w:themeColor="text1"/>
          <w:lang w:val="en-GB"/>
        </w:rPr>
        <w:t>guidance including the</w:t>
      </w:r>
      <w:r w:rsidR="000F76F9" w:rsidRPr="3B137322">
        <w:rPr>
          <w:color w:val="000000" w:themeColor="text1"/>
          <w:lang w:val="en-GB"/>
        </w:rPr>
        <w:t xml:space="preserve"> Response Analysis, Formulation of strategic and Specific Objectives and Targeting, the HPC Step by Step Guide on Humanitarian response planning steps</w:t>
      </w:r>
      <w:r w:rsidRPr="3B137322">
        <w:rPr>
          <w:color w:val="000000" w:themeColor="text1"/>
          <w:lang w:val="en-GB"/>
        </w:rPr>
        <w:t>, GNC HRP Tips and the HRP annotated template.</w:t>
      </w:r>
      <w:r w:rsidR="31319F7B" w:rsidRPr="3B137322">
        <w:rPr>
          <w:color w:val="000000" w:themeColor="text1"/>
          <w:lang w:val="en-GB"/>
        </w:rPr>
        <w:t xml:space="preserve"> These guidance documents can be found at: </w:t>
      </w:r>
      <w:hyperlink r:id="rId13">
        <w:r w:rsidR="31319F7B" w:rsidRPr="3B137322">
          <w:rPr>
            <w:rStyle w:val="Hyperlink"/>
            <w:color w:val="000000" w:themeColor="text1"/>
            <w:lang w:val="en-GB"/>
          </w:rPr>
          <w:t>www.humanitarianresponse.info/en/programme-cycle/space</w:t>
        </w:r>
      </w:hyperlink>
      <w:r w:rsidR="31319F7B" w:rsidRPr="3B137322">
        <w:rPr>
          <w:color w:val="000000" w:themeColor="text1"/>
          <w:lang w:val="en-GB"/>
        </w:rPr>
        <w:t xml:space="preserve">   </w:t>
      </w:r>
      <w:r w:rsidR="65A0888A" w:rsidRPr="3B137322">
        <w:rPr>
          <w:color w:val="000000" w:themeColor="text1"/>
          <w:lang w:val="en-GB"/>
        </w:rPr>
        <w:t xml:space="preserve"> </w:t>
      </w:r>
    </w:p>
    <w:p w14:paraId="74A6D384" w14:textId="30A27B22" w:rsidR="00917840" w:rsidRDefault="00917840" w:rsidP="008F4664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If you have questions about th</w:t>
      </w:r>
      <w:r w:rsidR="00BB4FC3">
        <w:rPr>
          <w:color w:val="000000" w:themeColor="text1"/>
          <w:lang w:val="en-GB"/>
        </w:rPr>
        <w:t xml:space="preserve">is tool </w:t>
      </w:r>
      <w:r>
        <w:rPr>
          <w:color w:val="000000" w:themeColor="text1"/>
          <w:lang w:val="en-GB"/>
        </w:rPr>
        <w:t xml:space="preserve">or if you would like to provide feedback, please contact </w:t>
      </w:r>
      <w:proofErr w:type="spellStart"/>
      <w:r w:rsidR="00BB4FC3">
        <w:rPr>
          <w:color w:val="000000" w:themeColor="text1"/>
          <w:lang w:val="en-GB"/>
        </w:rPr>
        <w:t>Anteneh</w:t>
      </w:r>
      <w:proofErr w:type="spellEnd"/>
      <w:r w:rsidR="00BB4FC3">
        <w:rPr>
          <w:color w:val="000000" w:themeColor="text1"/>
          <w:lang w:val="en-GB"/>
        </w:rPr>
        <w:t xml:space="preserve"> </w:t>
      </w:r>
      <w:proofErr w:type="spellStart"/>
      <w:r w:rsidR="00BB4FC3">
        <w:rPr>
          <w:color w:val="000000" w:themeColor="text1"/>
          <w:lang w:val="en-GB"/>
        </w:rPr>
        <w:t>Dobamo</w:t>
      </w:r>
      <w:proofErr w:type="spellEnd"/>
      <w:r w:rsidR="00BB4FC3">
        <w:rPr>
          <w:color w:val="000000" w:themeColor="text1"/>
          <w:lang w:val="en-GB"/>
        </w:rPr>
        <w:t xml:space="preserve"> at </w:t>
      </w:r>
      <w:hyperlink r:id="rId14" w:history="1">
        <w:r w:rsidR="00716D9F" w:rsidRPr="00BF41B4">
          <w:rPr>
            <w:rStyle w:val="Hyperlink"/>
            <w:lang w:val="en-GB"/>
          </w:rPr>
          <w:t>adobamo@unicef.org</w:t>
        </w:r>
      </w:hyperlink>
      <w:r w:rsidR="00716D9F">
        <w:rPr>
          <w:color w:val="000000" w:themeColor="text1"/>
          <w:lang w:val="en-GB"/>
        </w:rPr>
        <w:t xml:space="preserve"> </w:t>
      </w:r>
    </w:p>
    <w:p w14:paraId="645AA6C5" w14:textId="3AF9ACF7" w:rsidR="009C3F7B" w:rsidRDefault="009C3F7B" w:rsidP="009C3F7B">
      <w:pPr>
        <w:rPr>
          <w:color w:val="000000" w:themeColor="text1"/>
          <w:lang w:val="en-GB"/>
        </w:rPr>
      </w:pPr>
    </w:p>
    <w:p w14:paraId="0A697854" w14:textId="282DD6E2" w:rsidR="00517A70" w:rsidRDefault="00517A70" w:rsidP="00517A70">
      <w:pPr>
        <w:pStyle w:val="ListParagraph"/>
        <w:rPr>
          <w:color w:val="000000" w:themeColor="text1"/>
          <w:lang w:val="en-GB"/>
        </w:rPr>
      </w:pPr>
    </w:p>
    <w:p w14:paraId="01997725" w14:textId="77777777" w:rsidR="000D2505" w:rsidRPr="00ED275E" w:rsidRDefault="000D2505" w:rsidP="00517A70">
      <w:pPr>
        <w:pStyle w:val="ListParagraph"/>
        <w:rPr>
          <w:color w:val="000000" w:themeColor="text1"/>
          <w:lang w:val="en-GB"/>
        </w:rPr>
      </w:pPr>
    </w:p>
    <w:p w14:paraId="181F8552" w14:textId="77777777" w:rsidR="009F4CFE" w:rsidRPr="00ED275E" w:rsidRDefault="009F4CFE">
      <w:pPr>
        <w:rPr>
          <w:color w:val="000000" w:themeColor="text1"/>
          <w:lang w:val="en-GB"/>
        </w:rPr>
      </w:pPr>
    </w:p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5"/>
        <w:gridCol w:w="2145"/>
        <w:gridCol w:w="1682"/>
      </w:tblGrid>
      <w:tr w:rsidR="00CA5A5A" w:rsidRPr="005E50B5" w14:paraId="1DA0D77E" w14:textId="77777777" w:rsidTr="3C20E7B6">
        <w:trPr>
          <w:trHeight w:val="32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14:paraId="18F6712B" w14:textId="77777777" w:rsidR="00F95DEA" w:rsidRPr="005E50B5" w:rsidRDefault="00F95DEA" w:rsidP="00D2270A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</w:pPr>
            <w:r w:rsidRPr="005E50B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  <w:t>CATEGORY</w:t>
            </w:r>
          </w:p>
          <w:p w14:paraId="416045A7" w14:textId="77777777" w:rsidR="00F95DEA" w:rsidRPr="005E50B5" w:rsidRDefault="00F95DEA" w:rsidP="00D2270A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14:paraId="255CF900" w14:textId="77777777" w:rsidR="00F95DEA" w:rsidRPr="005E50B5" w:rsidRDefault="00F95DEA" w:rsidP="00D2270A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  <w:t>INDICATOR/ASSESSSMENT QUESTION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800C2D8" w14:textId="3FD765BC" w:rsidR="00F95DEA" w:rsidRPr="005E50B5" w:rsidRDefault="7100980B" w:rsidP="793EC628">
            <w:pPr>
              <w:rPr>
                <w:rFonts w:ascii="Calibri" w:eastAsia="Calibri" w:hAnsi="Calibri" w:cs="Calibri"/>
                <w:color w:val="FFFFFF" w:themeColor="background1"/>
                <w:sz w:val="28"/>
                <w:szCs w:val="28"/>
                <w:lang w:val="en-GB"/>
              </w:rPr>
            </w:pPr>
            <w:r w:rsidRPr="793EC62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n-GB"/>
              </w:rPr>
              <w:t>SOURCE OF INFORMATION (Refer to HRP template)</w:t>
            </w:r>
          </w:p>
          <w:p w14:paraId="7AC94CF6" w14:textId="6F7B4504" w:rsidR="00F95DEA" w:rsidRPr="005E50B5" w:rsidRDefault="00F95DEA" w:rsidP="793EC628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E378AD6" w14:textId="3CC074C9" w:rsidR="00F95DEA" w:rsidRPr="005E50B5" w:rsidRDefault="7100980B" w:rsidP="793EC628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  <w:t>C</w:t>
            </w:r>
            <w:r w:rsidR="7C31CFD3" w:rsidRPr="793EC62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  <w:t>OMMENTS</w:t>
            </w:r>
          </w:p>
          <w:p w14:paraId="179A8303" w14:textId="3BD9C1DE" w:rsidR="00F95DEA" w:rsidRPr="005E50B5" w:rsidRDefault="00F95DEA" w:rsidP="793EC628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de-DE"/>
              </w:rPr>
            </w:pPr>
          </w:p>
        </w:tc>
      </w:tr>
      <w:tr w:rsidR="00E13B24" w:rsidRPr="005E50B5" w14:paraId="5A265DF2" w14:textId="77777777" w:rsidTr="3C20E7B6">
        <w:trPr>
          <w:trHeight w:val="175"/>
        </w:trPr>
        <w:tc>
          <w:tcPr>
            <w:tcW w:w="212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5E1939C" w14:textId="19B5B167" w:rsidR="00CA5A5A" w:rsidRPr="005E50B5" w:rsidRDefault="009F4CFE" w:rsidP="009F4CF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  <w:r w:rsidRPr="005E50B5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  <w:t>Solid understanding of context</w:t>
            </w:r>
            <w:r w:rsidR="00CA5A5A" w:rsidRPr="005E50B5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  <w:t xml:space="preserve"> and </w:t>
            </w:r>
            <w:r w:rsidRPr="005E50B5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  <w:t>operational environment</w:t>
            </w:r>
          </w:p>
          <w:p w14:paraId="4D9A29CC" w14:textId="77777777" w:rsidR="00CA5A5A" w:rsidRPr="005E50B5" w:rsidRDefault="00CA5A5A" w:rsidP="009F4CF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  <w:p w14:paraId="3E77C89A" w14:textId="0B30ABD1" w:rsidR="00CA5A5A" w:rsidRPr="005E50B5" w:rsidRDefault="00CA5A5A" w:rsidP="009F4CFE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C8EE8B" w14:textId="06F555CC" w:rsidR="00CA5A5A" w:rsidRPr="005E50B5" w:rsidRDefault="554F36C7" w:rsidP="00517A7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</w:t>
            </w:r>
            <w:r w:rsidR="7FCE366F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and Cluster/Sector Plans</w:t>
            </w: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identifies factors that drive needs and humanitarian consequences. </w:t>
            </w:r>
          </w:p>
          <w:p w14:paraId="14578EE5" w14:textId="4180280E" w:rsidR="00095BC2" w:rsidRPr="005E50B5" w:rsidRDefault="19B91457" w:rsidP="00095BC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Where applicable, t</w:t>
            </w:r>
            <w:r w:rsidR="02496CFF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he key underlying factors that contribute to malnutrition are identified in the HRP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and align with the analysis results from the HNO.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19D96" w14:textId="6A62D12A" w:rsidR="009F4CFE" w:rsidRPr="005E50B5" w:rsidRDefault="0D41075A" w:rsidP="00517A70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0.1; 0.2; 1.0; 1.1; 3.1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7EC1" w14:textId="610F0F0C" w:rsidR="009F4CFE" w:rsidRPr="005E50B5" w:rsidRDefault="009F4CFE" w:rsidP="00517A70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E13B24" w:rsidRPr="005E50B5" w14:paraId="2AB135A3" w14:textId="77777777" w:rsidTr="3C20E7B6">
        <w:trPr>
          <w:trHeight w:val="472"/>
        </w:trPr>
        <w:tc>
          <w:tcPr>
            <w:tcW w:w="2122" w:type="dxa"/>
            <w:vMerge/>
            <w:hideMark/>
          </w:tcPr>
          <w:p w14:paraId="0CEEF0B9" w14:textId="77777777" w:rsidR="009F4CFE" w:rsidRPr="005E50B5" w:rsidRDefault="009F4CFE" w:rsidP="009F4CF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1470C4" w14:textId="0B5D25D2" w:rsidR="009F4CFE" w:rsidRPr="005E50B5" w:rsidRDefault="4E09A98B" w:rsidP="511F469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Theme="minorEastAsia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</w:t>
            </w:r>
            <w:r w:rsidR="75C5F733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="75C5F733" w:rsidRPr="511F469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Cluster/Sector Plans</w:t>
            </w: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identifies which groups are particularly strongly affected by the cris</w:t>
            </w:r>
            <w:r w:rsidR="629767BB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i</w:t>
            </w: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s (for example women or men; children; </w:t>
            </w:r>
            <w:r w:rsidR="5082282E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Older</w:t>
            </w: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people; people with disabilities; or displaced people).</w:t>
            </w:r>
          </w:p>
          <w:p w14:paraId="6491CE99" w14:textId="49CAD8CA" w:rsidR="0086387D" w:rsidRPr="005E50B5" w:rsidRDefault="312D7A67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Sub-groups vulnerable to malnutrition </w:t>
            </w:r>
            <w:r w:rsidR="1F9B427A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should be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considered, </w:t>
            </w:r>
            <w:r w:rsidR="497CF5C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for example children 0-59 months, pregnant and lactating women, adolescents, people living with HIV</w:t>
            </w:r>
            <w:r w:rsidR="5C50E551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or Older People</w:t>
            </w:r>
            <w:r w:rsidR="497CF5C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="73354BE6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where relevant </w:t>
            </w:r>
            <w:r w:rsidR="497CF5C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(UNAIDS fast track countries)</w:t>
            </w:r>
            <w:r w:rsidR="1F9B427A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. </w:t>
            </w:r>
          </w:p>
          <w:p w14:paraId="31629AC2" w14:textId="6090DF69" w:rsidR="00095BC2" w:rsidRPr="005E50B5" w:rsidRDefault="19B91457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Persons with disabilities considered for each identified subgroup</w:t>
            </w:r>
            <w:r w:rsidR="002A7CB4" w:rsidRPr="793EC628">
              <w:rPr>
                <w:rStyle w:val="FootnoteReference"/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footnoteReference w:id="1"/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.</w:t>
            </w:r>
          </w:p>
          <w:p w14:paraId="2ED73057" w14:textId="5C07D00B" w:rsidR="00095BC2" w:rsidRPr="005E50B5" w:rsidRDefault="77BB4A76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Consequences of malnutrition on affected and vulnerable populations considered.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20997" w14:textId="72583BE6" w:rsidR="009F4CFE" w:rsidRPr="005E50B5" w:rsidRDefault="127B2A3D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0.1; 0.5; 1.1; 3.1; 4 (where applicable)</w:t>
            </w:r>
          </w:p>
          <w:p w14:paraId="10663D58" w14:textId="52A76C5B" w:rsidR="009F4CFE" w:rsidRPr="005E50B5" w:rsidRDefault="009F4CFE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143D" w14:textId="62B36CAB" w:rsidR="009F4CFE" w:rsidRPr="005E50B5" w:rsidRDefault="009F4CFE" w:rsidP="00517A70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E13B24" w:rsidRPr="005E50B5" w14:paraId="094AF6E1" w14:textId="77777777" w:rsidTr="3C20E7B6">
        <w:trPr>
          <w:trHeight w:val="515"/>
        </w:trPr>
        <w:tc>
          <w:tcPr>
            <w:tcW w:w="2122" w:type="dxa"/>
            <w:vMerge/>
            <w:hideMark/>
          </w:tcPr>
          <w:p w14:paraId="6B638102" w14:textId="77777777" w:rsidR="009F4CFE" w:rsidRPr="005E50B5" w:rsidRDefault="009F4CFE" w:rsidP="009F4CF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787E53" w14:textId="77777777" w:rsidR="009F4CFE" w:rsidRPr="005E50B5" w:rsidRDefault="554F36C7" w:rsidP="00517A7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 explains how operational constraints potentially affecting the delivery of the response will be addressed (for example access restrictions; legal or administrative barriers; capacity constraints).</w:t>
            </w:r>
          </w:p>
          <w:p w14:paraId="46EE60D0" w14:textId="03ABB84B" w:rsidR="00A73385" w:rsidRPr="005E50B5" w:rsidRDefault="00084B72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Where applicable, </w:t>
            </w:r>
            <w:r w:rsidR="08ADC6CA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operational considerations 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that are specific to nutrition are identified</w:t>
            </w:r>
            <w:r w:rsidR="08ADC6CA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. For example, impediments related to seasonal factors, climate, aid diversion and interference in the delivery of activities, attacks on activities, facilities and personnel</w:t>
            </w:r>
            <w:r w:rsidR="09605FA7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challenges linked with nutritional supplies</w:t>
            </w:r>
            <w:r w:rsidR="4CD53267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</w:t>
            </w:r>
            <w:r w:rsidR="08ADC6CA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="26AE142F" w:rsidRPr="793EC628">
              <w:rPr>
                <w:i/>
                <w:iCs/>
                <w:color w:val="333333"/>
                <w:sz w:val="20"/>
                <w:szCs w:val="20"/>
                <w:lang w:val="en-GB"/>
              </w:rPr>
              <w:t>nutrition pipelines, nutrition product importation duties, local delivery of nutrition supplies (last mile considerations), nutrition/health worker availability (strikes/health worker flight) and capacity (including in new programming innovations)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68A8F" w14:textId="4BFA161E" w:rsidR="009F4CFE" w:rsidRPr="005E50B5" w:rsidRDefault="201ECD4C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1.5</w:t>
            </w:r>
          </w:p>
          <w:p w14:paraId="4204EF98" w14:textId="54D6610C" w:rsidR="009F4CFE" w:rsidRPr="005E50B5" w:rsidRDefault="009F4CFE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86080" w14:textId="03F7D168" w:rsidR="009F4CFE" w:rsidRPr="005E50B5" w:rsidRDefault="009F4CFE" w:rsidP="00517A70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E13B24" w:rsidRPr="005E50B5" w14:paraId="372920A0" w14:textId="77777777" w:rsidTr="3C20E7B6">
        <w:trPr>
          <w:trHeight w:val="781"/>
        </w:trPr>
        <w:tc>
          <w:tcPr>
            <w:tcW w:w="2122" w:type="dxa"/>
            <w:vMerge/>
            <w:hideMark/>
          </w:tcPr>
          <w:p w14:paraId="1BEDCA31" w14:textId="77777777" w:rsidR="009F4CFE" w:rsidRPr="005E50B5" w:rsidRDefault="009F4CFE" w:rsidP="009F4CF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C6AF36" w14:textId="5B000EF1" w:rsidR="009F4CFE" w:rsidRPr="005E50B5" w:rsidRDefault="3A4005A7" w:rsidP="511F469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Theme="minorEastAsia"/>
                <w:color w:val="000000" w:themeColor="text1"/>
                <w:sz w:val="20"/>
                <w:szCs w:val="20"/>
                <w:lang w:val="en-GB" w:eastAsia="de-DE"/>
              </w:rPr>
            </w:pPr>
            <w:r w:rsidRPr="3B13732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</w:t>
            </w:r>
            <w:r w:rsidR="126906EE" w:rsidRPr="3B13732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and </w:t>
            </w:r>
            <w:r w:rsidR="126906EE" w:rsidRPr="3B13732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Cluster/Sector Plans</w:t>
            </w:r>
            <w:r w:rsidRPr="3B13732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explain how objectives and activities relate to non-humanitarian plans and interventions (depending on the context, this can include for example development, peace building, </w:t>
            </w:r>
            <w:r w:rsidR="2C1A8177" w:rsidRPr="3B13732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or</w:t>
            </w:r>
            <w:r w:rsidRPr="3B13732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government plans and activities).</w:t>
            </w:r>
          </w:p>
          <w:p w14:paraId="74C65F5B" w14:textId="46A6855E" w:rsidR="00DC4010" w:rsidRPr="005E50B5" w:rsidRDefault="00084B72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L</w:t>
            </w:r>
            <w:r w:rsidR="784D28E0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ife-saving nutrition interventions 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and ongoing </w:t>
            </w:r>
            <w:r w:rsidR="784D28E0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development activities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are linked</w:t>
            </w:r>
            <w:r w:rsidR="784D28E0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. 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For example, linking growth monitoring with both CMAM and stunting programmes, 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lastRenderedPageBreak/>
              <w:t>addressing middle-school nutrition</w:t>
            </w:r>
            <w:r w:rsidR="570F04CD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health systems strengthening, integration of social protection mechanisms such as cash</w:t>
            </w:r>
            <w:r w:rsidR="14E16569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="570F04CD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and voucher ass</w:t>
            </w:r>
            <w:r w:rsidR="3AABDC5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istance</w:t>
            </w:r>
            <w:r w:rsidR="07E7AAE5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with Nutrition etc. </w:t>
            </w:r>
          </w:p>
          <w:p w14:paraId="21D1958A" w14:textId="728467F9" w:rsidR="007949E5" w:rsidRPr="005E50B5" w:rsidRDefault="00084B72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</w:t>
            </w:r>
            <w:r w:rsidR="32A686C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utrition actors that support humanitarian and development nutrition programming a</w:t>
            </w:r>
            <w:r w:rsidR="153A82AD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re </w:t>
            </w:r>
            <w:r w:rsidR="32A686C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link</w:t>
            </w:r>
            <w:r w:rsidR="6F002624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ed with</w:t>
            </w:r>
            <w:r w:rsidR="32A686C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the cluster/sectoral work</w:t>
            </w:r>
            <w:r w:rsidR="75ACCEB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.</w:t>
            </w:r>
          </w:p>
          <w:p w14:paraId="3DA843E4" w14:textId="759D27DB" w:rsidR="00DC4010" w:rsidRPr="005E50B5" w:rsidRDefault="00084B72" w:rsidP="00DC4010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R</w:t>
            </w:r>
            <w:r w:rsidR="784D28E0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ole of government, civil society and local actors in the continuation of nutrition programmes beyond the emergency response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is articulated</w:t>
            </w:r>
            <w:r w:rsidR="1097200D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in Cluster plans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.</w:t>
            </w:r>
          </w:p>
          <w:p w14:paraId="6D88897B" w14:textId="53216285" w:rsidR="00DC4010" w:rsidRPr="005E50B5" w:rsidRDefault="00F4872E" w:rsidP="3B13732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Cluster plans contribute to the national strategic health plans and plans, and national development plans.</w:t>
            </w:r>
          </w:p>
          <w:p w14:paraId="3E3A3450" w14:textId="38275424" w:rsidR="00DC4010" w:rsidRPr="005E50B5" w:rsidRDefault="21439282" w:rsidP="793EC628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Cluster is linked with SUN movement at a country-level</w:t>
            </w:r>
            <w:r w:rsidR="6A184BB6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(SUN colleagues actively participate in NC meetings and vice versa)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0078" w14:textId="118B9F18" w:rsidR="009F4CFE" w:rsidRPr="005E50B5" w:rsidRDefault="3A83FE71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lastRenderedPageBreak/>
              <w:t>1.2, 3.2, 4 where applicable</w:t>
            </w:r>
          </w:p>
          <w:p w14:paraId="59F5A565" w14:textId="1B549730" w:rsidR="009F4CFE" w:rsidRPr="005E50B5" w:rsidRDefault="009F4CFE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706B5" w14:textId="3B6BC565" w:rsidR="009F4CFE" w:rsidRPr="005E50B5" w:rsidRDefault="009F4CFE" w:rsidP="00517A70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E13B24" w:rsidRPr="00362513" w14:paraId="5BB5CE4B" w14:textId="77777777" w:rsidTr="3C20E7B6">
        <w:trPr>
          <w:trHeight w:val="373"/>
        </w:trPr>
        <w:tc>
          <w:tcPr>
            <w:tcW w:w="2122" w:type="dxa"/>
            <w:vMerge/>
            <w:hideMark/>
          </w:tcPr>
          <w:p w14:paraId="3FD56FEB" w14:textId="77777777" w:rsidR="009F4CFE" w:rsidRPr="005E50B5" w:rsidRDefault="009F4CFE" w:rsidP="009F4CF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47E26D" w14:textId="0A3F65B2" w:rsidR="009F4CFE" w:rsidRPr="005E50B5" w:rsidRDefault="394D9AD5" w:rsidP="00517A7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Cluster/Sector plans</w:t>
            </w:r>
            <w:r w:rsidR="554F36C7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explain how the response uses, complements or strengthens capacities of local government and non-government actors.</w:t>
            </w:r>
          </w:p>
          <w:p w14:paraId="6159F2C8" w14:textId="39700B14" w:rsidR="00A60EE3" w:rsidRPr="005E50B5" w:rsidRDefault="00084B72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R</w:t>
            </w:r>
            <w:r w:rsidR="15768CC2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ole of local government and civil society in the co-chairing of the nutrition cluster/sector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discussed.</w:t>
            </w:r>
          </w:p>
          <w:p w14:paraId="2E2B592F" w14:textId="0F892C9C" w:rsidR="00A60EE3" w:rsidRPr="005E50B5" w:rsidRDefault="00084B72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Capacity building initiatives </w:t>
            </w:r>
            <w:r w:rsidR="39A2E46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involving</w:t>
            </w:r>
            <w:r w:rsidR="15768CC2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local government and civil society </w:t>
            </w:r>
            <w:r w:rsidR="39A2E46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are highlighted.</w:t>
            </w:r>
          </w:p>
          <w:p w14:paraId="7A336362" w14:textId="5C839F73" w:rsidR="00A60EE3" w:rsidRPr="005E50B5" w:rsidRDefault="005FC378" w:rsidP="3B13732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W</w:t>
            </w:r>
            <w:r w:rsidR="6F49E0F7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ork which complements or strengthens capacity of local government or non-government actors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is highlighted</w:t>
            </w:r>
            <w:r w:rsidR="6F49E0F7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for example anthropometric tools for health centres to better support child growth monitoring</w:t>
            </w:r>
            <w:r w:rsidR="361D01B1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involvement in various trainings where government/NGAs support with facilitation or participate as a participant</w:t>
            </w:r>
            <w:r w:rsidR="4627CED3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provide support to existing systems (including health systems accountability)</w:t>
            </w:r>
            <w:r w:rsidR="2EF31C21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, build capacity on </w:t>
            </w:r>
            <w:r w:rsidR="4627CED3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nutrition information syste</w:t>
            </w:r>
            <w:r w:rsidR="6409C856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ms,</w:t>
            </w:r>
            <w:r w:rsidR="6C005439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strengthen nutrition-sensitive intersectoral collaboration.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CFB89" w14:textId="3D379A1A" w:rsidR="009F4CFE" w:rsidRPr="005E50B5" w:rsidRDefault="7749D516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Not explicitly asked for in the 2020 HRP template, however</w:t>
            </w:r>
            <w:r w:rsidR="10659E35"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,</w:t>
            </w: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can be discussed under Part 3 Cluster/sectoral plans</w:t>
            </w:r>
          </w:p>
          <w:p w14:paraId="20789EB7" w14:textId="0D70719F" w:rsidR="009F4CFE" w:rsidRPr="005E50B5" w:rsidRDefault="009F4CFE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D8C8D" w14:textId="65E5B27B" w:rsidR="009F4CFE" w:rsidRPr="005E50B5" w:rsidRDefault="009F4CFE" w:rsidP="00517A70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E13B24" w:rsidRPr="005E50B5" w14:paraId="74CA1AA2" w14:textId="77777777" w:rsidTr="3C20E7B6">
        <w:trPr>
          <w:trHeight w:val="238"/>
        </w:trPr>
        <w:tc>
          <w:tcPr>
            <w:tcW w:w="2122" w:type="dxa"/>
            <w:vMerge/>
            <w:hideMark/>
          </w:tcPr>
          <w:p w14:paraId="68B8019D" w14:textId="77777777" w:rsidR="009F4CFE" w:rsidRPr="005E50B5" w:rsidRDefault="009F4CFE" w:rsidP="009F4CF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E12972" w14:textId="77B593C9" w:rsidR="009F4CFE" w:rsidRPr="005E50B5" w:rsidRDefault="554F36C7" w:rsidP="00517A7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</w:t>
            </w:r>
            <w:r w:rsidR="7B08EF1C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and Cluster/Sector Plans</w:t>
            </w: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demonstrates how lessons from past response(s) are applied.</w:t>
            </w:r>
          </w:p>
          <w:p w14:paraId="7622D33A" w14:textId="6D9D5BFE" w:rsidR="00C47012" w:rsidRPr="005E50B5" w:rsidRDefault="581099F4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Where applicable, lessons learned from previous nutrition response efforts and how these may influence the current proposed response are discussed.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E4731" w14:textId="2DD8B298" w:rsidR="009F4CFE" w:rsidRPr="005E50B5" w:rsidRDefault="352D292E" w:rsidP="00517A70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1.5; Part 3.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E4AB" w14:textId="5E9157CA" w:rsidR="009F4CFE" w:rsidRPr="005E50B5" w:rsidRDefault="009F4CFE" w:rsidP="00517A70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E13B24" w:rsidRPr="005E50B5" w14:paraId="4AC6130A" w14:textId="77777777" w:rsidTr="3C20E7B6">
        <w:trPr>
          <w:trHeight w:val="247"/>
        </w:trPr>
        <w:tc>
          <w:tcPr>
            <w:tcW w:w="212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ACB183" w14:textId="77777777" w:rsidR="009F4CFE" w:rsidRPr="005E50B5" w:rsidRDefault="009F4CFE" w:rsidP="009F4CF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  <w:r w:rsidRPr="005E50B5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  <w:t xml:space="preserve">Coherent objectives </w:t>
            </w:r>
          </w:p>
          <w:p w14:paraId="1B2E2FA1" w14:textId="77777777" w:rsidR="00CA5A5A" w:rsidRPr="005E50B5" w:rsidRDefault="00CA5A5A" w:rsidP="009F4CF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  <w:p w14:paraId="6053685E" w14:textId="77777777" w:rsidR="00CA5A5A" w:rsidRPr="005E50B5" w:rsidRDefault="00CA5A5A" w:rsidP="009F4CFE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  <w:p w14:paraId="41415081" w14:textId="77777777" w:rsidR="00CA5A5A" w:rsidRPr="005E50B5" w:rsidRDefault="00CA5A5A" w:rsidP="009F4CFE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  <w:p w14:paraId="5FCBEE30" w14:textId="77777777" w:rsidR="00E13B24" w:rsidRPr="005E50B5" w:rsidRDefault="00E13B24" w:rsidP="009F4CFE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  <w:p w14:paraId="14BA8BC9" w14:textId="77777777" w:rsidR="00CA5A5A" w:rsidRPr="005E50B5" w:rsidRDefault="00CA5A5A" w:rsidP="009F4CFE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  <w:p w14:paraId="086CA0A2" w14:textId="53915577" w:rsidR="00CA5A5A" w:rsidRPr="005E50B5" w:rsidRDefault="00CA5A5A" w:rsidP="009F4CFE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38BEED" w14:textId="77777777" w:rsidR="009F4CFE" w:rsidRPr="005E50B5" w:rsidRDefault="554F36C7" w:rsidP="00517A7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Both strategic and sectoral objectives address priority needs and humanitarian consequences.</w:t>
            </w:r>
          </w:p>
          <w:p w14:paraId="1C016D13" w14:textId="7B658931" w:rsidR="0086387D" w:rsidRPr="005E50B5" w:rsidRDefault="08BF3ACC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Ensure that the sectoral objectives adequately address the s</w:t>
            </w:r>
            <w:r w:rsidR="581099F4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trategic objectives</w:t>
            </w:r>
          </w:p>
          <w:p w14:paraId="4B44F8D3" w14:textId="2398068C" w:rsidR="006D2A35" w:rsidRPr="005E50B5" w:rsidRDefault="163464AC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Nutrition cluster/s</w:t>
            </w:r>
            <w:r w:rsidR="581099F4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ector objectives are SMART</w:t>
            </w:r>
            <w:r w:rsidR="29D21356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="29D21356" w:rsidRPr="793EC628">
              <w:rPr>
                <w:i/>
                <w:iCs/>
                <w:sz w:val="20"/>
                <w:szCs w:val="20"/>
                <w:lang w:val="en-GB"/>
              </w:rPr>
              <w:t>specific, measurable, attainable, relevant and time-bound –indicating who (specifically) and how many are targeted within the population groups and sub-groups; and where (specifically) they are located or which geographic areas are targeted</w:t>
            </w:r>
          </w:p>
          <w:p w14:paraId="4A5B09FE" w14:textId="4D0883A7" w:rsidR="00C47012" w:rsidRPr="005E50B5" w:rsidRDefault="4799EE7D" w:rsidP="0014497D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Nutrition cluster/sector </w:t>
            </w:r>
            <w:r w:rsidR="7B837D2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objectives address underlying factors</w:t>
            </w:r>
            <w:r w:rsidR="1221DB1A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of malnutrition that were</w:t>
            </w:r>
            <w:r w:rsidR="7B837D2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identified in the HNO analysis </w:t>
            </w:r>
            <w:r w:rsidR="2D64F1B4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of nutritional needs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1463" w14:textId="22DE2D7B" w:rsidR="009F4CFE" w:rsidRPr="005E50B5" w:rsidRDefault="782DA798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1.2; 3.1</w:t>
            </w:r>
          </w:p>
          <w:p w14:paraId="219B3662" w14:textId="7A4A29CD" w:rsidR="009F4CFE" w:rsidRPr="005E50B5" w:rsidRDefault="009F4CFE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210A9" w14:textId="2143B904" w:rsidR="009F4CFE" w:rsidRPr="005E50B5" w:rsidRDefault="009F4CFE" w:rsidP="00517A70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03E17165" w14:textId="77777777" w:rsidTr="3C20E7B6">
        <w:trPr>
          <w:trHeight w:val="247"/>
        </w:trPr>
        <w:tc>
          <w:tcPr>
            <w:tcW w:w="2122" w:type="dxa"/>
            <w:vMerge/>
          </w:tcPr>
          <w:p w14:paraId="1006A754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20D56" w14:textId="3AD736D3" w:rsidR="0014497D" w:rsidRPr="005E50B5" w:rsidRDefault="4CB1346B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B13732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Cluster/Sectoral Plans </w:t>
            </w:r>
            <w:r w:rsidR="163464AC" w:rsidRPr="3B13732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provide a coherent results chain, with sectoral objectives contributing to </w:t>
            </w:r>
            <w:r w:rsidR="7B8D861F" w:rsidRPr="3B13732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at least one </w:t>
            </w:r>
            <w:r w:rsidR="163464AC" w:rsidRPr="3B13732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strategic objective.</w:t>
            </w:r>
          </w:p>
          <w:p w14:paraId="118EAFA2" w14:textId="6DB260F0" w:rsidR="0014497D" w:rsidRPr="005E50B5" w:rsidRDefault="163464AC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Nutrition cluster</w:t>
            </w:r>
            <w:r w:rsidR="6C6CBD02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/sector objectives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are linked to specific objectives a</w:t>
            </w:r>
            <w:r w:rsidR="616843DB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nd therefore support the strategic objectives.</w:t>
            </w:r>
          </w:p>
          <w:p w14:paraId="29F49BA4" w14:textId="77777777" w:rsidR="0014497D" w:rsidRPr="005E50B5" w:rsidRDefault="163464AC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lastRenderedPageBreak/>
              <w:t>Nutrition cluster/sector objectives are consistent with the targeted sub-groups, geographic locations, cross-cutting issues and themes (gender, disability)</w:t>
            </w:r>
          </w:p>
          <w:p w14:paraId="6A4E0B78" w14:textId="6C5A8283" w:rsidR="0014497D" w:rsidRPr="005E50B5" w:rsidRDefault="163464AC" w:rsidP="3B13732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Nutrition cluster/sector objectives are integrated/layered/sequenced</w:t>
            </w:r>
            <w:r w:rsidR="40099E5A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where applicable. Discussions on integrated</w:t>
            </w:r>
            <w:r w:rsidR="0D4F7259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(for example, WASH and nutrition assistance in health care centres</w:t>
            </w:r>
            <w:r w:rsidR="7E881896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)</w:t>
            </w:r>
            <w:r w:rsidR="0D4F7259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, sequenced (for example, OTP for a SAM child followed by agricultural assistance) or layered </w:t>
            </w:r>
            <w:r w:rsidR="2D59C7E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(for example, food and agricultural interventions target the same geographical areas) responses </w:t>
            </w:r>
            <w:r w:rsidR="5D1348D9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to </w:t>
            </w:r>
            <w:r w:rsidR="49896B5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occur at a sectoral and intersectoral level.</w:t>
            </w:r>
            <w:r w:rsidR="4C7854E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The intersectoral level discussions are usually initiated by OCHA through a workshop setting, however, Cluster may wish to engage with </w:t>
            </w:r>
            <w:proofErr w:type="gramStart"/>
            <w:r w:rsidR="4C7854E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other</w:t>
            </w:r>
            <w:proofErr w:type="gramEnd"/>
            <w:r w:rsidR="4C7854E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Cluster leads to discus</w:t>
            </w:r>
            <w:r w:rsidR="18A825A0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s, as needed.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47516" w14:textId="2E7BE3B6" w:rsidR="0014497D" w:rsidRPr="005E50B5" w:rsidRDefault="5D6648A0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lastRenderedPageBreak/>
              <w:t>3.1</w:t>
            </w:r>
          </w:p>
          <w:p w14:paraId="4F1ADF26" w14:textId="166A5362" w:rsidR="0014497D" w:rsidRPr="005E50B5" w:rsidRDefault="0014497D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8580" w14:textId="7FFA1F67" w:rsidR="0014497D" w:rsidRPr="005E50B5" w:rsidRDefault="0014497D" w:rsidP="0014497D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362513" w14:paraId="4636493C" w14:textId="77777777" w:rsidTr="3C20E7B6">
        <w:trPr>
          <w:trHeight w:val="411"/>
        </w:trPr>
        <w:tc>
          <w:tcPr>
            <w:tcW w:w="2122" w:type="dxa"/>
            <w:vMerge/>
            <w:hideMark/>
          </w:tcPr>
          <w:p w14:paraId="1FABF00E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2F8732" w14:textId="77777777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 includes a strategic objective on protection.</w:t>
            </w:r>
          </w:p>
          <w:p w14:paraId="222507F4" w14:textId="389971C9" w:rsidR="0014497D" w:rsidRPr="005E50B5" w:rsidRDefault="163464AC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Strategic objective on protection is intersectoral and addresses key </w:t>
            </w:r>
            <w:r w:rsidR="58387F27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barriers to nutrition programming</w:t>
            </w:r>
            <w:r w:rsidR="6D377AFD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(such as insecure access to health facilities)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where applicable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C5E44" w14:textId="742AB4E0" w:rsidR="0014497D" w:rsidRPr="005E50B5" w:rsidRDefault="6F67CFFB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Not explicitly asked for in the 2021 HRP template</w:t>
            </w:r>
          </w:p>
          <w:p w14:paraId="01AEDE55" w14:textId="384768A6" w:rsidR="0014497D" w:rsidRPr="005E50B5" w:rsidRDefault="0014497D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40952" w14:textId="559ACB40" w:rsidR="0014497D" w:rsidRPr="005E50B5" w:rsidRDefault="0014497D" w:rsidP="0014497D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362513" w14:paraId="6559FDB6" w14:textId="77777777" w:rsidTr="3C20E7B6">
        <w:trPr>
          <w:trHeight w:val="819"/>
        </w:trPr>
        <w:tc>
          <w:tcPr>
            <w:tcW w:w="2122" w:type="dxa"/>
            <w:vMerge/>
          </w:tcPr>
          <w:p w14:paraId="3D085602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530ABA" w14:textId="7D57CC80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The HRP </w:t>
            </w:r>
            <w:r w:rsidR="7F3BB942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and Cluster/Sector Plans </w:t>
            </w: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details which needs and humanitarian consequences are not addressed by the proposed response.</w:t>
            </w:r>
          </w:p>
          <w:p w14:paraId="03D8719B" w14:textId="24D33A1A" w:rsidR="0014497D" w:rsidRPr="005E50B5" w:rsidRDefault="6F789F98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i/>
                <w:iCs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Nutrition cluster/sectoral plan highlights key nutrition needs and humanitarian consequences that are not addressed by the proposed response. Ideally, this is support</w:t>
            </w:r>
            <w:r w:rsidR="68347F85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ed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by `why` these may not be addressed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877A05E" w14:textId="0A8134E2" w:rsidR="0014497D" w:rsidRPr="005E50B5" w:rsidRDefault="633886EF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Not explicitly asked for in the 2020 HRP template</w:t>
            </w:r>
          </w:p>
          <w:p w14:paraId="218B09D9" w14:textId="509AF3E3" w:rsidR="0014497D" w:rsidRPr="005E50B5" w:rsidRDefault="0014497D" w:rsidP="793EC628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E0588B2" w14:textId="67E4CBE8" w:rsidR="0014497D" w:rsidRPr="005E50B5" w:rsidRDefault="0014497D" w:rsidP="0014497D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69AA3EFC" w14:textId="77777777" w:rsidTr="3C20E7B6">
        <w:trPr>
          <w:trHeight w:val="4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D658A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  <w:r w:rsidRPr="005E50B5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  <w:t>Needs-based prioritization</w:t>
            </w:r>
          </w:p>
          <w:p w14:paraId="782F4437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  <w:p w14:paraId="3C79AEAB" w14:textId="4F7B5305" w:rsidR="0014497D" w:rsidRPr="005E50B5" w:rsidRDefault="0014497D" w:rsidP="0014497D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  <w:p w14:paraId="5282D222" w14:textId="77777777" w:rsidR="0014497D" w:rsidRPr="005E50B5" w:rsidRDefault="0014497D" w:rsidP="0014497D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  <w:p w14:paraId="24FB6459" w14:textId="77777777" w:rsidR="0014497D" w:rsidRPr="005E50B5" w:rsidRDefault="0014497D" w:rsidP="0014497D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  <w:p w14:paraId="1126891D" w14:textId="77777777" w:rsidR="0014497D" w:rsidRPr="005E50B5" w:rsidRDefault="0014497D" w:rsidP="0014497D">
            <w:pPr>
              <w:rPr>
                <w:rFonts w:ascii="Calibri" w:eastAsia="Times New Roman" w:hAnsi="Calibri" w:cs="Calibri"/>
                <w:i/>
                <w:iCs/>
                <w:color w:val="000000" w:themeColor="text1"/>
                <w:lang w:val="en-GB" w:eastAsia="de-DE"/>
              </w:rPr>
            </w:pPr>
          </w:p>
          <w:p w14:paraId="4376CBAE" w14:textId="0E66D429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D159A7" w14:textId="77777777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 explains why specific geographic areas are prioritized for assistance.</w:t>
            </w:r>
          </w:p>
          <w:p w14:paraId="3F7099FE" w14:textId="1A90FBD6" w:rsidR="00733A34" w:rsidRPr="005E50B5" w:rsidRDefault="29ED1231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For the nutrition sector, geographic prioritisation is ideally based on IPC acute malnutrition results when available. If not available, g</w:t>
            </w:r>
            <w:r w:rsidR="2D5D973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eographic prioritisation criteria may include: GAM levels, </w:t>
            </w:r>
            <w:r w:rsidR="78A19A92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current/past </w:t>
            </w:r>
            <w:proofErr w:type="spellStart"/>
            <w:r w:rsidR="5024C410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PiN</w:t>
            </w:r>
            <w:proofErr w:type="spellEnd"/>
            <w:r w:rsidR="5024C410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calculations per nutritional need</w:t>
            </w:r>
            <w:r w:rsidR="78A19A92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poor coverage of nutrition interventions</w:t>
            </w:r>
            <w:r w:rsidR="2698E74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poor food security</w:t>
            </w:r>
            <w:r w:rsidR="14D59A64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and WASH </w:t>
            </w:r>
            <w:r w:rsidR="2698E74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situation</w:t>
            </w:r>
            <w:r w:rsidR="0C6D1132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, poor access and availability of health services</w:t>
            </w:r>
            <w:r w:rsidR="2698E74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. </w:t>
            </w:r>
            <w:r w:rsidR="4D972C97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Prioritisation criteria must be cleared explained and justified. </w:t>
            </w:r>
            <w:r w:rsidR="2316147C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Additional</w:t>
            </w:r>
            <w:r w:rsidR="33797FD9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contributing </w:t>
            </w:r>
            <w:r w:rsidR="5BABE1E9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f</w:t>
            </w:r>
            <w:r w:rsidR="6F789F9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actors</w:t>
            </w:r>
            <w:r w:rsidR="1B682573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to malnutrition </w:t>
            </w:r>
            <w:r w:rsidR="6F789F9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such as seasonality, climate, rural/urban, formal/informal setting etc are co</w:t>
            </w:r>
            <w:r w:rsidR="1B682573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nsidered, where applicable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8C4D12" w14:textId="2241D412" w:rsidR="0014497D" w:rsidRPr="005E50B5" w:rsidRDefault="7AC5754C" w:rsidP="793EC62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1.1; (Annexes: 5.1)</w:t>
            </w:r>
          </w:p>
          <w:p w14:paraId="5DD07F8F" w14:textId="576FECB3" w:rsidR="0014497D" w:rsidRPr="005E50B5" w:rsidRDefault="0014497D" w:rsidP="793EC62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BA8C6F" w14:textId="0528EC65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59229B52" w14:textId="77777777" w:rsidTr="3C20E7B6">
        <w:trPr>
          <w:trHeight w:val="373"/>
        </w:trPr>
        <w:tc>
          <w:tcPr>
            <w:tcW w:w="2122" w:type="dxa"/>
            <w:vMerge/>
            <w:hideMark/>
          </w:tcPr>
          <w:p w14:paraId="433F4062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5FCCD" w14:textId="77777777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 explains why specific population groups are prioritized for assistance.</w:t>
            </w:r>
          </w:p>
          <w:p w14:paraId="6C95CC96" w14:textId="6DB3F544" w:rsidR="00A32C97" w:rsidRPr="005E50B5" w:rsidRDefault="1B682573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Selected population groups prioritised for nutrition assistance are based on the analysis of the nutrition situation and other relevant information.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408810" w14:textId="527188CF" w:rsidR="0014497D" w:rsidRPr="005E50B5" w:rsidRDefault="13C31CE3" w:rsidP="793EC62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1.1; (Annexes: 5.1)</w:t>
            </w:r>
          </w:p>
          <w:p w14:paraId="49D6804A" w14:textId="18A14B18" w:rsidR="0014497D" w:rsidRPr="005E50B5" w:rsidRDefault="0014497D" w:rsidP="793EC62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048301" w14:textId="621A897A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50BC8000" w14:textId="77777777" w:rsidTr="3C20E7B6">
        <w:trPr>
          <w:trHeight w:val="346"/>
        </w:trPr>
        <w:tc>
          <w:tcPr>
            <w:tcW w:w="2122" w:type="dxa"/>
            <w:vMerge/>
            <w:hideMark/>
          </w:tcPr>
          <w:p w14:paraId="1FAD9074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A356A" w14:textId="7D593DB1" w:rsidR="0014497D" w:rsidRPr="005E50B5" w:rsidRDefault="66EC39B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 plans </w:t>
            </w:r>
            <w:r w:rsidR="21455C02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explain</w:t>
            </w:r>
            <w:r w:rsidR="2F375BD8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why specific interventions are prioritised and </w:t>
            </w:r>
            <w:r w:rsidR="21455C02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which interventions are time-critical.</w:t>
            </w:r>
          </w:p>
          <w:p w14:paraId="608B68B0" w14:textId="6A66C81B" w:rsidR="00A32C97" w:rsidRPr="005E50B5" w:rsidRDefault="4231DF4F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The prioritisation of nutrition interventions is clearly justified. </w:t>
            </w:r>
            <w:r w:rsidR="1B682573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Nutrition interventions that are time-critical are clearly identified.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B182C" w14:textId="5FBBF8F5" w:rsidR="0014497D" w:rsidRPr="005E50B5" w:rsidRDefault="64D4A646" w:rsidP="793EC62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Part 3</w:t>
            </w:r>
          </w:p>
          <w:p w14:paraId="5F3C0AC4" w14:textId="4C994E95" w:rsidR="0014497D" w:rsidRPr="005E50B5" w:rsidRDefault="0014497D" w:rsidP="793EC62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5F173" w14:textId="2A6F59C2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2041CA81" w14:textId="77777777" w:rsidTr="3C20E7B6">
        <w:trPr>
          <w:trHeight w:val="337"/>
        </w:trPr>
        <w:tc>
          <w:tcPr>
            <w:tcW w:w="2122" w:type="dxa"/>
            <w:vMerge/>
            <w:hideMark/>
          </w:tcPr>
          <w:p w14:paraId="6A8754D1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76417" w14:textId="77777777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 explains why specific sectors and areas of concern within sectors are prioritized.</w:t>
            </w:r>
          </w:p>
          <w:p w14:paraId="64CDC771" w14:textId="1F9513AD" w:rsidR="0028410B" w:rsidRPr="005E50B5" w:rsidRDefault="64087F44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lastRenderedPageBreak/>
              <w:t>Where nutrition, or a nutrition-related area of concern is prioritised within the intersectoral sections, adequate evidence to support this prioritisation is provided in the HNO and response analysis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0C4E" w14:textId="042DBF15" w:rsidR="0014497D" w:rsidRPr="005E50B5" w:rsidRDefault="5457D450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lastRenderedPageBreak/>
              <w:t>Annexes: 5.1</w:t>
            </w:r>
          </w:p>
          <w:p w14:paraId="45691B02" w14:textId="22AE3D98" w:rsidR="0014497D" w:rsidRPr="005E50B5" w:rsidRDefault="0014497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F736" w14:textId="3F07DF1D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362513" w14:paraId="498356CE" w14:textId="77777777" w:rsidTr="3C20E7B6">
        <w:trPr>
          <w:trHeight w:val="319"/>
        </w:trPr>
        <w:tc>
          <w:tcPr>
            <w:tcW w:w="2122" w:type="dxa"/>
            <w:vMerge/>
            <w:hideMark/>
          </w:tcPr>
          <w:p w14:paraId="17028252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7886E0" w14:textId="77777777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prioritization takes priority needs expressed by people affected by the crisis into account.</w:t>
            </w:r>
          </w:p>
          <w:p w14:paraId="564E33E4" w14:textId="602773D9" w:rsidR="00760D15" w:rsidRPr="005E50B5" w:rsidRDefault="64087F44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People affected by malnutrition, including those with different gender, age, disability and other diversity characteristics consulted during the planning phas</w:t>
            </w:r>
            <w:r w:rsidR="53EE166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e.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47CFE62" w14:textId="02EEA4B1" w:rsidR="0014497D" w:rsidRPr="005E50B5" w:rsidRDefault="75E7EBC8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Not explicitly asked for in the 2020 HRP template, but can be addressed under Part 1.6 and/or cluster/sectoral plans (Part 3)</w:t>
            </w:r>
          </w:p>
          <w:p w14:paraId="1129A333" w14:textId="6F76BA12" w:rsidR="0014497D" w:rsidRPr="005E50B5" w:rsidRDefault="0014497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5668830" w14:textId="6877D89F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5E2C8149" w14:textId="77777777" w:rsidTr="3C20E7B6">
        <w:trPr>
          <w:trHeight w:val="58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33B85A0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  <w:t>Appropriate response options</w:t>
            </w:r>
          </w:p>
          <w:p w14:paraId="2DC0DAC0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  <w:p w14:paraId="4EA5ED9C" w14:textId="492CCAFF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2BDD3C" w14:textId="10F84344" w:rsidR="0014497D" w:rsidRPr="005E50B5" w:rsidRDefault="3A7B70ED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 plans </w:t>
            </w:r>
            <w:r w:rsidR="21455C02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provid</w:t>
            </w:r>
            <w:r w:rsidR="34FFADB7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e</w:t>
            </w:r>
            <w:r w:rsidR="21455C02" w:rsidRPr="511F469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evidence that an analysis of different ways to deliver the response (response options and modalities) was conducted.</w:t>
            </w:r>
          </w:p>
          <w:p w14:paraId="6B7FF866" w14:textId="5F1A9E7D" w:rsidR="00760D15" w:rsidRPr="005E50B5" w:rsidRDefault="53EE166E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Nutrition cluster/sector response options and modalities are clearly linked to the HNO and evidenced in annex 5.1</w:t>
            </w:r>
            <w:r w:rsidR="6FE13281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.</w:t>
            </w:r>
          </w:p>
          <w:p w14:paraId="41A81FC2" w14:textId="3025EE9A" w:rsidR="00760D15" w:rsidRPr="005E50B5" w:rsidRDefault="53EE166E" w:rsidP="00760D1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Nutrition cluster/sector response options and modalities are evidence-based and aligned to GNC guidance including the </w:t>
            </w:r>
            <w:hyperlink r:id="rId15" w:history="1">
              <w:r w:rsidRPr="793EC628">
                <w:rPr>
                  <w:rStyle w:val="Hyperlink"/>
                  <w:rFonts w:ascii="Calibri" w:eastAsia="Times New Roman" w:hAnsi="Calibri" w:cs="Calibri"/>
                  <w:i/>
                  <w:iCs/>
                  <w:color w:val="000000" w:themeColor="text1"/>
                  <w:sz w:val="20"/>
                  <w:szCs w:val="20"/>
                  <w:lang w:val="en-GB" w:eastAsia="de-DE"/>
                </w:rPr>
                <w:t>GNC HRP Tips</w:t>
              </w:r>
            </w:hyperlink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document.</w:t>
            </w:r>
            <w:r w:rsidR="0F7B27A2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</w:p>
          <w:p w14:paraId="06751374" w14:textId="0F15476E" w:rsidR="00760D15" w:rsidRPr="005E50B5" w:rsidRDefault="2E8CCB4D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Nutrition Cluster/Sector response options include scal</w:t>
            </w:r>
            <w:r w:rsidR="7C5EBBDB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e-up of interventions (if appropriate)</w:t>
            </w:r>
          </w:p>
          <w:p w14:paraId="479D6D4A" w14:textId="63F4CBA4" w:rsidR="00760D15" w:rsidRPr="005E50B5" w:rsidRDefault="7C5EBBDB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Nutrition Cluster/Sector plan to articulate how proposed response options will guarantee qual</w:t>
            </w:r>
            <w:r w:rsidR="4420BB23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ity programming.</w:t>
            </w:r>
          </w:p>
          <w:p w14:paraId="4E994C2B" w14:textId="192EA5E3" w:rsidR="00760D15" w:rsidRPr="005E50B5" w:rsidRDefault="097E554C" w:rsidP="793EC628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Proposed response options shared with other relevant Cluster leads to identify </w:t>
            </w:r>
            <w:r w:rsidR="30A53711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possible synergies and/or shared response modalities (which can then be brought to intersectoral level discussions on inte</w:t>
            </w:r>
            <w:r w:rsidR="17A44520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grated</w:t>
            </w:r>
            <w:r w:rsidR="30A53711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/</w:t>
            </w:r>
            <w:r w:rsidR="29B0DF2B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layered/sequenced responses).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D9A69" w14:textId="7D7E1743" w:rsidR="0014497D" w:rsidRPr="005E50B5" w:rsidRDefault="06A84E25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3.1; Annexes: 5.1</w:t>
            </w:r>
          </w:p>
          <w:p w14:paraId="6A0BE6EF" w14:textId="077D3470" w:rsidR="0014497D" w:rsidRPr="005E50B5" w:rsidRDefault="0014497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4C71" w14:textId="3F899E34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0D01DDAF" w14:textId="77777777" w:rsidTr="3C20E7B6">
        <w:trPr>
          <w:trHeight w:val="328"/>
        </w:trPr>
        <w:tc>
          <w:tcPr>
            <w:tcW w:w="2122" w:type="dxa"/>
            <w:vMerge/>
            <w:hideMark/>
          </w:tcPr>
          <w:p w14:paraId="424E9D0D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182016" w14:textId="0F0C22A4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proposed</w:t>
            </w:r>
            <w:r w:rsidR="6057DB07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Cluster/Sector plan</w:t>
            </w: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response options and modalities </w:t>
            </w:r>
            <w:r w:rsidR="02015F09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consider</w:t>
            </w: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="1426EBCF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preferences of affected people</w:t>
            </w: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.</w:t>
            </w:r>
          </w:p>
          <w:p w14:paraId="7CF305D2" w14:textId="70703620" w:rsidR="00612C04" w:rsidRPr="005E50B5" w:rsidRDefault="1CAAF457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Where nutrition interventions are identified as a preferred intervention by affected people, supporting text is provided under the nutrition cluster/sector plan. </w:t>
            </w:r>
          </w:p>
          <w:p w14:paraId="5CEBD1F7" w14:textId="20DD53E8" w:rsidR="00612C04" w:rsidRPr="005E50B5" w:rsidRDefault="1E2D2B6E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A</w:t>
            </w:r>
            <w:r w:rsidR="35F7D52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rticulate how proposed response options take into consideration affected </w:t>
            </w:r>
            <w:proofErr w:type="gramStart"/>
            <w:r w:rsidR="35F7D52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peoples</w:t>
            </w:r>
            <w:proofErr w:type="gramEnd"/>
            <w:r w:rsidR="35F7D528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preferences</w:t>
            </w:r>
            <w:r w:rsidR="647E4CDE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with regards to opening and closing times, sensitisation locations, communication methods, etc.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FC382" w14:textId="4527BFA9" w:rsidR="0014497D" w:rsidRPr="005E50B5" w:rsidRDefault="0EFE268A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1.2; 3.1</w:t>
            </w:r>
          </w:p>
          <w:p w14:paraId="5DE2CD31" w14:textId="17DC6C1C" w:rsidR="0014497D" w:rsidRPr="005E50B5" w:rsidRDefault="0014497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6B02F" w14:textId="16C8270D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362513" w14:paraId="78327DB0" w14:textId="77777777" w:rsidTr="3C20E7B6">
        <w:trPr>
          <w:trHeight w:val="517"/>
        </w:trPr>
        <w:tc>
          <w:tcPr>
            <w:tcW w:w="2122" w:type="dxa"/>
            <w:vMerge/>
            <w:hideMark/>
          </w:tcPr>
          <w:p w14:paraId="1BA2378D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11C450" w14:textId="77777777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HRP demonstrates how the proposed interventions are inter-sectoral in nature OR how they complement each other across sectors.</w:t>
            </w:r>
          </w:p>
          <w:p w14:paraId="3939DFCF" w14:textId="7A9491AB" w:rsidR="00612C04" w:rsidRPr="005E50B5" w:rsidRDefault="1CAAF457" w:rsidP="3C20E7B6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Clear inter-sectoral linkages</w:t>
            </w:r>
            <w:r w:rsidR="00612C04" w:rsidRPr="3C20E7B6">
              <w:rPr>
                <w:rStyle w:val="FootnoteReference"/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footnoteReference w:id="2"/>
            </w:r>
            <w:r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are provided in the nutrition cluster/sectoral plans.</w:t>
            </w:r>
            <w:r w:rsidR="0A809817"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Linkages should be </w:t>
            </w:r>
            <w:r w:rsidR="143F4126"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reciprocally</w:t>
            </w:r>
            <w:r w:rsidR="0A809817"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demonstrated in the con</w:t>
            </w:r>
            <w:r w:rsidR="41A87A62"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c</w:t>
            </w:r>
            <w:r w:rsidR="0A809817"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erned sectors </w:t>
            </w:r>
            <w:r w:rsidR="086FB51E"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Cluster/Sectoral plans</w:t>
            </w:r>
            <w:r w:rsidR="0A809817"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83258" w14:textId="32723011" w:rsidR="0014497D" w:rsidRPr="005E50B5" w:rsidRDefault="4CA30039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Not explicitly asked for in the 2020 HRP template, but can be addressed under Part 3.</w:t>
            </w:r>
          </w:p>
          <w:p w14:paraId="7C4BDBE4" w14:textId="0D0B1908" w:rsidR="0014497D" w:rsidRPr="005E50B5" w:rsidRDefault="0014497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FB5EA" w14:textId="200383FF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117E0AF1" w14:textId="77777777" w:rsidTr="3C20E7B6">
        <w:trPr>
          <w:trHeight w:val="355"/>
        </w:trPr>
        <w:tc>
          <w:tcPr>
            <w:tcW w:w="2122" w:type="dxa"/>
            <w:vMerge/>
            <w:hideMark/>
          </w:tcPr>
          <w:p w14:paraId="440CC52B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BF137B" w14:textId="78B44F13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The HRP states explicitly </w:t>
            </w:r>
            <w:r w:rsidR="226B41AC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whether</w:t>
            </w: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multi-purpose cash will be provided and why / why not. </w:t>
            </w:r>
          </w:p>
          <w:p w14:paraId="18C9F825" w14:textId="77777777" w:rsidR="00974E11" w:rsidRPr="005E50B5" w:rsidRDefault="075B6711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Where applicable, details provided on how MPC contributes to nutrition response approaches, particularly through food, school and health systems. </w:t>
            </w:r>
          </w:p>
          <w:p w14:paraId="38F4E2C1" w14:textId="5D4EEB4F" w:rsidR="00974E11" w:rsidRPr="005E50B5" w:rsidRDefault="075B6711" w:rsidP="00974E11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Where applicable, details provided on how MPC is coordinated with nutrition modalities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0382" w14:textId="3B219DC0" w:rsidR="0014497D" w:rsidRPr="005E50B5" w:rsidRDefault="4904B3D3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1.3</w:t>
            </w:r>
          </w:p>
          <w:p w14:paraId="25ABE1AD" w14:textId="4B308ADA" w:rsidR="0014497D" w:rsidRPr="005E50B5" w:rsidRDefault="0014497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8256" w14:textId="43B0E674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47914186" w14:textId="77777777" w:rsidTr="3C20E7B6">
        <w:trPr>
          <w:trHeight w:val="517"/>
        </w:trPr>
        <w:tc>
          <w:tcPr>
            <w:tcW w:w="2122" w:type="dxa"/>
            <w:vMerge/>
            <w:hideMark/>
          </w:tcPr>
          <w:p w14:paraId="2B767008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21969C" w14:textId="4557A028" w:rsidR="0014497D" w:rsidRPr="005E50B5" w:rsidRDefault="6B6DBB76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 plans </w:t>
            </w:r>
            <w:r w:rsidR="21455C02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outline which interventions or adaptations are planned for the gender groups that were most severely affected by the crisis.</w:t>
            </w:r>
          </w:p>
          <w:p w14:paraId="2AE05745" w14:textId="141B484E" w:rsidR="00974E11" w:rsidRPr="005E50B5" w:rsidRDefault="0966DDCE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Gender is considered in nutrition cluster/sector plan, and where applicable, interventions or adaptations planned for most affected gender groups are highlighted.</w:t>
            </w:r>
          </w:p>
          <w:p w14:paraId="79B4AA62" w14:textId="27232CD6" w:rsidR="00974E11" w:rsidRPr="005E50B5" w:rsidRDefault="075B6711" w:rsidP="00974E11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Details on targeting of gender groups most affected by crises provided. For example, in IYCF programmes.</w:t>
            </w: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B707C" w14:textId="76D58CDC" w:rsidR="0014497D" w:rsidRPr="005E50B5" w:rsidRDefault="4671CB71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1.1, Part 3</w:t>
            </w:r>
          </w:p>
          <w:p w14:paraId="22F97CBF" w14:textId="30EC27D1" w:rsidR="0014497D" w:rsidRPr="005E50B5" w:rsidRDefault="0014497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6AB3" w14:textId="70C6049F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618A743B" w14:textId="77777777" w:rsidTr="3C20E7B6">
        <w:trPr>
          <w:trHeight w:val="436"/>
        </w:trPr>
        <w:tc>
          <w:tcPr>
            <w:tcW w:w="2122" w:type="dxa"/>
            <w:vMerge/>
            <w:hideMark/>
          </w:tcPr>
          <w:p w14:paraId="2A8B8C1F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D575CE" w14:textId="781E78F0" w:rsidR="0014497D" w:rsidRPr="005E50B5" w:rsidRDefault="752865AE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Cluster/Sector plans</w:t>
            </w:r>
            <w:r w:rsidR="21455C02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outline which interventions or adaptations are planned for people with disabilities affected by the crisis.</w:t>
            </w:r>
          </w:p>
          <w:p w14:paraId="2CFE4BCB" w14:textId="77777777" w:rsidR="008578B4" w:rsidRPr="005E50B5" w:rsidRDefault="0966DDCE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Disability is considered in nutrition cluster/sector plan, with adaptations or specific interventions highlighted.</w:t>
            </w:r>
          </w:p>
          <w:p w14:paraId="468B3DF4" w14:textId="0A3EF8CE" w:rsidR="00EF0C44" w:rsidRPr="005E50B5" w:rsidRDefault="25054B5D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Rather than listing persons with disabilities as a group to be targeted or prioritised, description on how response efforts will address factors contributing to vulnerabilities and the barriers to inclusions of persons with disabilities is provided</w:t>
            </w:r>
            <w:r w:rsidR="14B6F6D4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(e.g. improving access to treatment services, </w:t>
            </w:r>
            <w:r w:rsidR="77B1CEB7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ensuring</w:t>
            </w:r>
            <w:r w:rsidR="14B6F6D4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accessible sensitisation mess</w:t>
            </w:r>
            <w:r w:rsidR="592778A5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ages</w:t>
            </w:r>
            <w:r w:rsidR="0B4E8D74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...etc.)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6504" w14:textId="5381EE3A" w:rsidR="0014497D" w:rsidRPr="005E50B5" w:rsidRDefault="69DB7530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1.1, 3.1, 3.2</w:t>
            </w:r>
          </w:p>
          <w:p w14:paraId="66D4986C" w14:textId="5C7158CE" w:rsidR="0014497D" w:rsidRPr="005E50B5" w:rsidRDefault="0014497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85ED3" w14:textId="177966D4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362513" w14:paraId="2D6DD06C" w14:textId="77777777" w:rsidTr="3C20E7B6">
        <w:trPr>
          <w:trHeight w:val="355"/>
        </w:trPr>
        <w:tc>
          <w:tcPr>
            <w:tcW w:w="2122" w:type="dxa"/>
            <w:vMerge/>
            <w:hideMark/>
          </w:tcPr>
          <w:p w14:paraId="1799E263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D237E67" w14:textId="1C2CA8EB" w:rsidR="0014497D" w:rsidRPr="005E50B5" w:rsidRDefault="5E53E087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 plans </w:t>
            </w:r>
            <w:r w:rsidR="21455C02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specif</w:t>
            </w:r>
            <w:r w:rsidR="12AE5E77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y</w:t>
            </w:r>
            <w:r w:rsidR="21455C02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which activities are planned to support the Prevention of Sexual Exploitation and Abuse (PSEA) and to address Gender-Based Violence (GBV).</w:t>
            </w:r>
          </w:p>
          <w:p w14:paraId="1D0AD9A1" w14:textId="16FA9CBE" w:rsidR="008578B4" w:rsidRPr="005E50B5" w:rsidRDefault="0966DDCE" w:rsidP="61AAD22F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PSEA and GBV are considered in nutrition cluster/sector plan</w:t>
            </w:r>
          </w:p>
          <w:p w14:paraId="058EB979" w14:textId="481F47CA" w:rsidR="008578B4" w:rsidRPr="005E50B5" w:rsidRDefault="2575602D" w:rsidP="3C20E7B6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Examples of PSEA and GBV activities can be found in the GNC HRP Cross-cutting themes Tips Sheet.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787756F" w14:textId="5D21D4DE" w:rsidR="0014497D" w:rsidRPr="005E50B5" w:rsidRDefault="2575602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Not explicitly asked for in the 2020 HRP template, but can be addressed under Part 3</w:t>
            </w:r>
          </w:p>
          <w:p w14:paraId="4F6E11B3" w14:textId="751E7305" w:rsidR="0014497D" w:rsidRPr="005E50B5" w:rsidRDefault="0014497D" w:rsidP="61AAD22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CA9E973" w14:textId="52C51522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429FCF34" w14:textId="77777777" w:rsidTr="3C20E7B6">
        <w:trPr>
          <w:trHeight w:val="19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C78D15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  <w:r w:rsidRPr="005E50B5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  <w:t>Transparent costing</w:t>
            </w:r>
          </w:p>
          <w:p w14:paraId="1AF61E3B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  <w:p w14:paraId="68E18B6F" w14:textId="56746CDB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989960" w14:textId="19F7A07C" w:rsidR="0014497D" w:rsidRPr="005E50B5" w:rsidRDefault="050AA472" w:rsidP="61AAD22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Cluster/Sector plans</w:t>
            </w:r>
            <w:r w:rsidR="2AC0914E"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="3255CBBF"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are</w:t>
            </w:r>
            <w:r w:rsidR="21455C02"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transparent about the method used for calculating the costs of the response. </w:t>
            </w:r>
          </w:p>
          <w:p w14:paraId="7925A11E" w14:textId="37B6FEB2" w:rsidR="008578B4" w:rsidRPr="005E50B5" w:rsidRDefault="0966DDCE" w:rsidP="61AAD22F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Overview on costing methodology provided</w:t>
            </w:r>
            <w:r w:rsidR="25054B5D"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in a transparent and understandable way.</w:t>
            </w:r>
          </w:p>
          <w:p w14:paraId="12AB23D7" w14:textId="5212BAAF" w:rsidR="008578B4" w:rsidRPr="005E50B5" w:rsidRDefault="0966DDCE" w:rsidP="61AAD22F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Costing methodology is aligned to GNC and HPC guidance</w:t>
            </w:r>
            <w:r w:rsidR="4070CC02"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and</w:t>
            </w:r>
            <w:r w:rsidR="49829FDA"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consists of either activity-based or project-based costing (or combined).</w:t>
            </w:r>
          </w:p>
          <w:p w14:paraId="105E3B40" w14:textId="2A29303A" w:rsidR="008578B4" w:rsidRPr="005E50B5" w:rsidRDefault="49829FDA" w:rsidP="3C20E7B6">
            <w:pPr>
              <w:pStyle w:val="ListParagraph"/>
              <w:numPr>
                <w:ilvl w:val="2"/>
                <w:numId w:val="2"/>
              </w:numPr>
              <w:spacing w:before="60" w:after="60"/>
              <w:rPr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Activity-based: </w:t>
            </w:r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standards </w:t>
            </w:r>
            <w:proofErr w:type="gramStart"/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costs</w:t>
            </w:r>
            <w:proofErr w:type="gramEnd"/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 for each activity need</w:t>
            </w:r>
            <w:r w:rsidR="5BA853B9"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</w:t>
            </w:r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 to be developed </w:t>
            </w:r>
            <w:r w:rsidR="7C8FC8CC"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and agreed upon </w:t>
            </w:r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within the Cluster. Activity-based costing is advantageous in that it </w:t>
            </w:r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lastRenderedPageBreak/>
              <w:t>provides an estimate of the cost of the total needs, rather than the cost of what the partners can deliver. However, it’s a complex and time-consuming exercise.</w:t>
            </w:r>
          </w:p>
          <w:p w14:paraId="3FA05041" w14:textId="22E1C83E" w:rsidR="008578B4" w:rsidRPr="005E50B5" w:rsidRDefault="49829FDA" w:rsidP="3C20E7B6">
            <w:pPr>
              <w:pStyle w:val="ListParagraph"/>
              <w:numPr>
                <w:ilvl w:val="2"/>
                <w:numId w:val="2"/>
              </w:numPr>
              <w:spacing w:before="60" w:after="6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Project-based: </w:t>
            </w:r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projects are uploaded into the HPC Projects Module (formerly OPS) to compile the costs for each project involved in the nutrition response. Project based costing also helps to map each </w:t>
            </w:r>
            <w:proofErr w:type="gramStart"/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partners</w:t>
            </w:r>
            <w:proofErr w:type="gramEnd"/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 planned financial contribution to the response.</w:t>
            </w:r>
          </w:p>
          <w:p w14:paraId="2FAF171D" w14:textId="4E8E953B" w:rsidR="008578B4" w:rsidRPr="005E50B5" w:rsidRDefault="49829FDA" w:rsidP="3C20E7B6">
            <w:pPr>
              <w:pStyle w:val="ListParagraph"/>
              <w:numPr>
                <w:ilvl w:val="2"/>
                <w:numId w:val="2"/>
              </w:numPr>
              <w:spacing w:before="60" w:after="60"/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3C20E7B6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Combined: For some nutrition clusters, it may even be possible to do both types of costing, conduct an activity-based costing exercise, while still requiring that partners submit project sheets to track partner contributions.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ECEE" w14:textId="3995831F" w:rsidR="0014497D" w:rsidRPr="005E50B5" w:rsidRDefault="69D4F503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lastRenderedPageBreak/>
              <w:t>3.1</w:t>
            </w:r>
          </w:p>
          <w:p w14:paraId="6B167BB0" w14:textId="493FEC00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40C11" w14:textId="5C8191FA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156855F9" w14:textId="77777777" w:rsidTr="3C20E7B6">
        <w:trPr>
          <w:trHeight w:val="850"/>
        </w:trPr>
        <w:tc>
          <w:tcPr>
            <w:tcW w:w="2122" w:type="dxa"/>
            <w:vMerge/>
            <w:hideMark/>
          </w:tcPr>
          <w:p w14:paraId="07DCCE5E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48B597" w14:textId="230E2C66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If the </w:t>
            </w:r>
            <w:r w:rsidR="5F7A74A5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 plan </w:t>
            </w: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uses unit costing, it explains which cost factors account for cost differences in the given country and year. If the HRP uses project-based cost estimates, it explains the criteria and process used for selecting projects included in the project list.</w:t>
            </w:r>
          </w:p>
          <w:p w14:paraId="50A2495D" w14:textId="760131BB" w:rsidR="00EF0C44" w:rsidRPr="005E50B5" w:rsidRDefault="25054B5D" w:rsidP="00EF0C44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Information on reasoning and metrics behind </w:t>
            </w:r>
            <w:r w:rsidR="212BE021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sector-specific </w:t>
            </w: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calculations provided.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CFE83" w14:textId="37D41C19" w:rsidR="0014497D" w:rsidRPr="005E50B5" w:rsidRDefault="16C22558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Annexes: 5.2</w:t>
            </w:r>
          </w:p>
          <w:p w14:paraId="7CE560E7" w14:textId="7A48968B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3823F" w14:textId="15122C79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67C057A7" w14:textId="77777777" w:rsidTr="3C20E7B6">
        <w:trPr>
          <w:trHeight w:val="140"/>
        </w:trPr>
        <w:tc>
          <w:tcPr>
            <w:tcW w:w="2122" w:type="dxa"/>
            <w:vMerge/>
            <w:hideMark/>
          </w:tcPr>
          <w:p w14:paraId="5EB6F5F1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B9A103" w14:textId="6E84F9FD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The </w:t>
            </w:r>
            <w:r w:rsidR="797B2A5D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 plan </w:t>
            </w: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details the monitoring costs.</w:t>
            </w:r>
          </w:p>
          <w:p w14:paraId="2C05F924" w14:textId="1A5F2F3D" w:rsidR="0014497D" w:rsidRPr="005E50B5" w:rsidRDefault="2D0461A9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Details on monitoring costs is included in nutrition cluster/sector pla</w:t>
            </w:r>
            <w:r w:rsidR="3796C0CA"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094E0" w14:textId="5F46AAC5" w:rsidR="0014497D" w:rsidRPr="005E50B5" w:rsidRDefault="08866C48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3.1</w:t>
            </w:r>
          </w:p>
          <w:p w14:paraId="7C33A4B4" w14:textId="4994AD74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28A4B" w14:textId="46734377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557ABA90" w14:textId="77777777" w:rsidTr="3C20E7B6">
        <w:trPr>
          <w:trHeight w:val="526"/>
        </w:trPr>
        <w:tc>
          <w:tcPr>
            <w:tcW w:w="212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B4A3EB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  <w:r w:rsidRPr="005E50B5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  <w:t>Usable monitoring system</w:t>
            </w:r>
          </w:p>
          <w:p w14:paraId="30B7ABBB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  <w:p w14:paraId="58EF9DE6" w14:textId="2C2B7ADD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80A3F4" w14:textId="19C94758" w:rsidR="0014497D" w:rsidRPr="005E50B5" w:rsidRDefault="7DA5A92E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HRP and </w:t>
            </w:r>
            <w:r w:rsidR="68AB17E3"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 plans </w:t>
            </w:r>
            <w:r w:rsidR="21455C02" w:rsidRPr="61AAD22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include provisions for a context-appropriate mechanism or system to collect feedback and complaints from people affected by the crisis.</w:t>
            </w:r>
          </w:p>
          <w:p w14:paraId="60495BC2" w14:textId="6E3FF4C4" w:rsidR="005E763D" w:rsidRPr="005E50B5" w:rsidRDefault="2D0461A9" w:rsidP="61AAD22F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Information on how feedback and complaints</w:t>
            </w:r>
            <w:r w:rsidR="73E5FB49"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regarding nutrition assistance and services </w:t>
            </w:r>
            <w:r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 </w:t>
            </w:r>
            <w:r w:rsidR="1CD4F22F"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are </w:t>
            </w:r>
            <w:r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managed</w:t>
            </w:r>
            <w:r w:rsidR="697E205D"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is</w:t>
            </w:r>
            <w:r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 detailed under nutrition cluster/sector plan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188E" w14:textId="0C23915F" w:rsidR="0014497D" w:rsidRPr="005E50B5" w:rsidRDefault="0A946CCB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1.2; 3.1</w:t>
            </w:r>
          </w:p>
          <w:p w14:paraId="79520235" w14:textId="3D29AABE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B9833" w14:textId="0CE5EB4B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462674CA" w14:textId="77777777" w:rsidTr="3C20E7B6">
        <w:trPr>
          <w:trHeight w:val="364"/>
        </w:trPr>
        <w:tc>
          <w:tcPr>
            <w:tcW w:w="2122" w:type="dxa"/>
            <w:vMerge/>
            <w:hideMark/>
          </w:tcPr>
          <w:p w14:paraId="6053FE94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B74B14" w14:textId="77777777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monitoring system includes indicators assessing outcomes.</w:t>
            </w:r>
          </w:p>
          <w:p w14:paraId="51F336F4" w14:textId="7B707BAB" w:rsidR="005E763D" w:rsidRPr="005E50B5" w:rsidRDefault="2D0461A9" w:rsidP="61AAD22F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61AAD22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Indicators assessing outcomes included in nutrition cluster/sector plan</w:t>
            </w:r>
          </w:p>
          <w:p w14:paraId="06700D7C" w14:textId="725E6699" w:rsidR="511F4626" w:rsidRDefault="511F4626" w:rsidP="3C20E7B6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Details shared on how continued engagement with people affected by malnutrition will be coordinated and continued throughout the </w:t>
            </w:r>
            <w:r w:rsidRPr="3C20E7B6">
              <w:rPr>
                <w:i/>
                <w:iCs/>
                <w:sz w:val="20"/>
                <w:szCs w:val="20"/>
                <w:lang w:val="en-GB"/>
              </w:rPr>
              <w:t>implementation, monitoring and evaluation of the response.</w:t>
            </w:r>
          </w:p>
          <w:p w14:paraId="115A4C8F" w14:textId="535B5834" w:rsidR="005E763D" w:rsidRPr="005E50B5" w:rsidRDefault="59C6DC2F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Key indicators assessing nutrition-sensitive services at nutritional programmes are included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FAF52" w14:textId="384DAD3E" w:rsidR="0014497D" w:rsidRPr="005E50B5" w:rsidRDefault="2F528BC7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2.1; 3.1</w:t>
            </w:r>
          </w:p>
          <w:p w14:paraId="5037C6CA" w14:textId="243677FC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2201C" w14:textId="3F3D9069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741EC9BB" w14:textId="77777777" w:rsidTr="3C20E7B6">
        <w:trPr>
          <w:trHeight w:val="265"/>
        </w:trPr>
        <w:tc>
          <w:tcPr>
            <w:tcW w:w="2122" w:type="dxa"/>
            <w:vMerge/>
            <w:hideMark/>
          </w:tcPr>
          <w:p w14:paraId="4C5B4013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7C7A98" w14:textId="77777777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The monitoring system will collect disaggregated data for identified vulnerable groups.</w:t>
            </w:r>
          </w:p>
          <w:p w14:paraId="63B5F8CF" w14:textId="60BB2BA9" w:rsidR="005E763D" w:rsidRPr="005E50B5" w:rsidRDefault="2D0461A9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Data disaggregation by gender, age, and disability at a minimum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AF74" w14:textId="0CB54E10" w:rsidR="0014497D" w:rsidRPr="005E50B5" w:rsidRDefault="514718E9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2.1; 3.1</w:t>
            </w:r>
          </w:p>
          <w:p w14:paraId="57170A38" w14:textId="545746F5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EB33" w14:textId="53EC58D4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43C13348" w14:textId="77777777" w:rsidTr="3C20E7B6">
        <w:trPr>
          <w:trHeight w:val="409"/>
        </w:trPr>
        <w:tc>
          <w:tcPr>
            <w:tcW w:w="2122" w:type="dxa"/>
            <w:vMerge/>
            <w:hideMark/>
          </w:tcPr>
          <w:p w14:paraId="5C2E12B4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07CC6E" w14:textId="40790B10" w:rsidR="0014497D" w:rsidRPr="005E50B5" w:rsidRDefault="444FCA60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HRP and </w:t>
            </w:r>
            <w:r w:rsidR="08E43DEC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 plans </w:t>
            </w:r>
            <w:r w:rsidR="21455C02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indicate who is responsible for conducting monitoring.</w:t>
            </w:r>
          </w:p>
          <w:p w14:paraId="6E906252" w14:textId="3ED3AD40" w:rsidR="005E763D" w:rsidRPr="005E50B5" w:rsidRDefault="2D0461A9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Monitoring sub heading under the nutrition cluster/sector plan clearly identifies who is responsible for monitoring.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BB5C6" w14:textId="76FE4BD7" w:rsidR="0014497D" w:rsidRPr="005E50B5" w:rsidRDefault="49F58E40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2.1; 3.1</w:t>
            </w:r>
          </w:p>
          <w:p w14:paraId="3418E950" w14:textId="1D1E4B8A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B6FEA" w14:textId="7A0B59E5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1AD0F181" w14:textId="77777777" w:rsidTr="3C20E7B6">
        <w:trPr>
          <w:trHeight w:val="193"/>
        </w:trPr>
        <w:tc>
          <w:tcPr>
            <w:tcW w:w="2122" w:type="dxa"/>
            <w:vMerge/>
          </w:tcPr>
          <w:p w14:paraId="24D04E59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4DC77" w14:textId="57D3EB04" w:rsidR="0014497D" w:rsidRPr="005E50B5" w:rsidRDefault="020FE767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HRP and </w:t>
            </w:r>
            <w:r w:rsidR="04A3B73D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Cluster/Sector plans </w:t>
            </w:r>
            <w:r w:rsidR="21455C02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indicate at which frequency the indicators will be monitored.</w:t>
            </w:r>
          </w:p>
          <w:p w14:paraId="665A7709" w14:textId="414DC93D" w:rsidR="005E763D" w:rsidRPr="005E50B5" w:rsidRDefault="2D0461A9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>Nutrition cluster/sector plan clearly indicates the frequency the indicators will be monitored.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EA280" w14:textId="3E85B03C" w:rsidR="0014497D" w:rsidRPr="005E50B5" w:rsidRDefault="75F55006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2.2; 3.1</w:t>
            </w:r>
          </w:p>
          <w:p w14:paraId="379571C8" w14:textId="15F839E7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AD381" w14:textId="383D1C8A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53858178" w14:textId="77777777" w:rsidTr="3C20E7B6">
        <w:trPr>
          <w:trHeight w:val="445"/>
        </w:trPr>
        <w:tc>
          <w:tcPr>
            <w:tcW w:w="2122" w:type="dxa"/>
            <w:vMerge/>
          </w:tcPr>
          <w:p w14:paraId="7B6EA1AB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1F03D" w14:textId="77777777" w:rsidR="0014497D" w:rsidRPr="005E50B5" w:rsidRDefault="21455C02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All indicators reference the number of People in Need (PIN) and the number of people targeted by the response.</w:t>
            </w:r>
          </w:p>
          <w:p w14:paraId="5E3D25F0" w14:textId="45DC1E46" w:rsidR="00084B72" w:rsidRPr="005E50B5" w:rsidRDefault="00084B72" w:rsidP="3C20E7B6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Nutrition cluster/sector indicators reference PIN and number of people targeted by response to be calculated in accordance to </w:t>
            </w:r>
            <w:hyperlink r:id="rId16">
              <w:r w:rsidRPr="3C20E7B6">
                <w:rPr>
                  <w:rStyle w:val="Hyperlink"/>
                  <w:rFonts w:ascii="Calibri" w:eastAsia="Times New Roman" w:hAnsi="Calibri" w:cs="Calibri"/>
                  <w:i/>
                  <w:iCs/>
                  <w:color w:val="000000" w:themeColor="text1"/>
                  <w:sz w:val="20"/>
                  <w:szCs w:val="20"/>
                  <w:lang w:val="en-GB" w:eastAsia="de-DE"/>
                </w:rPr>
                <w:t>GNC guidance and standards</w:t>
              </w:r>
            </w:hyperlink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ECDF8" w14:textId="4A3BC602" w:rsidR="0014497D" w:rsidRPr="005E50B5" w:rsidRDefault="1D7A5F56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2.2; 3.1</w:t>
            </w:r>
          </w:p>
          <w:p w14:paraId="6AE55C19" w14:textId="4E8A6346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B2B35" w14:textId="6594CF32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14497D" w:rsidRPr="005E50B5" w14:paraId="7260D644" w14:textId="77777777" w:rsidTr="3C20E7B6">
        <w:trPr>
          <w:trHeight w:val="445"/>
        </w:trPr>
        <w:tc>
          <w:tcPr>
            <w:tcW w:w="2122" w:type="dxa"/>
            <w:vMerge/>
          </w:tcPr>
          <w:p w14:paraId="3E80CE9A" w14:textId="77777777" w:rsidR="0014497D" w:rsidRPr="005E50B5" w:rsidRDefault="0014497D" w:rsidP="0014497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11787" w14:textId="34467725" w:rsidR="0014497D" w:rsidRPr="005E50B5" w:rsidRDefault="53691FBB" w:rsidP="001449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HRP and </w:t>
            </w:r>
            <w:r w:rsidR="73EF2FA8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Cluster/Sector plans</w:t>
            </w:r>
            <w:r w:rsidR="21455C02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specif</w:t>
            </w:r>
            <w:r w:rsidR="40F22413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y</w:t>
            </w:r>
            <w:r w:rsidR="21455C02" w:rsidRPr="793EC6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 xml:space="preserve"> which data sources will be used for each monitoring indicator.</w:t>
            </w:r>
          </w:p>
          <w:p w14:paraId="6E82C3C8" w14:textId="746876A3" w:rsidR="00084B72" w:rsidRPr="005E50B5" w:rsidRDefault="00084B72" w:rsidP="793EC62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793EC62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  <w:t xml:space="preserve">Data sources identified in section 2.1 are linked to those identified in the nutrition cluster/sectoral plans.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A1091F" w14:textId="0550DFDF" w:rsidR="0014497D" w:rsidRPr="005E50B5" w:rsidRDefault="6C26C461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  <w:r w:rsidRPr="3C20E7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  <w:t>2.2, 3.1</w:t>
            </w:r>
          </w:p>
          <w:p w14:paraId="299DC7B1" w14:textId="60D3E994" w:rsidR="0014497D" w:rsidRPr="005E50B5" w:rsidRDefault="0014497D" w:rsidP="3C20E7B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02AAD8" w14:textId="084F67AC" w:rsidR="0014497D" w:rsidRPr="005E50B5" w:rsidRDefault="0014497D" w:rsidP="0014497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</w:tbl>
    <w:p w14:paraId="0A866211" w14:textId="77777777" w:rsidR="00517A70" w:rsidRDefault="00517A70">
      <w:pPr>
        <w:rPr>
          <w:color w:val="000000" w:themeColor="text1"/>
        </w:rPr>
      </w:pPr>
    </w:p>
    <w:p w14:paraId="6A542A2F" w14:textId="77777777" w:rsidR="00517A70" w:rsidRPr="00331B98" w:rsidRDefault="00517A70">
      <w:pPr>
        <w:rPr>
          <w:color w:val="000000" w:themeColor="text1"/>
        </w:rPr>
      </w:pPr>
    </w:p>
    <w:sectPr w:rsidR="00517A70" w:rsidRPr="00331B98" w:rsidSect="00517A70">
      <w:headerReference w:type="default" r:id="rId17"/>
      <w:pgSz w:w="16840" w:h="11900" w:orient="landscape"/>
      <w:pgMar w:top="1417" w:right="1134" w:bottom="8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F70BA" w14:textId="77777777" w:rsidR="00A05182" w:rsidRDefault="00A05182" w:rsidP="00D914D0">
      <w:r>
        <w:separator/>
      </w:r>
    </w:p>
  </w:endnote>
  <w:endnote w:type="continuationSeparator" w:id="0">
    <w:p w14:paraId="2E794319" w14:textId="77777777" w:rsidR="00A05182" w:rsidRDefault="00A05182" w:rsidP="00D9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mbria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B65AD" w14:textId="77777777" w:rsidR="00A05182" w:rsidRDefault="00A05182" w:rsidP="00D914D0">
      <w:r>
        <w:separator/>
      </w:r>
    </w:p>
  </w:footnote>
  <w:footnote w:type="continuationSeparator" w:id="0">
    <w:p w14:paraId="3853C078" w14:textId="77777777" w:rsidR="00A05182" w:rsidRDefault="00A05182" w:rsidP="00D914D0">
      <w:r>
        <w:continuationSeparator/>
      </w:r>
    </w:p>
  </w:footnote>
  <w:footnote w:id="1">
    <w:p w14:paraId="3DB49D3A" w14:textId="02CA95B0" w:rsidR="511F4692" w:rsidRPr="00AE5C29" w:rsidRDefault="511F4692" w:rsidP="511F4692">
      <w:pPr>
        <w:pStyle w:val="FootnoteText"/>
        <w:rPr>
          <w:rFonts w:ascii="Calibri" w:eastAsia="Calibri" w:hAnsi="Calibri" w:cs="Calibri"/>
          <w:color w:val="333333"/>
          <w:lang w:val="en-US"/>
        </w:rPr>
      </w:pPr>
      <w:r w:rsidRPr="511F4692">
        <w:rPr>
          <w:rStyle w:val="FootnoteReference"/>
          <w:rFonts w:ascii="Calibri" w:eastAsia="Calibri" w:hAnsi="Calibri" w:cs="Calibri"/>
        </w:rPr>
        <w:footnoteRef/>
      </w:r>
      <w:r w:rsidRPr="00AE5C29">
        <w:rPr>
          <w:rFonts w:ascii="Calibri" w:eastAsia="Calibri" w:hAnsi="Calibri" w:cs="Calibri"/>
          <w:lang w:val="en-US"/>
        </w:rPr>
        <w:t xml:space="preserve"> </w:t>
      </w:r>
      <w:r w:rsidRPr="00AE5C29">
        <w:rPr>
          <w:rFonts w:ascii="Calibri" w:eastAsia="Calibri" w:hAnsi="Calibri" w:cs="Calibri"/>
          <w:color w:val="333333"/>
          <w:lang w:val="en-US"/>
        </w:rPr>
        <w:t>WHO guidance states that at any one time, 15% of the population suffers from some form of disability</w:t>
      </w:r>
    </w:p>
  </w:footnote>
  <w:footnote w:id="2">
    <w:p w14:paraId="66B0B655" w14:textId="284465AE" w:rsidR="3323F5C0" w:rsidRPr="00362513" w:rsidRDefault="3323F5C0" w:rsidP="00362513">
      <w:pPr>
        <w:pStyle w:val="FootnoteText"/>
        <w:rPr>
          <w:lang w:val="en-US"/>
        </w:rPr>
      </w:pPr>
      <w:r w:rsidRPr="3323F5C0">
        <w:rPr>
          <w:rStyle w:val="FootnoteReference"/>
        </w:rPr>
        <w:footnoteRef/>
      </w:r>
      <w:r w:rsidR="3C20E7B6" w:rsidRPr="00AE5C29">
        <w:rPr>
          <w:lang w:val="en-US"/>
        </w:rPr>
        <w:t xml:space="preserve"> </w:t>
      </w:r>
      <w:r w:rsidR="3C20E7B6" w:rsidRPr="00AE5C29">
        <w:rPr>
          <w:lang w:val="en-US"/>
        </w:rPr>
        <w:t xml:space="preserve">Examples: Joint assessments, including multi-indicator SMART survey, joint early warning systems and information sharing, mutual services delivery platforms and referrals between services (vaccination, ante-natal and post-natal consultations, malaria screening and treatment, screenings for malnutrition, WASH Nutrition package delivery, referral for food assisstance or CVA, kitchen gardens in nutritional sites and/or in high AM rates wones, GBV audits and referrals, early childhood development and MHPSS activities in nutritional programmes, LLINS distributions, integrated BCC programmes, incl. </w:t>
      </w:r>
      <w:r w:rsidR="3C20E7B6" w:rsidRPr="00362513">
        <w:rPr>
          <w:lang w:val="en-US"/>
        </w:rPr>
        <w:t xml:space="preserve">IYCF, school feeding to promote education attendance, income generating activities etc.) or setting a minimum essential services package, joint monitoring and/evaluations, joint advocacy etc.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3E476" w14:textId="77777777" w:rsidR="00D914D0" w:rsidRPr="00D914D0" w:rsidRDefault="00D914D0" w:rsidP="00D914D0">
    <w:pPr>
      <w:pStyle w:val="Header"/>
      <w:jc w:val="center"/>
      <w:rPr>
        <w:sz w:val="28"/>
        <w:szCs w:val="28"/>
      </w:rPr>
    </w:pPr>
    <w:proofErr w:type="spellStart"/>
    <w:r w:rsidRPr="00D914D0">
      <w:rPr>
        <w:sz w:val="28"/>
        <w:szCs w:val="28"/>
      </w:rPr>
      <w:t>Draft</w:t>
    </w:r>
    <w:proofErr w:type="spellEnd"/>
    <w:r w:rsidRPr="00D914D0">
      <w:rPr>
        <w:sz w:val="28"/>
        <w:szCs w:val="28"/>
      </w:rPr>
      <w:t xml:space="preserve"> - not </w:t>
    </w:r>
    <w:proofErr w:type="spellStart"/>
    <w:r w:rsidRPr="00D914D0">
      <w:rPr>
        <w:sz w:val="28"/>
        <w:szCs w:val="28"/>
      </w:rPr>
      <w:t>for</w:t>
    </w:r>
    <w:proofErr w:type="spellEnd"/>
    <w:r w:rsidRPr="00D914D0">
      <w:rPr>
        <w:sz w:val="28"/>
        <w:szCs w:val="28"/>
      </w:rPr>
      <w:t xml:space="preserve"> </w:t>
    </w:r>
    <w:proofErr w:type="spellStart"/>
    <w:r w:rsidRPr="00D914D0">
      <w:rPr>
        <w:sz w:val="28"/>
        <w:szCs w:val="28"/>
      </w:rPr>
      <w:t>official</w:t>
    </w:r>
    <w:proofErr w:type="spellEnd"/>
    <w:r w:rsidRPr="00D914D0">
      <w:rPr>
        <w:sz w:val="28"/>
        <w:szCs w:val="28"/>
      </w:rPr>
      <w:t xml:space="preserve"> </w:t>
    </w:r>
    <w:proofErr w:type="spellStart"/>
    <w:r w:rsidRPr="00D914D0">
      <w:rPr>
        <w:sz w:val="28"/>
        <w:szCs w:val="28"/>
      </w:rPr>
      <w:t>use</w:t>
    </w:r>
    <w:proofErr w:type="spellEnd"/>
  </w:p>
  <w:p w14:paraId="18405BCF" w14:textId="77777777" w:rsidR="00D914D0" w:rsidRDefault="00D91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64E5"/>
    <w:multiLevelType w:val="multilevel"/>
    <w:tmpl w:val="EDE63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3202B6"/>
    <w:multiLevelType w:val="hybridMultilevel"/>
    <w:tmpl w:val="A7D62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7B2AD7"/>
    <w:multiLevelType w:val="hybridMultilevel"/>
    <w:tmpl w:val="8EFCC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B5"/>
    <w:rsid w:val="00084B72"/>
    <w:rsid w:val="00095BC2"/>
    <w:rsid w:val="000D2505"/>
    <w:rsid w:val="000F024D"/>
    <w:rsid w:val="000F76F9"/>
    <w:rsid w:val="00112FBF"/>
    <w:rsid w:val="0014497D"/>
    <w:rsid w:val="00160838"/>
    <w:rsid w:val="00166BFF"/>
    <w:rsid w:val="00254829"/>
    <w:rsid w:val="00263296"/>
    <w:rsid w:val="0028410B"/>
    <w:rsid w:val="002A7CB4"/>
    <w:rsid w:val="00331B98"/>
    <w:rsid w:val="00362513"/>
    <w:rsid w:val="00377482"/>
    <w:rsid w:val="0042776A"/>
    <w:rsid w:val="004B66B5"/>
    <w:rsid w:val="00517A70"/>
    <w:rsid w:val="00521016"/>
    <w:rsid w:val="0052615C"/>
    <w:rsid w:val="00537CDA"/>
    <w:rsid w:val="00544C63"/>
    <w:rsid w:val="00553CC3"/>
    <w:rsid w:val="005551BF"/>
    <w:rsid w:val="005E50B5"/>
    <w:rsid w:val="005E763D"/>
    <w:rsid w:val="005FC378"/>
    <w:rsid w:val="00612C04"/>
    <w:rsid w:val="006A65B3"/>
    <w:rsid w:val="006A720E"/>
    <w:rsid w:val="006D2A35"/>
    <w:rsid w:val="00714193"/>
    <w:rsid w:val="00716D9F"/>
    <w:rsid w:val="00733A34"/>
    <w:rsid w:val="00757524"/>
    <w:rsid w:val="00760D15"/>
    <w:rsid w:val="00792D67"/>
    <w:rsid w:val="007949E5"/>
    <w:rsid w:val="007E6A5D"/>
    <w:rsid w:val="008578B4"/>
    <w:rsid w:val="0086387D"/>
    <w:rsid w:val="008B6795"/>
    <w:rsid w:val="008D78DC"/>
    <w:rsid w:val="008F4664"/>
    <w:rsid w:val="009075B7"/>
    <w:rsid w:val="00917840"/>
    <w:rsid w:val="00920D39"/>
    <w:rsid w:val="009274A4"/>
    <w:rsid w:val="00933CD2"/>
    <w:rsid w:val="00961F17"/>
    <w:rsid w:val="00974E11"/>
    <w:rsid w:val="009C2DCB"/>
    <w:rsid w:val="009C3F7B"/>
    <w:rsid w:val="009F4CFE"/>
    <w:rsid w:val="00A05182"/>
    <w:rsid w:val="00A32C97"/>
    <w:rsid w:val="00A60EE3"/>
    <w:rsid w:val="00A73385"/>
    <w:rsid w:val="00AE5C29"/>
    <w:rsid w:val="00B031F3"/>
    <w:rsid w:val="00B2136B"/>
    <w:rsid w:val="00BB4FC3"/>
    <w:rsid w:val="00C06358"/>
    <w:rsid w:val="00C47012"/>
    <w:rsid w:val="00CA5A5A"/>
    <w:rsid w:val="00CB72D1"/>
    <w:rsid w:val="00CC65C7"/>
    <w:rsid w:val="00D529DD"/>
    <w:rsid w:val="00D85385"/>
    <w:rsid w:val="00D914D0"/>
    <w:rsid w:val="00DC4010"/>
    <w:rsid w:val="00DE1486"/>
    <w:rsid w:val="00DE5493"/>
    <w:rsid w:val="00E10181"/>
    <w:rsid w:val="00E13B24"/>
    <w:rsid w:val="00ED032B"/>
    <w:rsid w:val="00ED275E"/>
    <w:rsid w:val="00EF0C44"/>
    <w:rsid w:val="00F4872E"/>
    <w:rsid w:val="00F65957"/>
    <w:rsid w:val="00F95DEA"/>
    <w:rsid w:val="00FB11A3"/>
    <w:rsid w:val="00FB5C5C"/>
    <w:rsid w:val="011CD9F0"/>
    <w:rsid w:val="01752C14"/>
    <w:rsid w:val="01CD71AB"/>
    <w:rsid w:val="02015F09"/>
    <w:rsid w:val="020FE767"/>
    <w:rsid w:val="02496CFF"/>
    <w:rsid w:val="0250452C"/>
    <w:rsid w:val="026C12F2"/>
    <w:rsid w:val="02A68C78"/>
    <w:rsid w:val="0343E9CC"/>
    <w:rsid w:val="03A94FB5"/>
    <w:rsid w:val="03D27E62"/>
    <w:rsid w:val="040C640C"/>
    <w:rsid w:val="0413A2EB"/>
    <w:rsid w:val="042EE16D"/>
    <w:rsid w:val="043A7F1C"/>
    <w:rsid w:val="048E7993"/>
    <w:rsid w:val="04A3B73D"/>
    <w:rsid w:val="050AA472"/>
    <w:rsid w:val="0580070A"/>
    <w:rsid w:val="05BD2673"/>
    <w:rsid w:val="05CF2BBD"/>
    <w:rsid w:val="068C6A5A"/>
    <w:rsid w:val="06A84E25"/>
    <w:rsid w:val="072BB30D"/>
    <w:rsid w:val="075B6711"/>
    <w:rsid w:val="07743B3D"/>
    <w:rsid w:val="07E7AAE5"/>
    <w:rsid w:val="086FB51E"/>
    <w:rsid w:val="08866C48"/>
    <w:rsid w:val="08A8763D"/>
    <w:rsid w:val="08ADC6CA"/>
    <w:rsid w:val="08BF3ACC"/>
    <w:rsid w:val="08E43DEC"/>
    <w:rsid w:val="09605FA7"/>
    <w:rsid w:val="0966DDCE"/>
    <w:rsid w:val="097057D7"/>
    <w:rsid w:val="097E554C"/>
    <w:rsid w:val="09DE047A"/>
    <w:rsid w:val="09EA9C28"/>
    <w:rsid w:val="0A3E7526"/>
    <w:rsid w:val="0A809817"/>
    <w:rsid w:val="0A946CCB"/>
    <w:rsid w:val="0AA61A83"/>
    <w:rsid w:val="0AE4A47C"/>
    <w:rsid w:val="0B4E8D74"/>
    <w:rsid w:val="0B9F3819"/>
    <w:rsid w:val="0BF6E7AB"/>
    <w:rsid w:val="0C2AB1DC"/>
    <w:rsid w:val="0C64C12F"/>
    <w:rsid w:val="0C6D1132"/>
    <w:rsid w:val="0CC75A89"/>
    <w:rsid w:val="0D1ED9CC"/>
    <w:rsid w:val="0D3EC4A2"/>
    <w:rsid w:val="0D41075A"/>
    <w:rsid w:val="0D4F7259"/>
    <w:rsid w:val="0D9A00EE"/>
    <w:rsid w:val="0DDD2912"/>
    <w:rsid w:val="0EB1F3E2"/>
    <w:rsid w:val="0EB92325"/>
    <w:rsid w:val="0ED18822"/>
    <w:rsid w:val="0EE8100C"/>
    <w:rsid w:val="0EFE268A"/>
    <w:rsid w:val="0F7B27A2"/>
    <w:rsid w:val="1059E21F"/>
    <w:rsid w:val="10659E35"/>
    <w:rsid w:val="106A1BA7"/>
    <w:rsid w:val="1073E88D"/>
    <w:rsid w:val="1097200D"/>
    <w:rsid w:val="10B652F2"/>
    <w:rsid w:val="11793C30"/>
    <w:rsid w:val="11A824DF"/>
    <w:rsid w:val="11BBF743"/>
    <w:rsid w:val="11E9B782"/>
    <w:rsid w:val="1221DB1A"/>
    <w:rsid w:val="126906EE"/>
    <w:rsid w:val="127B2A3D"/>
    <w:rsid w:val="12AE5E77"/>
    <w:rsid w:val="12E03EE7"/>
    <w:rsid w:val="13C31CE3"/>
    <w:rsid w:val="141EE5FC"/>
    <w:rsid w:val="1426EBCF"/>
    <w:rsid w:val="143F4126"/>
    <w:rsid w:val="14B6F6D4"/>
    <w:rsid w:val="14C9F190"/>
    <w:rsid w:val="14D59A64"/>
    <w:rsid w:val="14E16569"/>
    <w:rsid w:val="14E6441E"/>
    <w:rsid w:val="153A82AD"/>
    <w:rsid w:val="1553BECA"/>
    <w:rsid w:val="15768CC2"/>
    <w:rsid w:val="16067D66"/>
    <w:rsid w:val="1626505C"/>
    <w:rsid w:val="1632972F"/>
    <w:rsid w:val="163464AC"/>
    <w:rsid w:val="1674F15C"/>
    <w:rsid w:val="169472A4"/>
    <w:rsid w:val="16C22558"/>
    <w:rsid w:val="17A44520"/>
    <w:rsid w:val="17A77FB0"/>
    <w:rsid w:val="17ACCC91"/>
    <w:rsid w:val="1801E866"/>
    <w:rsid w:val="18A825A0"/>
    <w:rsid w:val="191143F3"/>
    <w:rsid w:val="19352731"/>
    <w:rsid w:val="195F9C2F"/>
    <w:rsid w:val="1960A05E"/>
    <w:rsid w:val="19B91457"/>
    <w:rsid w:val="1A788C98"/>
    <w:rsid w:val="1A79F8E6"/>
    <w:rsid w:val="1A871EB5"/>
    <w:rsid w:val="1B682573"/>
    <w:rsid w:val="1BD567BA"/>
    <w:rsid w:val="1C76A0BD"/>
    <w:rsid w:val="1CAAF457"/>
    <w:rsid w:val="1CC1B149"/>
    <w:rsid w:val="1CD4F22F"/>
    <w:rsid w:val="1D7A5F56"/>
    <w:rsid w:val="1DCFD5FA"/>
    <w:rsid w:val="1E2C5113"/>
    <w:rsid w:val="1E2D2B6E"/>
    <w:rsid w:val="1E3B8449"/>
    <w:rsid w:val="1E513068"/>
    <w:rsid w:val="1F126A5B"/>
    <w:rsid w:val="1F9B427A"/>
    <w:rsid w:val="1FD0D0BE"/>
    <w:rsid w:val="20002D88"/>
    <w:rsid w:val="201ECD4C"/>
    <w:rsid w:val="204EC834"/>
    <w:rsid w:val="20800270"/>
    <w:rsid w:val="20964078"/>
    <w:rsid w:val="2105B282"/>
    <w:rsid w:val="212BE021"/>
    <w:rsid w:val="21439282"/>
    <w:rsid w:val="21455C02"/>
    <w:rsid w:val="214843E0"/>
    <w:rsid w:val="21595DF4"/>
    <w:rsid w:val="215B3E4B"/>
    <w:rsid w:val="21DC9664"/>
    <w:rsid w:val="226B41AC"/>
    <w:rsid w:val="22DB2F18"/>
    <w:rsid w:val="23059C9B"/>
    <w:rsid w:val="2316147C"/>
    <w:rsid w:val="231A91E5"/>
    <w:rsid w:val="23295119"/>
    <w:rsid w:val="236C5189"/>
    <w:rsid w:val="237E9618"/>
    <w:rsid w:val="239DA1FC"/>
    <w:rsid w:val="23FC0381"/>
    <w:rsid w:val="2436D410"/>
    <w:rsid w:val="2451F9F6"/>
    <w:rsid w:val="246AAC97"/>
    <w:rsid w:val="2477AA6B"/>
    <w:rsid w:val="24965676"/>
    <w:rsid w:val="25054B5D"/>
    <w:rsid w:val="25116826"/>
    <w:rsid w:val="252DA3F6"/>
    <w:rsid w:val="2557C12D"/>
    <w:rsid w:val="2575602D"/>
    <w:rsid w:val="2678892B"/>
    <w:rsid w:val="26805CE8"/>
    <w:rsid w:val="2698E748"/>
    <w:rsid w:val="26AE142F"/>
    <w:rsid w:val="26D2565C"/>
    <w:rsid w:val="26F00825"/>
    <w:rsid w:val="27374078"/>
    <w:rsid w:val="273A2E06"/>
    <w:rsid w:val="27496945"/>
    <w:rsid w:val="27784FF1"/>
    <w:rsid w:val="27C175C0"/>
    <w:rsid w:val="27FCAE83"/>
    <w:rsid w:val="2816F17A"/>
    <w:rsid w:val="2856F81B"/>
    <w:rsid w:val="28AD3AB1"/>
    <w:rsid w:val="29118604"/>
    <w:rsid w:val="295407FB"/>
    <w:rsid w:val="2998590E"/>
    <w:rsid w:val="29B0DF2B"/>
    <w:rsid w:val="29BA3449"/>
    <w:rsid w:val="29D21356"/>
    <w:rsid w:val="29E187E0"/>
    <w:rsid w:val="29ED1231"/>
    <w:rsid w:val="2A2EBD40"/>
    <w:rsid w:val="2AC0914E"/>
    <w:rsid w:val="2B40B411"/>
    <w:rsid w:val="2BBC9E5F"/>
    <w:rsid w:val="2BD6A800"/>
    <w:rsid w:val="2C0FBA2C"/>
    <w:rsid w:val="2C1A8177"/>
    <w:rsid w:val="2C65FAD6"/>
    <w:rsid w:val="2C8F803D"/>
    <w:rsid w:val="2CE3CBA1"/>
    <w:rsid w:val="2D0461A9"/>
    <w:rsid w:val="2D2ED935"/>
    <w:rsid w:val="2D59C7EE"/>
    <w:rsid w:val="2D5D9738"/>
    <w:rsid w:val="2D64F1B4"/>
    <w:rsid w:val="2E449DDB"/>
    <w:rsid w:val="2E89E6AD"/>
    <w:rsid w:val="2E8CCB4D"/>
    <w:rsid w:val="2EBB1D24"/>
    <w:rsid w:val="2EE551DF"/>
    <w:rsid w:val="2EF31C21"/>
    <w:rsid w:val="2F375BD8"/>
    <w:rsid w:val="2F420996"/>
    <w:rsid w:val="2F528BC7"/>
    <w:rsid w:val="2FAF659A"/>
    <w:rsid w:val="2FF70684"/>
    <w:rsid w:val="3040DB13"/>
    <w:rsid w:val="30A53711"/>
    <w:rsid w:val="30FBAE88"/>
    <w:rsid w:val="312D7A67"/>
    <w:rsid w:val="31319F7B"/>
    <w:rsid w:val="31761597"/>
    <w:rsid w:val="31C43064"/>
    <w:rsid w:val="3255CBBF"/>
    <w:rsid w:val="32A686CE"/>
    <w:rsid w:val="32EFC3EE"/>
    <w:rsid w:val="32FF4C9A"/>
    <w:rsid w:val="330708E1"/>
    <w:rsid w:val="3323F5C0"/>
    <w:rsid w:val="33797FD9"/>
    <w:rsid w:val="33D25646"/>
    <w:rsid w:val="34F3C597"/>
    <w:rsid w:val="34FA7442"/>
    <w:rsid w:val="34FFADB7"/>
    <w:rsid w:val="352D292E"/>
    <w:rsid w:val="35859360"/>
    <w:rsid w:val="359772EE"/>
    <w:rsid w:val="35F7D528"/>
    <w:rsid w:val="35F99AB3"/>
    <w:rsid w:val="361D01B1"/>
    <w:rsid w:val="36243D95"/>
    <w:rsid w:val="362449F2"/>
    <w:rsid w:val="3796C0CA"/>
    <w:rsid w:val="3864ADA4"/>
    <w:rsid w:val="388DBC29"/>
    <w:rsid w:val="389F00C5"/>
    <w:rsid w:val="394D9AD5"/>
    <w:rsid w:val="3986D8D4"/>
    <w:rsid w:val="39A2E46E"/>
    <w:rsid w:val="3A1B8305"/>
    <w:rsid w:val="3A4005A7"/>
    <w:rsid w:val="3A6EF8ED"/>
    <w:rsid w:val="3A7B70ED"/>
    <w:rsid w:val="3A83FE71"/>
    <w:rsid w:val="3AABDC58"/>
    <w:rsid w:val="3B137322"/>
    <w:rsid w:val="3B1D3AAF"/>
    <w:rsid w:val="3B378718"/>
    <w:rsid w:val="3B41ACF7"/>
    <w:rsid w:val="3C20E7B6"/>
    <w:rsid w:val="3C2FAB7D"/>
    <w:rsid w:val="3C5AE9BA"/>
    <w:rsid w:val="3C9B8135"/>
    <w:rsid w:val="3CBDE8ED"/>
    <w:rsid w:val="3E207297"/>
    <w:rsid w:val="3EB6A470"/>
    <w:rsid w:val="3ED9BE5F"/>
    <w:rsid w:val="3F34C0E7"/>
    <w:rsid w:val="3F9D6BE3"/>
    <w:rsid w:val="40078995"/>
    <w:rsid w:val="40099E5A"/>
    <w:rsid w:val="405298CD"/>
    <w:rsid w:val="4070CC02"/>
    <w:rsid w:val="40F22413"/>
    <w:rsid w:val="415F7E2D"/>
    <w:rsid w:val="41A87A62"/>
    <w:rsid w:val="41E52D32"/>
    <w:rsid w:val="4214517C"/>
    <w:rsid w:val="4231DF4F"/>
    <w:rsid w:val="423BF6F9"/>
    <w:rsid w:val="427F3E9A"/>
    <w:rsid w:val="427FFE4F"/>
    <w:rsid w:val="428280FC"/>
    <w:rsid w:val="42893B16"/>
    <w:rsid w:val="42B4820D"/>
    <w:rsid w:val="4330F5D2"/>
    <w:rsid w:val="4404C459"/>
    <w:rsid w:val="4420BB23"/>
    <w:rsid w:val="44264704"/>
    <w:rsid w:val="444B9495"/>
    <w:rsid w:val="444FCA60"/>
    <w:rsid w:val="445DEF38"/>
    <w:rsid w:val="445EA9DC"/>
    <w:rsid w:val="457B8988"/>
    <w:rsid w:val="457CEE5D"/>
    <w:rsid w:val="459BF56D"/>
    <w:rsid w:val="45FB421D"/>
    <w:rsid w:val="4627CED3"/>
    <w:rsid w:val="4671CB71"/>
    <w:rsid w:val="4699C4E3"/>
    <w:rsid w:val="46A10627"/>
    <w:rsid w:val="46B50FE2"/>
    <w:rsid w:val="47804D66"/>
    <w:rsid w:val="4799EE7D"/>
    <w:rsid w:val="47B49D3B"/>
    <w:rsid w:val="47B53816"/>
    <w:rsid w:val="47DEBE16"/>
    <w:rsid w:val="482C4A77"/>
    <w:rsid w:val="48549D11"/>
    <w:rsid w:val="48C69D15"/>
    <w:rsid w:val="48E80AE4"/>
    <w:rsid w:val="4904B3D3"/>
    <w:rsid w:val="4939C493"/>
    <w:rsid w:val="497936BA"/>
    <w:rsid w:val="497CF5C8"/>
    <w:rsid w:val="49829FDA"/>
    <w:rsid w:val="49896B58"/>
    <w:rsid w:val="49C777CA"/>
    <w:rsid w:val="49F58E40"/>
    <w:rsid w:val="4A4AD18F"/>
    <w:rsid w:val="4B14B9BC"/>
    <w:rsid w:val="4B9FBE60"/>
    <w:rsid w:val="4C7854EE"/>
    <w:rsid w:val="4CA30039"/>
    <w:rsid w:val="4CB1346B"/>
    <w:rsid w:val="4CB7306D"/>
    <w:rsid w:val="4CD53267"/>
    <w:rsid w:val="4D3A35EC"/>
    <w:rsid w:val="4D698610"/>
    <w:rsid w:val="4D972C97"/>
    <w:rsid w:val="4DD47562"/>
    <w:rsid w:val="4E09A98B"/>
    <w:rsid w:val="4EB3DF08"/>
    <w:rsid w:val="4EC3DD49"/>
    <w:rsid w:val="4FE1C4E6"/>
    <w:rsid w:val="4FF708D1"/>
    <w:rsid w:val="5024C410"/>
    <w:rsid w:val="5082282E"/>
    <w:rsid w:val="50E74BED"/>
    <w:rsid w:val="511F4626"/>
    <w:rsid w:val="511F4692"/>
    <w:rsid w:val="514718E9"/>
    <w:rsid w:val="5199261A"/>
    <w:rsid w:val="51EC9511"/>
    <w:rsid w:val="521A7125"/>
    <w:rsid w:val="52C17DAA"/>
    <w:rsid w:val="52DFD8B9"/>
    <w:rsid w:val="530D3A9C"/>
    <w:rsid w:val="53691FBB"/>
    <w:rsid w:val="53731401"/>
    <w:rsid w:val="53A0EB04"/>
    <w:rsid w:val="53EE166E"/>
    <w:rsid w:val="53F0A8C2"/>
    <w:rsid w:val="540F3DFC"/>
    <w:rsid w:val="5457D450"/>
    <w:rsid w:val="54B6BA4D"/>
    <w:rsid w:val="554F36C7"/>
    <w:rsid w:val="55B420B7"/>
    <w:rsid w:val="561157FF"/>
    <w:rsid w:val="56128065"/>
    <w:rsid w:val="5612F951"/>
    <w:rsid w:val="5617D9FF"/>
    <w:rsid w:val="561D3174"/>
    <w:rsid w:val="5683B074"/>
    <w:rsid w:val="568865F4"/>
    <w:rsid w:val="570F04CD"/>
    <w:rsid w:val="57378C07"/>
    <w:rsid w:val="57A4C9C0"/>
    <w:rsid w:val="57A9A36C"/>
    <w:rsid w:val="58092140"/>
    <w:rsid w:val="581099F4"/>
    <w:rsid w:val="58387F27"/>
    <w:rsid w:val="584FDE5E"/>
    <w:rsid w:val="58D6298A"/>
    <w:rsid w:val="58DCD985"/>
    <w:rsid w:val="592778A5"/>
    <w:rsid w:val="5933F905"/>
    <w:rsid w:val="59A69040"/>
    <w:rsid w:val="59C6DC2F"/>
    <w:rsid w:val="59F1AAF0"/>
    <w:rsid w:val="59FD18CB"/>
    <w:rsid w:val="5A03F6C8"/>
    <w:rsid w:val="5AA020F8"/>
    <w:rsid w:val="5AFF1070"/>
    <w:rsid w:val="5BA853B9"/>
    <w:rsid w:val="5BABE1E9"/>
    <w:rsid w:val="5C074300"/>
    <w:rsid w:val="5C12F878"/>
    <w:rsid w:val="5C481E93"/>
    <w:rsid w:val="5C50E551"/>
    <w:rsid w:val="5C547150"/>
    <w:rsid w:val="5C79C4FC"/>
    <w:rsid w:val="5CC2C62E"/>
    <w:rsid w:val="5CFA068E"/>
    <w:rsid w:val="5D1348D9"/>
    <w:rsid w:val="5D6648A0"/>
    <w:rsid w:val="5DBF837D"/>
    <w:rsid w:val="5DE7A12D"/>
    <w:rsid w:val="5E170D96"/>
    <w:rsid w:val="5E53E087"/>
    <w:rsid w:val="5E91ECDB"/>
    <w:rsid w:val="5F7A74A5"/>
    <w:rsid w:val="6007AA4A"/>
    <w:rsid w:val="602C0925"/>
    <w:rsid w:val="60309C7C"/>
    <w:rsid w:val="6057DB07"/>
    <w:rsid w:val="60619F31"/>
    <w:rsid w:val="60794AF7"/>
    <w:rsid w:val="60835436"/>
    <w:rsid w:val="60E9F786"/>
    <w:rsid w:val="61243A1D"/>
    <w:rsid w:val="616843DB"/>
    <w:rsid w:val="619673EE"/>
    <w:rsid w:val="61AAD22F"/>
    <w:rsid w:val="62973EBE"/>
    <w:rsid w:val="629767BB"/>
    <w:rsid w:val="6305FAA3"/>
    <w:rsid w:val="633886EF"/>
    <w:rsid w:val="633B55FE"/>
    <w:rsid w:val="634739C7"/>
    <w:rsid w:val="639C0B92"/>
    <w:rsid w:val="63FF147E"/>
    <w:rsid w:val="64087F44"/>
    <w:rsid w:val="6409C856"/>
    <w:rsid w:val="6446DA26"/>
    <w:rsid w:val="647E4CDE"/>
    <w:rsid w:val="64D4A646"/>
    <w:rsid w:val="64EEF092"/>
    <w:rsid w:val="65037F03"/>
    <w:rsid w:val="656227C0"/>
    <w:rsid w:val="658EA478"/>
    <w:rsid w:val="65A0888A"/>
    <w:rsid w:val="65E9E32C"/>
    <w:rsid w:val="65F52381"/>
    <w:rsid w:val="663EAC35"/>
    <w:rsid w:val="6675B4CE"/>
    <w:rsid w:val="668B67BF"/>
    <w:rsid w:val="669C2929"/>
    <w:rsid w:val="66AE6756"/>
    <w:rsid w:val="66EC39B2"/>
    <w:rsid w:val="67377CB3"/>
    <w:rsid w:val="673B8C17"/>
    <w:rsid w:val="6804CE02"/>
    <w:rsid w:val="68347F85"/>
    <w:rsid w:val="6845D0D6"/>
    <w:rsid w:val="6881963A"/>
    <w:rsid w:val="68AB17E3"/>
    <w:rsid w:val="690C86E0"/>
    <w:rsid w:val="692EDEEF"/>
    <w:rsid w:val="6938ECE7"/>
    <w:rsid w:val="697E205D"/>
    <w:rsid w:val="6985D4F0"/>
    <w:rsid w:val="69D4F503"/>
    <w:rsid w:val="69DB7530"/>
    <w:rsid w:val="6A184BB6"/>
    <w:rsid w:val="6A5DFAE7"/>
    <w:rsid w:val="6A62F9F2"/>
    <w:rsid w:val="6A8EFF23"/>
    <w:rsid w:val="6A9665A8"/>
    <w:rsid w:val="6A9F9996"/>
    <w:rsid w:val="6ABA0844"/>
    <w:rsid w:val="6ACEB6F5"/>
    <w:rsid w:val="6B6DBB76"/>
    <w:rsid w:val="6BA0361E"/>
    <w:rsid w:val="6BC08D62"/>
    <w:rsid w:val="6BDC771E"/>
    <w:rsid w:val="6BDFC170"/>
    <w:rsid w:val="6BE7D595"/>
    <w:rsid w:val="6BF144E7"/>
    <w:rsid w:val="6C005439"/>
    <w:rsid w:val="6C26C461"/>
    <w:rsid w:val="6C5EFDD3"/>
    <w:rsid w:val="6C6CBD02"/>
    <w:rsid w:val="6CA66940"/>
    <w:rsid w:val="6CB6E709"/>
    <w:rsid w:val="6CBB7F09"/>
    <w:rsid w:val="6D1631E3"/>
    <w:rsid w:val="6D1B1BD2"/>
    <w:rsid w:val="6D1C1AAB"/>
    <w:rsid w:val="6D377AFD"/>
    <w:rsid w:val="6DDCFDE7"/>
    <w:rsid w:val="6DF97EB6"/>
    <w:rsid w:val="6E9A5735"/>
    <w:rsid w:val="6EA551D8"/>
    <w:rsid w:val="6EBBEF9E"/>
    <w:rsid w:val="6F002624"/>
    <w:rsid w:val="6F49E0F7"/>
    <w:rsid w:val="6F67CFFB"/>
    <w:rsid w:val="6F789F98"/>
    <w:rsid w:val="6FC320F4"/>
    <w:rsid w:val="6FE13281"/>
    <w:rsid w:val="7020929D"/>
    <w:rsid w:val="70C413CA"/>
    <w:rsid w:val="70D5B7DC"/>
    <w:rsid w:val="7100980B"/>
    <w:rsid w:val="711CDAE7"/>
    <w:rsid w:val="71812E99"/>
    <w:rsid w:val="7189847E"/>
    <w:rsid w:val="71D7D633"/>
    <w:rsid w:val="71FE17AB"/>
    <w:rsid w:val="7240F415"/>
    <w:rsid w:val="725E5B13"/>
    <w:rsid w:val="7314315E"/>
    <w:rsid w:val="73354BE6"/>
    <w:rsid w:val="73B5512B"/>
    <w:rsid w:val="73BC1E36"/>
    <w:rsid w:val="73E5FB49"/>
    <w:rsid w:val="73EF2FA8"/>
    <w:rsid w:val="7403C9E3"/>
    <w:rsid w:val="740565E1"/>
    <w:rsid w:val="741B92FB"/>
    <w:rsid w:val="74B3D78E"/>
    <w:rsid w:val="752865AE"/>
    <w:rsid w:val="753602B6"/>
    <w:rsid w:val="75530921"/>
    <w:rsid w:val="75ACCEBE"/>
    <w:rsid w:val="75C5F733"/>
    <w:rsid w:val="75E7EBC8"/>
    <w:rsid w:val="75F55006"/>
    <w:rsid w:val="75F860B6"/>
    <w:rsid w:val="76139086"/>
    <w:rsid w:val="763C5E4E"/>
    <w:rsid w:val="76E8B6E6"/>
    <w:rsid w:val="7749D516"/>
    <w:rsid w:val="776C35F2"/>
    <w:rsid w:val="7779CD20"/>
    <w:rsid w:val="77874405"/>
    <w:rsid w:val="77B1CEB7"/>
    <w:rsid w:val="77BB4A76"/>
    <w:rsid w:val="77DCF5B4"/>
    <w:rsid w:val="782DA798"/>
    <w:rsid w:val="784BB1F8"/>
    <w:rsid w:val="784D28E0"/>
    <w:rsid w:val="78507DE9"/>
    <w:rsid w:val="78A19A92"/>
    <w:rsid w:val="78BB03F2"/>
    <w:rsid w:val="7934DD83"/>
    <w:rsid w:val="7939D4FE"/>
    <w:rsid w:val="793EC628"/>
    <w:rsid w:val="797B2A5D"/>
    <w:rsid w:val="79D74A08"/>
    <w:rsid w:val="79D9B7E0"/>
    <w:rsid w:val="79E8390A"/>
    <w:rsid w:val="7A841FD0"/>
    <w:rsid w:val="7AC41D96"/>
    <w:rsid w:val="7AC5754C"/>
    <w:rsid w:val="7AC60831"/>
    <w:rsid w:val="7B08EF1C"/>
    <w:rsid w:val="7B837D2E"/>
    <w:rsid w:val="7B8D861F"/>
    <w:rsid w:val="7BCB4F59"/>
    <w:rsid w:val="7C31CFD3"/>
    <w:rsid w:val="7C5EBBDB"/>
    <w:rsid w:val="7C8FC8CC"/>
    <w:rsid w:val="7CB4E4BF"/>
    <w:rsid w:val="7CC101FD"/>
    <w:rsid w:val="7D216C4C"/>
    <w:rsid w:val="7D25CFE9"/>
    <w:rsid w:val="7D3301EB"/>
    <w:rsid w:val="7D794D0E"/>
    <w:rsid w:val="7DA5A92E"/>
    <w:rsid w:val="7E3EC079"/>
    <w:rsid w:val="7E70E991"/>
    <w:rsid w:val="7E881896"/>
    <w:rsid w:val="7E9E0875"/>
    <w:rsid w:val="7EC462D1"/>
    <w:rsid w:val="7F0C6134"/>
    <w:rsid w:val="7F3BB942"/>
    <w:rsid w:val="7F660513"/>
    <w:rsid w:val="7F9B19B4"/>
    <w:rsid w:val="7FBAE54E"/>
    <w:rsid w:val="7FC9D840"/>
    <w:rsid w:val="7FCE366F"/>
    <w:rsid w:val="7FD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98FC"/>
  <w15:chartTrackingRefBased/>
  <w15:docId w15:val="{64B3DD04-DC2B-734D-895A-04B2A1F0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4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4D0"/>
  </w:style>
  <w:style w:type="paragraph" w:styleId="Footer">
    <w:name w:val="footer"/>
    <w:basedOn w:val="Normal"/>
    <w:link w:val="FooterChar"/>
    <w:uiPriority w:val="99"/>
    <w:unhideWhenUsed/>
    <w:rsid w:val="00D914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4D0"/>
  </w:style>
  <w:style w:type="paragraph" w:styleId="ListParagraph">
    <w:name w:val="List Paragraph"/>
    <w:basedOn w:val="Normal"/>
    <w:uiPriority w:val="34"/>
    <w:qFormat/>
    <w:rsid w:val="00D914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2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752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17A70"/>
  </w:style>
  <w:style w:type="paragraph" w:styleId="NormalWeb">
    <w:name w:val="Normal (Web)"/>
    <w:basedOn w:val="Normal"/>
    <w:uiPriority w:val="99"/>
    <w:semiHidden/>
    <w:unhideWhenUsed/>
    <w:rsid w:val="00A32C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H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6D9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umanitarianresponse.info/en/programme-cycle/spa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utritioncluster.net/resource_NutHumanitarianAnalysi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utritioncluster.net/HRP_tips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obamo@unicef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_dlc_DocId xmlns="5858627f-d058-4b92-9b52-677b5fd7d454">EMOPSGCCU-1435067120-33738</_dlc_DocId>
    <_dlc_DocIdUrl xmlns="5858627f-d058-4b92-9b52-677b5fd7d454">
      <Url>https://unicef.sharepoint.com/teams/EMOPS-GCCU/_layouts/15/DocIdRedir.aspx?ID=EMOPSGCCU-1435067120-33738</Url>
      <Description>EMOPSGCCU-1435067120-33738</Description>
    </_dlc_DocIdUrl>
  </documentManagement>
</p:properties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238" ma:contentTypeDescription="" ma:contentTypeScope="" ma:versionID="2ac8e92143867755744d8e98aef07036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858627f-d058-4b92-9b52-677b5fd7d454" xmlns:ns6="a438dd15-07ca-4cdc-82a3-f2206b92025e" targetNamespace="http://schemas.microsoft.com/office/2006/metadata/properties" ma:root="true" ma:fieldsID="e8e4805b8cc2face6d425e188d9577e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858627f-d058-4b92-9b52-677b5fd7d454"/>
    <xsd:import namespace="a438dd15-07ca-4cdc-82a3-f2206b92025e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Location" minOccurs="0"/>
                <xsd:element ref="ns5:_dlc_DocId" minOccurs="0"/>
                <xsd:element ref="ns5:_dlc_DocIdUrl" minOccurs="0"/>
                <xsd:element ref="ns5:_dlc_DocIdPersistId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359E3-8AB8-45A4-A7CB-34B767B51B78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5858627f-d058-4b92-9b52-677b5fd7d454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E3186314-A462-4811-B613-4A6DEA72FAD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EDE9263-EA01-43E3-868F-018FC2FAA90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5B6BF64-5C49-400D-9BF5-0D2B3C5F23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5A3F18-9DFD-41CA-B0FC-B64E0A81966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7ACB0B-F15A-4CB1-9045-F55BC16B7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5858627f-d058-4b92-9b52-677b5fd7d454"/>
    <ds:schemaRef ds:uri="a438dd15-07ca-4cdc-82a3-f2206b920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2607</Words>
  <Characters>14863</Characters>
  <Application>Microsoft Office Word</Application>
  <DocSecurity>0</DocSecurity>
  <Lines>123</Lines>
  <Paragraphs>34</Paragraphs>
  <ScaleCrop>false</ScaleCrop>
  <Manager/>
  <Company/>
  <LinksUpToDate>false</LinksUpToDate>
  <CharactersWithSpaces>17436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Stevens</dc:creator>
  <cp:keywords/>
  <dc:description/>
  <cp:lastModifiedBy>Briony Stevens</cp:lastModifiedBy>
  <cp:revision>3</cp:revision>
  <cp:lastPrinted>2019-12-02T14:13:00Z</cp:lastPrinted>
  <dcterms:created xsi:type="dcterms:W3CDTF">2020-10-19T11:13:00Z</dcterms:created>
  <dcterms:modified xsi:type="dcterms:W3CDTF">2020-10-19T11:16:00Z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0x0101009BA85F8052A6DA4FA3E31FF9F74C6970006192CA8317E1FF49B6A7FEB870A3A8D6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_dlc_DocIdItemGuid">
    <vt:lpwstr>14fdc2dd-1631-4484-9acd-8ce48c40146f</vt:lpwstr>
  </property>
  <property fmtid="{D5CDD505-2E9C-101B-9397-08002B2CF9AE}" pid="5" name="TaxKeyword">
    <vt:lpwstr/>
  </property>
  <property fmtid="{D5CDD505-2E9C-101B-9397-08002B2CF9AE}" pid="6" name="Topic">
    <vt:lpwstr/>
  </property>
  <property fmtid="{D5CDD505-2E9C-101B-9397-08002B2CF9AE}" pid="7" name="DocumentType">
    <vt:lpwstr/>
  </property>
  <property fmtid="{D5CDD505-2E9C-101B-9397-08002B2CF9AE}" pid="8" name="GeographicScope">
    <vt:lpwstr/>
  </property>
</Properties>
</file>