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026" w:rsidRPr="0069001D" w:rsidRDefault="00313026" w:rsidP="00313026">
      <w:pPr>
        <w:spacing w:after="160" w:line="259" w:lineRule="auto"/>
        <w:jc w:val="center"/>
        <w:rPr>
          <w:lang w:val="fr-FR"/>
        </w:rPr>
      </w:pPr>
      <w:r w:rsidRPr="0069001D">
        <w:rPr>
          <w:lang w:val="fr-FR"/>
        </w:rPr>
        <w:t xml:space="preserve">Atelier </w:t>
      </w:r>
      <w:r>
        <w:rPr>
          <w:lang w:val="fr-FR"/>
        </w:rPr>
        <w:t xml:space="preserve">de </w:t>
      </w:r>
      <w:r w:rsidRPr="0069001D">
        <w:rPr>
          <w:lang w:val="fr-FR"/>
        </w:rPr>
        <w:t xml:space="preserve">Programmes réactifs </w:t>
      </w:r>
      <w:r>
        <w:rPr>
          <w:lang w:val="fr-FR"/>
        </w:rPr>
        <w:t>au genre et à la VBG dans les</w:t>
      </w:r>
      <w:r w:rsidRPr="0069001D">
        <w:rPr>
          <w:lang w:val="fr-FR"/>
        </w:rPr>
        <w:t xml:space="preserve"> situations d’urgence</w:t>
      </w:r>
    </w:p>
    <w:p w:rsidR="00614E5C" w:rsidRPr="0069001D" w:rsidRDefault="0069001D" w:rsidP="006C44B2">
      <w:pPr>
        <w:spacing w:after="160" w:line="259" w:lineRule="auto"/>
        <w:ind w:right="3"/>
        <w:jc w:val="center"/>
        <w:rPr>
          <w:lang w:val="fr-FR"/>
        </w:rPr>
      </w:pPr>
      <w:bookmarkStart w:id="0" w:name="_GoBack"/>
      <w:bookmarkEnd w:id="0"/>
      <w:proofErr w:type="spellStart"/>
      <w:r>
        <w:rPr>
          <w:lang w:val="fr-FR"/>
        </w:rPr>
        <w:t>Pre</w:t>
      </w:r>
      <w:proofErr w:type="spellEnd"/>
      <w:r>
        <w:rPr>
          <w:lang w:val="fr-FR"/>
        </w:rPr>
        <w:t xml:space="preserve"> et post test</w:t>
      </w:r>
      <w:r w:rsidR="003719D7" w:rsidRPr="0069001D">
        <w:rPr>
          <w:lang w:val="fr-FR"/>
        </w:rPr>
        <w:t xml:space="preserve"> </w:t>
      </w:r>
    </w:p>
    <w:p w:rsidR="00614E5C" w:rsidRPr="0069001D" w:rsidRDefault="00A84AEE">
      <w:pPr>
        <w:spacing w:after="173"/>
        <w:ind w:left="10"/>
        <w:rPr>
          <w:lang w:val="fr-FR"/>
        </w:rPr>
      </w:pPr>
      <w:r>
        <w:rPr>
          <w:lang w:val="fr-FR"/>
        </w:rPr>
        <w:t>La d</w:t>
      </w:r>
      <w:r w:rsidR="003719D7" w:rsidRPr="0069001D">
        <w:rPr>
          <w:lang w:val="fr-FR"/>
        </w:rPr>
        <w:t xml:space="preserve">ate: _________ </w:t>
      </w:r>
    </w:p>
    <w:p w:rsidR="00614E5C" w:rsidRPr="003738D3" w:rsidRDefault="003719D7">
      <w:pPr>
        <w:spacing w:after="136"/>
        <w:ind w:left="10"/>
        <w:rPr>
          <w:lang w:val="fr-FR"/>
        </w:rPr>
      </w:pPr>
      <w:r>
        <w:rPr>
          <w:rFonts w:ascii="Segoe UI Symbol" w:eastAsia="Segoe UI Symbol" w:hAnsi="Segoe UI Symbol" w:cs="Segoe UI Symbol"/>
        </w:rPr>
        <w:t></w:t>
      </w:r>
      <w:r w:rsidRPr="003738D3">
        <w:rPr>
          <w:lang w:val="fr-FR"/>
        </w:rPr>
        <w:t xml:space="preserve"> </w:t>
      </w:r>
      <w:proofErr w:type="spellStart"/>
      <w:r w:rsidRPr="003738D3">
        <w:rPr>
          <w:lang w:val="fr-FR"/>
        </w:rPr>
        <w:t>Pre</w:t>
      </w:r>
      <w:proofErr w:type="spellEnd"/>
      <w:r w:rsidRPr="003738D3">
        <w:rPr>
          <w:lang w:val="fr-FR"/>
        </w:rPr>
        <w:t xml:space="preserve"> Test   </w:t>
      </w:r>
      <w:r>
        <w:rPr>
          <w:rFonts w:ascii="Segoe UI Symbol" w:eastAsia="Segoe UI Symbol" w:hAnsi="Segoe UI Symbol" w:cs="Segoe UI Symbol"/>
        </w:rPr>
        <w:t></w:t>
      </w:r>
      <w:r w:rsidRPr="003738D3">
        <w:rPr>
          <w:lang w:val="fr-FR"/>
        </w:rPr>
        <w:t xml:space="preserve"> Post Test </w:t>
      </w:r>
    </w:p>
    <w:p w:rsidR="0069001D" w:rsidRPr="0069001D" w:rsidRDefault="0069001D">
      <w:pPr>
        <w:spacing w:after="192"/>
        <w:ind w:left="10"/>
        <w:rPr>
          <w:lang w:val="fr-FR"/>
        </w:rPr>
      </w:pPr>
      <w:r w:rsidRPr="0069001D">
        <w:rPr>
          <w:lang w:val="fr-FR"/>
        </w:rPr>
        <w:t xml:space="preserve">Répondez </w:t>
      </w:r>
      <w:r w:rsidR="00AA6708">
        <w:rPr>
          <w:lang w:val="fr-FR"/>
        </w:rPr>
        <w:t>aux</w:t>
      </w:r>
      <w:r w:rsidRPr="0069001D">
        <w:rPr>
          <w:lang w:val="fr-FR"/>
        </w:rPr>
        <w:t xml:space="preserve"> questions suivantes </w:t>
      </w:r>
      <w:r>
        <w:rPr>
          <w:lang w:val="fr-FR"/>
        </w:rPr>
        <w:t>aux mieux de vos connaissances</w:t>
      </w:r>
      <w:r w:rsidRPr="0069001D">
        <w:rPr>
          <w:lang w:val="fr-FR"/>
        </w:rPr>
        <w:t xml:space="preserve">. </w:t>
      </w:r>
      <w:r>
        <w:rPr>
          <w:lang w:val="fr-FR"/>
        </w:rPr>
        <w:t xml:space="preserve">Il y a qu’une seule réponse pour les questions à choix multiple. </w:t>
      </w:r>
    </w:p>
    <w:p w:rsidR="00614E5C" w:rsidRPr="0069001D" w:rsidRDefault="0069001D">
      <w:pPr>
        <w:numPr>
          <w:ilvl w:val="0"/>
          <w:numId w:val="1"/>
        </w:numPr>
        <w:ind w:hanging="360"/>
        <w:rPr>
          <w:lang w:val="fr-FR"/>
        </w:rPr>
      </w:pPr>
      <w:r w:rsidRPr="0069001D">
        <w:rPr>
          <w:lang w:val="fr-FR"/>
        </w:rPr>
        <w:t>La violence bas</w:t>
      </w:r>
      <w:r>
        <w:rPr>
          <w:lang w:val="fr-FR"/>
        </w:rPr>
        <w:t>ée sur le genre est :</w:t>
      </w:r>
    </w:p>
    <w:p w:rsidR="00614E5C" w:rsidRPr="0069001D" w:rsidRDefault="0069001D">
      <w:pPr>
        <w:numPr>
          <w:ilvl w:val="1"/>
          <w:numId w:val="1"/>
        </w:numPr>
        <w:ind w:hanging="360"/>
        <w:rPr>
          <w:lang w:val="fr-FR"/>
        </w:rPr>
      </w:pPr>
      <w:r w:rsidRPr="0069001D">
        <w:rPr>
          <w:lang w:val="fr-FR"/>
        </w:rPr>
        <w:t>La violence contre les femmes</w:t>
      </w:r>
    </w:p>
    <w:p w:rsidR="00614E5C" w:rsidRPr="0069001D" w:rsidRDefault="0069001D">
      <w:pPr>
        <w:numPr>
          <w:ilvl w:val="1"/>
          <w:numId w:val="1"/>
        </w:numPr>
        <w:ind w:hanging="360"/>
        <w:rPr>
          <w:lang w:val="fr-FR"/>
        </w:rPr>
      </w:pPr>
      <w:r w:rsidRPr="0069001D">
        <w:rPr>
          <w:lang w:val="fr-FR"/>
        </w:rPr>
        <w:t xml:space="preserve">Le viol et </w:t>
      </w:r>
      <w:r>
        <w:rPr>
          <w:lang w:val="fr-FR"/>
        </w:rPr>
        <w:t xml:space="preserve">l’agression sexuelle </w:t>
      </w:r>
    </w:p>
    <w:p w:rsidR="0069001D" w:rsidRPr="0069001D" w:rsidRDefault="0069001D">
      <w:pPr>
        <w:numPr>
          <w:ilvl w:val="1"/>
          <w:numId w:val="1"/>
        </w:numPr>
        <w:ind w:hanging="360"/>
        <w:rPr>
          <w:lang w:val="fr-FR"/>
        </w:rPr>
      </w:pPr>
      <w:r w:rsidRPr="0069001D">
        <w:rPr>
          <w:lang w:val="fr-FR"/>
        </w:rPr>
        <w:t>La violence basée sur les diff</w:t>
      </w:r>
      <w:r>
        <w:rPr>
          <w:lang w:val="fr-FR"/>
        </w:rPr>
        <w:t>érences socialement construites entre les hommes et les femmes</w:t>
      </w:r>
    </w:p>
    <w:p w:rsidR="00614E5C" w:rsidRPr="0069001D" w:rsidRDefault="0069001D">
      <w:pPr>
        <w:numPr>
          <w:ilvl w:val="1"/>
          <w:numId w:val="1"/>
        </w:numPr>
        <w:spacing w:after="1"/>
        <w:ind w:hanging="360"/>
        <w:rPr>
          <w:lang w:val="fr-FR"/>
        </w:rPr>
      </w:pPr>
      <w:r w:rsidRPr="0069001D">
        <w:rPr>
          <w:lang w:val="fr-FR"/>
        </w:rPr>
        <w:t xml:space="preserve">La violence perpétrer par les partenaires intimes </w:t>
      </w:r>
    </w:p>
    <w:p w:rsidR="00614E5C" w:rsidRPr="0069001D" w:rsidRDefault="003719D7">
      <w:pPr>
        <w:spacing w:after="32" w:line="259" w:lineRule="auto"/>
        <w:ind w:left="1440" w:firstLine="0"/>
        <w:rPr>
          <w:lang w:val="fr-FR"/>
        </w:rPr>
      </w:pPr>
      <w:r w:rsidRPr="0069001D">
        <w:rPr>
          <w:lang w:val="fr-FR"/>
        </w:rPr>
        <w:t xml:space="preserve"> </w:t>
      </w:r>
    </w:p>
    <w:p w:rsidR="00614E5C" w:rsidRPr="0069001D" w:rsidRDefault="0069001D">
      <w:pPr>
        <w:numPr>
          <w:ilvl w:val="0"/>
          <w:numId w:val="1"/>
        </w:numPr>
        <w:spacing w:after="1"/>
        <w:ind w:hanging="360"/>
        <w:rPr>
          <w:lang w:val="fr-FR"/>
        </w:rPr>
      </w:pPr>
      <w:r w:rsidRPr="0069001D">
        <w:rPr>
          <w:lang w:val="fr-FR"/>
        </w:rPr>
        <w:t>Vr</w:t>
      </w:r>
      <w:r>
        <w:rPr>
          <w:lang w:val="fr-FR"/>
        </w:rPr>
        <w:t xml:space="preserve">ai ou faux </w:t>
      </w:r>
    </w:p>
    <w:p w:rsidR="00F52EFD" w:rsidRPr="0069001D" w:rsidRDefault="0069001D">
      <w:pPr>
        <w:spacing w:after="1"/>
        <w:ind w:left="730"/>
        <w:rPr>
          <w:lang w:val="fr-FR"/>
        </w:rPr>
      </w:pPr>
      <w:r w:rsidRPr="0069001D">
        <w:rPr>
          <w:lang w:val="fr-FR"/>
        </w:rPr>
        <w:t xml:space="preserve">Les normes </w:t>
      </w:r>
      <w:r w:rsidR="00F52EFD" w:rsidRPr="0069001D">
        <w:rPr>
          <w:lang w:val="fr-FR"/>
        </w:rPr>
        <w:t>sociales</w:t>
      </w:r>
      <w:r w:rsidR="00F52EFD">
        <w:rPr>
          <w:lang w:val="fr-FR"/>
        </w:rPr>
        <w:t xml:space="preserve"> liées au</w:t>
      </w:r>
      <w:r w:rsidRPr="0069001D">
        <w:rPr>
          <w:lang w:val="fr-FR"/>
        </w:rPr>
        <w:t xml:space="preserve"> genre sont </w:t>
      </w:r>
      <w:r w:rsidR="00F52EFD">
        <w:rPr>
          <w:lang w:val="fr-FR"/>
        </w:rPr>
        <w:t>préjudiciables au façonnement des pratiques alimentaires et nutritionnelles et les dynamiques de genre/pouvoir dans le ménage ont des conséquences considérables sur l’efficacité des interventions de nutrition et l’utilisation des services. ________</w:t>
      </w:r>
    </w:p>
    <w:p w:rsidR="00614E5C" w:rsidRPr="0069001D" w:rsidRDefault="003719D7">
      <w:pPr>
        <w:spacing w:after="32" w:line="259" w:lineRule="auto"/>
        <w:ind w:left="720" w:firstLine="0"/>
        <w:rPr>
          <w:lang w:val="fr-FR"/>
        </w:rPr>
      </w:pPr>
      <w:r w:rsidRPr="0069001D">
        <w:rPr>
          <w:lang w:val="fr-FR"/>
        </w:rPr>
        <w:t xml:space="preserve"> </w:t>
      </w:r>
    </w:p>
    <w:p w:rsidR="00F52EFD" w:rsidRPr="0069001D" w:rsidRDefault="00F52EFD" w:rsidP="00F52EFD">
      <w:pPr>
        <w:numPr>
          <w:ilvl w:val="0"/>
          <w:numId w:val="1"/>
        </w:numPr>
        <w:spacing w:after="1"/>
        <w:ind w:hanging="360"/>
        <w:rPr>
          <w:lang w:val="fr-FR"/>
        </w:rPr>
      </w:pPr>
      <w:r w:rsidRPr="0069001D">
        <w:rPr>
          <w:lang w:val="fr-FR"/>
        </w:rPr>
        <w:t>Vr</w:t>
      </w:r>
      <w:r>
        <w:rPr>
          <w:lang w:val="fr-FR"/>
        </w:rPr>
        <w:t xml:space="preserve">ai ou faux </w:t>
      </w:r>
    </w:p>
    <w:p w:rsidR="00F52EFD" w:rsidRPr="00F52EFD" w:rsidRDefault="00F52EFD">
      <w:pPr>
        <w:spacing w:after="1"/>
        <w:ind w:left="730"/>
        <w:rPr>
          <w:lang w:val="fr-FR"/>
        </w:rPr>
      </w:pPr>
      <w:r w:rsidRPr="00F52EFD">
        <w:rPr>
          <w:lang w:val="fr-FR"/>
        </w:rPr>
        <w:t xml:space="preserve">L’intégration de la VBG dans les programmes de nutrition signifie que les acteurs de nutrition devraient </w:t>
      </w:r>
      <w:r>
        <w:rPr>
          <w:lang w:val="fr-FR"/>
        </w:rPr>
        <w:t>embaucher un spécialiste de VBG et développer des interventions spécifiques pour les survivant(e)s de la VBG.</w:t>
      </w:r>
      <w:r w:rsidR="00E90969">
        <w:rPr>
          <w:lang w:val="fr-FR"/>
        </w:rPr>
        <w:t xml:space="preserve"> _________</w:t>
      </w:r>
    </w:p>
    <w:p w:rsidR="00614E5C" w:rsidRPr="00F52EFD" w:rsidRDefault="003719D7">
      <w:pPr>
        <w:spacing w:after="33" w:line="259" w:lineRule="auto"/>
        <w:ind w:left="720" w:firstLine="0"/>
        <w:rPr>
          <w:lang w:val="fr-FR"/>
        </w:rPr>
      </w:pPr>
      <w:r w:rsidRPr="00F52EFD">
        <w:rPr>
          <w:lang w:val="fr-FR"/>
        </w:rPr>
        <w:t xml:space="preserve"> </w:t>
      </w:r>
    </w:p>
    <w:p w:rsidR="00614E5C" w:rsidRPr="006C44B2" w:rsidRDefault="006C44B2">
      <w:pPr>
        <w:numPr>
          <w:ilvl w:val="0"/>
          <w:numId w:val="1"/>
        </w:numPr>
        <w:ind w:hanging="360"/>
        <w:rPr>
          <w:lang w:val="fr-FR"/>
        </w:rPr>
      </w:pPr>
      <w:r w:rsidRPr="006C44B2">
        <w:rPr>
          <w:lang w:val="fr-FR"/>
        </w:rPr>
        <w:t xml:space="preserve">L’objectif de l’intégration du genre et de la </w:t>
      </w:r>
      <w:r>
        <w:rPr>
          <w:lang w:val="fr-FR"/>
        </w:rPr>
        <w:t>VBG est de :</w:t>
      </w:r>
    </w:p>
    <w:p w:rsidR="006E3CB4" w:rsidRDefault="006E3CB4" w:rsidP="006E3CB4">
      <w:pPr>
        <w:numPr>
          <w:ilvl w:val="1"/>
          <w:numId w:val="1"/>
        </w:numPr>
        <w:ind w:hanging="360"/>
        <w:rPr>
          <w:lang w:val="fr-FR"/>
        </w:rPr>
      </w:pPr>
      <w:r w:rsidRPr="006E3CB4">
        <w:rPr>
          <w:lang w:val="fr-FR"/>
        </w:rPr>
        <w:t xml:space="preserve">Achever efficacement tous les segments de la population affectée par les interventions de nutrition. </w:t>
      </w:r>
    </w:p>
    <w:p w:rsidR="00614E5C" w:rsidRPr="006E3CB4" w:rsidRDefault="006C44B2" w:rsidP="006E3CB4">
      <w:pPr>
        <w:numPr>
          <w:ilvl w:val="1"/>
          <w:numId w:val="1"/>
        </w:numPr>
        <w:ind w:hanging="360"/>
        <w:rPr>
          <w:lang w:val="fr-FR"/>
        </w:rPr>
      </w:pPr>
      <w:r w:rsidRPr="006E3CB4">
        <w:rPr>
          <w:lang w:val="fr-FR"/>
        </w:rPr>
        <w:t xml:space="preserve">Mieux répondre aux besoins différents des femmes, des hommes, des filles et des garçons. </w:t>
      </w:r>
      <w:r w:rsidR="003719D7" w:rsidRPr="006E3CB4">
        <w:rPr>
          <w:lang w:val="fr-FR"/>
        </w:rPr>
        <w:t xml:space="preserve"> </w:t>
      </w:r>
    </w:p>
    <w:p w:rsidR="00614E5C" w:rsidRPr="006E3CB4" w:rsidRDefault="006E3CB4">
      <w:pPr>
        <w:numPr>
          <w:ilvl w:val="1"/>
          <w:numId w:val="1"/>
        </w:numPr>
        <w:ind w:hanging="360"/>
        <w:rPr>
          <w:lang w:val="fr-FR"/>
        </w:rPr>
      </w:pPr>
      <w:r w:rsidRPr="006E3CB4">
        <w:rPr>
          <w:lang w:val="fr-FR"/>
        </w:rPr>
        <w:t xml:space="preserve">Promouvoir </w:t>
      </w:r>
      <w:r w:rsidRPr="00B413F7">
        <w:rPr>
          <w:rFonts w:eastAsia="MS Mincho" w:cstheme="minorHAnsi"/>
          <w:bCs/>
          <w:lang w:val="fr-FR"/>
        </w:rPr>
        <w:t>la sécurité des femmes, des filles et des groupes à risque et atténuer les risques de la VBG qui sont liés aux programmes de nutrition.</w:t>
      </w:r>
    </w:p>
    <w:p w:rsidR="00614E5C" w:rsidRPr="006E3CB4" w:rsidRDefault="006E3CB4">
      <w:pPr>
        <w:numPr>
          <w:ilvl w:val="1"/>
          <w:numId w:val="1"/>
        </w:numPr>
        <w:ind w:hanging="360"/>
        <w:rPr>
          <w:lang w:val="fr-FR"/>
        </w:rPr>
      </w:pPr>
      <w:r w:rsidRPr="006E3CB4">
        <w:rPr>
          <w:lang w:val="fr-FR"/>
        </w:rPr>
        <w:t>Aucune de ces réponses</w:t>
      </w:r>
    </w:p>
    <w:p w:rsidR="00614E5C" w:rsidRPr="00E90969" w:rsidRDefault="006E3CB4">
      <w:pPr>
        <w:numPr>
          <w:ilvl w:val="1"/>
          <w:numId w:val="1"/>
        </w:numPr>
        <w:spacing w:after="1"/>
        <w:ind w:hanging="360"/>
        <w:rPr>
          <w:lang w:val="fr-FR"/>
        </w:rPr>
      </w:pPr>
      <w:r w:rsidRPr="00E90969">
        <w:rPr>
          <w:lang w:val="fr-FR"/>
        </w:rPr>
        <w:t xml:space="preserve">Tout ce qui </w:t>
      </w:r>
      <w:r w:rsidR="00E90969" w:rsidRPr="00E90969">
        <w:rPr>
          <w:lang w:val="fr-FR"/>
        </w:rPr>
        <w:t>précède</w:t>
      </w:r>
      <w:r w:rsidRPr="00E90969">
        <w:rPr>
          <w:lang w:val="fr-FR"/>
        </w:rPr>
        <w:t xml:space="preserve"> </w:t>
      </w:r>
    </w:p>
    <w:p w:rsidR="00614E5C" w:rsidRDefault="003719D7">
      <w:pPr>
        <w:spacing w:after="32" w:line="259" w:lineRule="auto"/>
        <w:ind w:left="1440" w:firstLine="0"/>
      </w:pPr>
      <w:r>
        <w:t xml:space="preserve"> </w:t>
      </w:r>
    </w:p>
    <w:p w:rsidR="00614E5C" w:rsidRPr="00A36303" w:rsidRDefault="006E3CB4">
      <w:pPr>
        <w:numPr>
          <w:ilvl w:val="0"/>
          <w:numId w:val="1"/>
        </w:numPr>
        <w:spacing w:after="1"/>
        <w:ind w:hanging="360"/>
        <w:rPr>
          <w:lang w:val="fr-FR"/>
        </w:rPr>
      </w:pPr>
      <w:r w:rsidRPr="00A36303">
        <w:rPr>
          <w:lang w:val="fr-FR"/>
        </w:rPr>
        <w:t>Vrai ou faux</w:t>
      </w:r>
    </w:p>
    <w:p w:rsidR="006E3CB4" w:rsidRPr="006E3CB4" w:rsidRDefault="006E3CB4">
      <w:pPr>
        <w:spacing w:after="1"/>
        <w:ind w:left="730"/>
        <w:rPr>
          <w:lang w:val="fr-FR"/>
        </w:rPr>
      </w:pPr>
      <w:r w:rsidRPr="006E3CB4">
        <w:rPr>
          <w:lang w:val="fr-FR"/>
        </w:rPr>
        <w:t>La programmation de la nutrition r</w:t>
      </w:r>
      <w:r>
        <w:rPr>
          <w:lang w:val="fr-FR"/>
        </w:rPr>
        <w:t>éactive au genre et à la VBG ne doit être abordée qu’à l’étape de la mise en œuvre du cycle du projet. ___________</w:t>
      </w:r>
    </w:p>
    <w:p w:rsidR="00614E5C" w:rsidRPr="006E3CB4" w:rsidRDefault="003719D7">
      <w:pPr>
        <w:spacing w:after="33" w:line="259" w:lineRule="auto"/>
        <w:ind w:left="720" w:firstLine="0"/>
        <w:rPr>
          <w:lang w:val="fr-FR"/>
        </w:rPr>
      </w:pPr>
      <w:r w:rsidRPr="006E3CB4">
        <w:rPr>
          <w:lang w:val="fr-FR"/>
        </w:rPr>
        <w:t xml:space="preserve"> </w:t>
      </w:r>
    </w:p>
    <w:p w:rsidR="00614E5C" w:rsidRPr="0031249C" w:rsidRDefault="0031249C">
      <w:pPr>
        <w:numPr>
          <w:ilvl w:val="0"/>
          <w:numId w:val="1"/>
        </w:numPr>
        <w:ind w:hanging="360"/>
        <w:rPr>
          <w:lang w:val="fr-FR"/>
        </w:rPr>
      </w:pPr>
      <w:r w:rsidRPr="0031249C">
        <w:rPr>
          <w:lang w:val="fr-FR"/>
        </w:rPr>
        <w:lastRenderedPageBreak/>
        <w:t>Faire une évaluation de risque et une analyse des programmes de nutrition veut dire :</w:t>
      </w:r>
    </w:p>
    <w:p w:rsidR="00614E5C" w:rsidRPr="00E90969" w:rsidRDefault="0031249C">
      <w:pPr>
        <w:numPr>
          <w:ilvl w:val="1"/>
          <w:numId w:val="1"/>
        </w:numPr>
        <w:ind w:hanging="360"/>
        <w:rPr>
          <w:lang w:val="fr-FR"/>
        </w:rPr>
      </w:pPr>
      <w:r w:rsidRPr="00E90969">
        <w:rPr>
          <w:lang w:val="fr-FR"/>
        </w:rPr>
        <w:t xml:space="preserve">Évaluer </w:t>
      </w:r>
      <w:r w:rsidR="00E90969" w:rsidRPr="00E90969">
        <w:rPr>
          <w:lang w:val="fr-FR"/>
        </w:rPr>
        <w:t>la prévalence de la VBG dans la population affect</w:t>
      </w:r>
      <w:r w:rsidR="00E90969">
        <w:rPr>
          <w:lang w:val="fr-FR"/>
        </w:rPr>
        <w:t xml:space="preserve">ée </w:t>
      </w:r>
    </w:p>
    <w:p w:rsidR="00614E5C" w:rsidRPr="00E90969" w:rsidRDefault="00E90969">
      <w:pPr>
        <w:numPr>
          <w:ilvl w:val="1"/>
          <w:numId w:val="1"/>
        </w:numPr>
        <w:ind w:hanging="360"/>
        <w:rPr>
          <w:lang w:val="fr-FR"/>
        </w:rPr>
      </w:pPr>
      <w:r w:rsidRPr="00E90969">
        <w:rPr>
          <w:lang w:val="fr-FR"/>
        </w:rPr>
        <w:t xml:space="preserve">Explorer quand, pourquoi, et comment les questions de sécurité liées à la </w:t>
      </w:r>
      <w:r>
        <w:rPr>
          <w:lang w:val="fr-FR"/>
        </w:rPr>
        <w:t xml:space="preserve">VBG peuvent se produire, particulièrement à cause de la </w:t>
      </w:r>
      <w:r w:rsidR="003738D3">
        <w:rPr>
          <w:lang w:val="fr-FR"/>
        </w:rPr>
        <w:t>prestation</w:t>
      </w:r>
      <w:r>
        <w:rPr>
          <w:lang w:val="fr-FR"/>
        </w:rPr>
        <w:t xml:space="preserve"> et utilisation des services de nutrition</w:t>
      </w:r>
    </w:p>
    <w:p w:rsidR="00614E5C" w:rsidRPr="00E90969" w:rsidRDefault="00E90969">
      <w:pPr>
        <w:numPr>
          <w:ilvl w:val="1"/>
          <w:numId w:val="1"/>
        </w:numPr>
        <w:ind w:hanging="360"/>
        <w:rPr>
          <w:lang w:val="fr-FR"/>
        </w:rPr>
      </w:pPr>
      <w:r w:rsidRPr="00E90969">
        <w:rPr>
          <w:lang w:val="fr-FR"/>
        </w:rPr>
        <w:t>Évaluer le statut nutritionnel des survivant(e)</w:t>
      </w:r>
      <w:r>
        <w:rPr>
          <w:lang w:val="fr-FR"/>
        </w:rPr>
        <w:t>s de la VBG</w:t>
      </w:r>
    </w:p>
    <w:p w:rsidR="00614E5C" w:rsidRPr="00A36303" w:rsidRDefault="00E90969" w:rsidP="00A36303">
      <w:pPr>
        <w:numPr>
          <w:ilvl w:val="1"/>
          <w:numId w:val="1"/>
        </w:numPr>
        <w:ind w:hanging="360"/>
        <w:rPr>
          <w:lang w:val="fr-FR"/>
        </w:rPr>
      </w:pPr>
      <w:r w:rsidRPr="006E3CB4">
        <w:rPr>
          <w:lang w:val="fr-FR"/>
        </w:rPr>
        <w:t>Aucune de ces réponses</w:t>
      </w:r>
      <w:r w:rsidR="003719D7" w:rsidRPr="00A36303">
        <w:rPr>
          <w:lang w:val="fr-FR"/>
        </w:rPr>
        <w:t xml:space="preserve"> </w:t>
      </w:r>
    </w:p>
    <w:p w:rsidR="00614E5C" w:rsidRPr="00E90969" w:rsidRDefault="00E90969">
      <w:pPr>
        <w:numPr>
          <w:ilvl w:val="0"/>
          <w:numId w:val="1"/>
        </w:numPr>
        <w:spacing w:after="1"/>
        <w:ind w:hanging="360"/>
        <w:rPr>
          <w:lang w:val="fr-FR"/>
        </w:rPr>
      </w:pPr>
      <w:r>
        <w:rPr>
          <w:lang w:val="fr-FR"/>
        </w:rPr>
        <w:t xml:space="preserve">Vrai </w:t>
      </w:r>
      <w:r w:rsidRPr="00E90969">
        <w:rPr>
          <w:lang w:val="fr-FR"/>
        </w:rPr>
        <w:t xml:space="preserve">ou faux </w:t>
      </w:r>
    </w:p>
    <w:p w:rsidR="00E90969" w:rsidRPr="00E90969" w:rsidRDefault="00E90969">
      <w:pPr>
        <w:spacing w:after="1"/>
        <w:ind w:left="730"/>
        <w:rPr>
          <w:lang w:val="fr-FR"/>
        </w:rPr>
      </w:pPr>
      <w:r w:rsidRPr="00E90969">
        <w:rPr>
          <w:lang w:val="fr-FR"/>
        </w:rPr>
        <w:t xml:space="preserve">Les données ventilées par sexe et par </w:t>
      </w:r>
      <w:r>
        <w:rPr>
          <w:lang w:val="fr-FR"/>
        </w:rPr>
        <w:t>âge révèlent quels groupes de population sont plus vulnérables aux questions de nutrition et ont moins d’accès aux services de nutrition. ________</w:t>
      </w:r>
    </w:p>
    <w:p w:rsidR="00614E5C" w:rsidRPr="00E90969" w:rsidRDefault="003719D7">
      <w:pPr>
        <w:spacing w:after="34" w:line="259" w:lineRule="auto"/>
        <w:ind w:left="720" w:firstLine="0"/>
        <w:rPr>
          <w:lang w:val="fr-FR"/>
        </w:rPr>
      </w:pPr>
      <w:r w:rsidRPr="00E90969">
        <w:rPr>
          <w:lang w:val="fr-FR"/>
        </w:rPr>
        <w:t xml:space="preserve"> </w:t>
      </w:r>
    </w:p>
    <w:p w:rsidR="00614E5C" w:rsidRPr="00E90969" w:rsidRDefault="00E90969">
      <w:pPr>
        <w:numPr>
          <w:ilvl w:val="0"/>
          <w:numId w:val="1"/>
        </w:numPr>
        <w:ind w:hanging="360"/>
        <w:rPr>
          <w:lang w:val="fr-FR"/>
        </w:rPr>
      </w:pPr>
      <w:r w:rsidRPr="00E90969">
        <w:rPr>
          <w:lang w:val="fr-FR"/>
        </w:rPr>
        <w:t xml:space="preserve">L’utilisation des marqueurs du genre dans les projets de nutrition </w:t>
      </w:r>
      <w:r>
        <w:rPr>
          <w:lang w:val="fr-FR"/>
        </w:rPr>
        <w:t xml:space="preserve">garantit tous les points suivants, </w:t>
      </w:r>
      <w:r>
        <w:rPr>
          <w:b/>
          <w:u w:val="single"/>
          <w:lang w:val="fr-FR"/>
        </w:rPr>
        <w:t>sauf</w:t>
      </w:r>
      <w:r>
        <w:rPr>
          <w:lang w:val="fr-FR"/>
        </w:rPr>
        <w:t> :</w:t>
      </w:r>
      <w:r w:rsidRPr="00E90969">
        <w:rPr>
          <w:lang w:val="fr-FR"/>
        </w:rPr>
        <w:t xml:space="preserve"> </w:t>
      </w:r>
    </w:p>
    <w:p w:rsidR="00614E5C" w:rsidRPr="00E90969" w:rsidRDefault="00E90969">
      <w:pPr>
        <w:numPr>
          <w:ilvl w:val="1"/>
          <w:numId w:val="1"/>
        </w:numPr>
        <w:ind w:hanging="360"/>
        <w:rPr>
          <w:lang w:val="fr-FR"/>
        </w:rPr>
      </w:pPr>
      <w:r w:rsidRPr="00E90969">
        <w:rPr>
          <w:lang w:val="fr-FR"/>
        </w:rPr>
        <w:t xml:space="preserve">L’analyse de l’impact de la crise aux femmes, aux filles, aux hommes et aux garçons </w:t>
      </w:r>
    </w:p>
    <w:p w:rsidR="00614E5C" w:rsidRPr="00E90969" w:rsidRDefault="00E90969">
      <w:pPr>
        <w:numPr>
          <w:ilvl w:val="1"/>
          <w:numId w:val="1"/>
        </w:numPr>
        <w:ind w:hanging="360"/>
        <w:rPr>
          <w:lang w:val="fr-FR"/>
        </w:rPr>
      </w:pPr>
      <w:r w:rsidRPr="00E90969">
        <w:rPr>
          <w:lang w:val="fr-FR"/>
        </w:rPr>
        <w:t xml:space="preserve">Le </w:t>
      </w:r>
      <w:r>
        <w:rPr>
          <w:lang w:val="fr-FR"/>
        </w:rPr>
        <w:t>développement</w:t>
      </w:r>
      <w:r w:rsidRPr="00E90969">
        <w:rPr>
          <w:lang w:val="fr-FR"/>
        </w:rPr>
        <w:t xml:space="preserve"> des interventions spécifiques pour </w:t>
      </w:r>
      <w:r w:rsidR="003F2B94">
        <w:rPr>
          <w:lang w:val="fr-FR"/>
        </w:rPr>
        <w:t xml:space="preserve">répondre aux </w:t>
      </w:r>
      <w:r w:rsidRPr="00E90969">
        <w:rPr>
          <w:lang w:val="fr-FR"/>
        </w:rPr>
        <w:t>survivant(e)</w:t>
      </w:r>
      <w:r>
        <w:rPr>
          <w:lang w:val="fr-FR"/>
        </w:rPr>
        <w:t>s de VBG</w:t>
      </w:r>
    </w:p>
    <w:p w:rsidR="00614E5C" w:rsidRPr="003F2B94" w:rsidRDefault="003F2B94">
      <w:pPr>
        <w:numPr>
          <w:ilvl w:val="1"/>
          <w:numId w:val="1"/>
        </w:numPr>
        <w:ind w:hanging="360"/>
        <w:rPr>
          <w:lang w:val="fr-FR"/>
        </w:rPr>
      </w:pPr>
      <w:r w:rsidRPr="003F2B94">
        <w:rPr>
          <w:lang w:val="fr-FR"/>
        </w:rPr>
        <w:t>Les femmes et les hommes b</w:t>
      </w:r>
      <w:r>
        <w:rPr>
          <w:lang w:val="fr-FR"/>
        </w:rPr>
        <w:t xml:space="preserve">énéficient également de la formation ou du développement d’autres compétences </w:t>
      </w:r>
    </w:p>
    <w:p w:rsidR="00614E5C" w:rsidRPr="003F2B94" w:rsidRDefault="00181B5A">
      <w:pPr>
        <w:numPr>
          <w:ilvl w:val="1"/>
          <w:numId w:val="1"/>
        </w:numPr>
        <w:spacing w:after="1"/>
        <w:ind w:hanging="360"/>
        <w:rPr>
          <w:lang w:val="fr-FR"/>
        </w:rPr>
      </w:pPr>
      <w:r>
        <w:rPr>
          <w:lang w:val="fr-FR"/>
        </w:rPr>
        <w:t xml:space="preserve">Les </w:t>
      </w:r>
      <w:r w:rsidR="003F2B94" w:rsidRPr="003F2B94">
        <w:rPr>
          <w:lang w:val="fr-FR"/>
        </w:rPr>
        <w:t xml:space="preserve">mères et les pères sont </w:t>
      </w:r>
      <w:r w:rsidRPr="003F2B94">
        <w:rPr>
          <w:lang w:val="fr-FR"/>
        </w:rPr>
        <w:t>ciblé</w:t>
      </w:r>
      <w:r>
        <w:rPr>
          <w:lang w:val="fr-FR"/>
        </w:rPr>
        <w:t>s</w:t>
      </w:r>
      <w:r w:rsidR="003F2B94" w:rsidRPr="003F2B94">
        <w:rPr>
          <w:lang w:val="fr-FR"/>
        </w:rPr>
        <w:t xml:space="preserve"> également par les act</w:t>
      </w:r>
      <w:r>
        <w:rPr>
          <w:lang w:val="fr-FR"/>
        </w:rPr>
        <w:t xml:space="preserve">ivités d’éducation alimentaire </w:t>
      </w:r>
    </w:p>
    <w:p w:rsidR="00614E5C" w:rsidRPr="003F2B94" w:rsidRDefault="003719D7">
      <w:pPr>
        <w:spacing w:after="32" w:line="259" w:lineRule="auto"/>
        <w:ind w:left="1440" w:firstLine="0"/>
        <w:rPr>
          <w:lang w:val="fr-FR"/>
        </w:rPr>
      </w:pPr>
      <w:r w:rsidRPr="003F2B94">
        <w:rPr>
          <w:lang w:val="fr-FR"/>
        </w:rPr>
        <w:t xml:space="preserve"> </w:t>
      </w:r>
    </w:p>
    <w:p w:rsidR="00614E5C" w:rsidRPr="00181B5A" w:rsidRDefault="00181B5A">
      <w:pPr>
        <w:numPr>
          <w:ilvl w:val="0"/>
          <w:numId w:val="1"/>
        </w:numPr>
        <w:spacing w:after="1"/>
        <w:ind w:hanging="360"/>
        <w:rPr>
          <w:lang w:val="fr-FR"/>
        </w:rPr>
      </w:pPr>
      <w:r>
        <w:rPr>
          <w:lang w:val="fr-FR"/>
        </w:rPr>
        <w:t>Vrai</w:t>
      </w:r>
      <w:r w:rsidRPr="00181B5A">
        <w:rPr>
          <w:lang w:val="fr-FR"/>
        </w:rPr>
        <w:t xml:space="preserve"> ou faux</w:t>
      </w:r>
    </w:p>
    <w:p w:rsidR="00181B5A" w:rsidRPr="00181B5A" w:rsidRDefault="00181B5A">
      <w:pPr>
        <w:spacing w:after="0"/>
        <w:ind w:left="730"/>
        <w:rPr>
          <w:lang w:val="fr-FR"/>
        </w:rPr>
      </w:pPr>
      <w:r w:rsidRPr="00181B5A">
        <w:rPr>
          <w:lang w:val="fr-FR"/>
        </w:rPr>
        <w:t>Une des façons</w:t>
      </w:r>
      <w:r>
        <w:rPr>
          <w:lang w:val="fr-FR"/>
        </w:rPr>
        <w:t xml:space="preserve"> dont </w:t>
      </w:r>
      <w:r w:rsidRPr="00181B5A">
        <w:rPr>
          <w:lang w:val="fr-FR"/>
        </w:rPr>
        <w:t xml:space="preserve">adresser l’inégalité des genres et d’atténuer les risques de </w:t>
      </w:r>
      <w:r>
        <w:rPr>
          <w:lang w:val="fr-FR"/>
        </w:rPr>
        <w:t>la VBG dans la programmation de la nutrition est de renforcer la disponibilité, l’accessibilité, l’accessibilité et la qualité des services et programmes de nutrition. _________</w:t>
      </w:r>
    </w:p>
    <w:p w:rsidR="00614E5C" w:rsidRPr="00181B5A" w:rsidRDefault="003719D7">
      <w:pPr>
        <w:spacing w:after="35" w:line="259" w:lineRule="auto"/>
        <w:ind w:left="720" w:firstLine="0"/>
        <w:rPr>
          <w:lang w:val="fr-FR"/>
        </w:rPr>
      </w:pPr>
      <w:r w:rsidRPr="00181B5A">
        <w:rPr>
          <w:lang w:val="fr-FR"/>
        </w:rPr>
        <w:t xml:space="preserve"> </w:t>
      </w:r>
    </w:p>
    <w:p w:rsidR="00614E5C" w:rsidRPr="00181B5A" w:rsidRDefault="00181B5A">
      <w:pPr>
        <w:numPr>
          <w:ilvl w:val="0"/>
          <w:numId w:val="1"/>
        </w:numPr>
        <w:ind w:hanging="360"/>
        <w:rPr>
          <w:lang w:val="fr-FR"/>
        </w:rPr>
      </w:pPr>
      <w:r w:rsidRPr="00181B5A">
        <w:rPr>
          <w:lang w:val="fr-FR"/>
        </w:rPr>
        <w:t>Les principes clés de l’approche axée sur le/la survivant(e) comprennent :</w:t>
      </w:r>
    </w:p>
    <w:p w:rsidR="00614E5C" w:rsidRPr="00181B5A" w:rsidRDefault="00181B5A">
      <w:pPr>
        <w:numPr>
          <w:ilvl w:val="1"/>
          <w:numId w:val="1"/>
        </w:numPr>
        <w:ind w:hanging="360"/>
        <w:rPr>
          <w:lang w:val="fr-FR"/>
        </w:rPr>
      </w:pPr>
      <w:r w:rsidRPr="00181B5A">
        <w:rPr>
          <w:lang w:val="fr-FR"/>
        </w:rPr>
        <w:t>Le respect</w:t>
      </w:r>
      <w:r w:rsidRPr="00181B5A">
        <w:rPr>
          <w:lang w:val="fr-FR"/>
        </w:rPr>
        <w:tab/>
      </w:r>
    </w:p>
    <w:p w:rsidR="00614E5C" w:rsidRPr="00181B5A" w:rsidRDefault="00181B5A">
      <w:pPr>
        <w:numPr>
          <w:ilvl w:val="1"/>
          <w:numId w:val="1"/>
        </w:numPr>
        <w:ind w:hanging="360"/>
        <w:rPr>
          <w:lang w:val="fr-FR"/>
        </w:rPr>
      </w:pPr>
      <w:r w:rsidRPr="00181B5A">
        <w:rPr>
          <w:lang w:val="fr-FR"/>
        </w:rPr>
        <w:t>La sécurité</w:t>
      </w:r>
    </w:p>
    <w:p w:rsidR="00614E5C" w:rsidRPr="00181B5A" w:rsidRDefault="00181B5A">
      <w:pPr>
        <w:numPr>
          <w:ilvl w:val="1"/>
          <w:numId w:val="1"/>
        </w:numPr>
        <w:ind w:hanging="360"/>
        <w:rPr>
          <w:lang w:val="fr-FR"/>
        </w:rPr>
      </w:pPr>
      <w:r w:rsidRPr="00181B5A">
        <w:rPr>
          <w:lang w:val="fr-FR"/>
        </w:rPr>
        <w:t>La confidentialité</w:t>
      </w:r>
      <w:r w:rsidR="003719D7" w:rsidRPr="00181B5A">
        <w:rPr>
          <w:lang w:val="fr-FR"/>
        </w:rPr>
        <w:t xml:space="preserve"> </w:t>
      </w:r>
    </w:p>
    <w:p w:rsidR="00614E5C" w:rsidRPr="00181B5A" w:rsidRDefault="00181B5A">
      <w:pPr>
        <w:numPr>
          <w:ilvl w:val="1"/>
          <w:numId w:val="1"/>
        </w:numPr>
        <w:ind w:hanging="360"/>
        <w:rPr>
          <w:lang w:val="fr-FR"/>
        </w:rPr>
      </w:pPr>
      <w:r w:rsidRPr="00181B5A">
        <w:rPr>
          <w:lang w:val="fr-FR"/>
        </w:rPr>
        <w:t xml:space="preserve">La non-discrimination </w:t>
      </w:r>
    </w:p>
    <w:p w:rsidR="00181B5A" w:rsidRPr="00181B5A" w:rsidRDefault="00181B5A" w:rsidP="00181B5A">
      <w:pPr>
        <w:numPr>
          <w:ilvl w:val="1"/>
          <w:numId w:val="1"/>
        </w:numPr>
        <w:ind w:hanging="360"/>
        <w:rPr>
          <w:lang w:val="fr-FR"/>
        </w:rPr>
      </w:pPr>
      <w:r w:rsidRPr="00181B5A">
        <w:rPr>
          <w:lang w:val="fr-FR"/>
        </w:rPr>
        <w:t>Aucune de ces réponses</w:t>
      </w:r>
    </w:p>
    <w:p w:rsidR="00181B5A" w:rsidRPr="00181B5A" w:rsidRDefault="00181B5A" w:rsidP="00181B5A">
      <w:pPr>
        <w:numPr>
          <w:ilvl w:val="1"/>
          <w:numId w:val="1"/>
        </w:numPr>
        <w:spacing w:after="0"/>
        <w:ind w:hanging="360"/>
        <w:rPr>
          <w:lang w:val="fr-FR"/>
        </w:rPr>
      </w:pPr>
      <w:r w:rsidRPr="00181B5A">
        <w:rPr>
          <w:lang w:val="fr-FR"/>
        </w:rPr>
        <w:t xml:space="preserve">Tout ce qui précède </w:t>
      </w:r>
    </w:p>
    <w:p w:rsidR="00181B5A" w:rsidRPr="00181B5A" w:rsidRDefault="00181B5A" w:rsidP="00181B5A">
      <w:pPr>
        <w:spacing w:after="0"/>
        <w:rPr>
          <w:lang w:val="fr-FR"/>
        </w:rPr>
      </w:pPr>
    </w:p>
    <w:p w:rsidR="00614E5C" w:rsidRPr="00181B5A" w:rsidRDefault="00181B5A" w:rsidP="00181B5A">
      <w:pPr>
        <w:pStyle w:val="ListParagraph"/>
        <w:numPr>
          <w:ilvl w:val="0"/>
          <w:numId w:val="1"/>
        </w:numPr>
        <w:spacing w:after="0"/>
        <w:ind w:left="373"/>
        <w:rPr>
          <w:lang w:val="fr-FR"/>
        </w:rPr>
      </w:pPr>
      <w:r w:rsidRPr="00181B5A">
        <w:rPr>
          <w:lang w:val="fr-FR"/>
        </w:rPr>
        <w:t xml:space="preserve">Former le personnel de la nutrition sur les référencements de la </w:t>
      </w:r>
      <w:r>
        <w:rPr>
          <w:lang w:val="fr-FR"/>
        </w:rPr>
        <w:t>VBG sures et éthiques sont un de les interventions principaux des programmes réactifs au genre et à la VBG</w:t>
      </w:r>
    </w:p>
    <w:p w:rsidR="00614E5C" w:rsidRPr="00181B5A" w:rsidRDefault="003719D7">
      <w:pPr>
        <w:spacing w:after="34" w:line="259" w:lineRule="auto"/>
        <w:ind w:left="720" w:firstLine="0"/>
        <w:rPr>
          <w:lang w:val="fr-FR"/>
        </w:rPr>
      </w:pPr>
      <w:r w:rsidRPr="00181B5A">
        <w:rPr>
          <w:lang w:val="fr-FR"/>
        </w:rPr>
        <w:t xml:space="preserve"> </w:t>
      </w:r>
    </w:p>
    <w:p w:rsidR="00614E5C" w:rsidRPr="00A84AEE" w:rsidRDefault="00181B5A">
      <w:pPr>
        <w:numPr>
          <w:ilvl w:val="0"/>
          <w:numId w:val="2"/>
        </w:numPr>
        <w:spacing w:after="0"/>
        <w:ind w:hanging="360"/>
        <w:rPr>
          <w:lang w:val="fr-FR"/>
        </w:rPr>
      </w:pPr>
      <w:r w:rsidRPr="00A84AEE">
        <w:rPr>
          <w:lang w:val="fr-FR"/>
        </w:rPr>
        <w:t xml:space="preserve">Vrai ou faux </w:t>
      </w:r>
    </w:p>
    <w:p w:rsidR="00614E5C" w:rsidRPr="0000717A" w:rsidRDefault="0000717A">
      <w:pPr>
        <w:spacing w:after="0"/>
        <w:ind w:left="730"/>
        <w:rPr>
          <w:lang w:val="fr-FR"/>
        </w:rPr>
      </w:pPr>
      <w:r w:rsidRPr="0000717A">
        <w:rPr>
          <w:lang w:val="fr-FR"/>
        </w:rPr>
        <w:t xml:space="preserve">Le suivi peut se concentrer </w:t>
      </w:r>
      <w:r>
        <w:rPr>
          <w:lang w:val="fr-FR"/>
        </w:rPr>
        <w:t xml:space="preserve">soit </w:t>
      </w:r>
      <w:r w:rsidRPr="0000717A">
        <w:rPr>
          <w:lang w:val="fr-FR"/>
        </w:rPr>
        <w:t>sur les risques de la VBG</w:t>
      </w:r>
      <w:r>
        <w:rPr>
          <w:lang w:val="fr-FR"/>
        </w:rPr>
        <w:t xml:space="preserve"> liées aux programmes de nutrition, soit sur l’efficacité des considérations de genre et les stratégies du risque de la VBG qui ont mis en place. ________</w:t>
      </w:r>
    </w:p>
    <w:p w:rsidR="00614E5C" w:rsidRPr="0000717A" w:rsidRDefault="003719D7">
      <w:pPr>
        <w:spacing w:after="35" w:line="259" w:lineRule="auto"/>
        <w:ind w:left="720" w:firstLine="0"/>
        <w:rPr>
          <w:lang w:val="fr-FR"/>
        </w:rPr>
      </w:pPr>
      <w:r w:rsidRPr="0000717A">
        <w:rPr>
          <w:lang w:val="fr-FR"/>
        </w:rPr>
        <w:t xml:space="preserve"> </w:t>
      </w:r>
    </w:p>
    <w:p w:rsidR="0000717A" w:rsidRPr="0000717A" w:rsidRDefault="0000717A" w:rsidP="0000717A">
      <w:pPr>
        <w:numPr>
          <w:ilvl w:val="0"/>
          <w:numId w:val="2"/>
        </w:numPr>
        <w:ind w:hanging="360"/>
        <w:rPr>
          <w:lang w:val="fr-FR"/>
        </w:rPr>
      </w:pPr>
      <w:r w:rsidRPr="0000717A">
        <w:rPr>
          <w:lang w:val="fr-FR"/>
        </w:rPr>
        <w:lastRenderedPageBreak/>
        <w:t xml:space="preserve">Les données qualitatives des considérations de genre et des risques de </w:t>
      </w:r>
      <w:r w:rsidR="00014BFF">
        <w:rPr>
          <w:lang w:val="fr-FR"/>
        </w:rPr>
        <w:t>VBG</w:t>
      </w:r>
      <w:r>
        <w:rPr>
          <w:lang w:val="fr-FR"/>
        </w:rPr>
        <w:t xml:space="preserve"> devraient </w:t>
      </w:r>
      <w:r>
        <w:rPr>
          <w:b/>
          <w:u w:val="single"/>
          <w:lang w:val="fr-FR"/>
        </w:rPr>
        <w:t xml:space="preserve">PAS </w:t>
      </w:r>
      <w:r>
        <w:rPr>
          <w:lang w:val="fr-FR"/>
        </w:rPr>
        <w:t>être utilisé pour :</w:t>
      </w:r>
    </w:p>
    <w:p w:rsidR="0000717A" w:rsidRDefault="003719D7" w:rsidP="0000717A">
      <w:pPr>
        <w:ind w:left="1066" w:firstLine="0"/>
      </w:pPr>
      <w:r>
        <w:t>a.</w:t>
      </w:r>
      <w:r w:rsidRPr="0000717A">
        <w:rPr>
          <w:rFonts w:ascii="Arial" w:eastAsia="Arial" w:hAnsi="Arial" w:cs="Arial"/>
        </w:rPr>
        <w:t xml:space="preserve"> </w:t>
      </w:r>
      <w:r w:rsidR="00A36303">
        <w:rPr>
          <w:rFonts w:ascii="Arial" w:eastAsia="Arial" w:hAnsi="Arial" w:cs="Arial"/>
        </w:rPr>
        <w:tab/>
      </w:r>
      <w:r w:rsidR="0000717A">
        <w:t>La coordination</w:t>
      </w:r>
      <w:r w:rsidR="0000717A">
        <w:tab/>
      </w:r>
    </w:p>
    <w:p w:rsidR="00614E5C" w:rsidRPr="00A36303" w:rsidRDefault="00A36303">
      <w:pPr>
        <w:numPr>
          <w:ilvl w:val="1"/>
          <w:numId w:val="2"/>
        </w:numPr>
        <w:ind w:hanging="360"/>
        <w:rPr>
          <w:lang w:val="fr-FR"/>
        </w:rPr>
      </w:pPr>
      <w:r w:rsidRPr="00A36303">
        <w:rPr>
          <w:lang w:val="fr-FR"/>
        </w:rPr>
        <w:t>Les rapports aux donateurs</w:t>
      </w:r>
    </w:p>
    <w:p w:rsidR="00614E5C" w:rsidRPr="00A36303" w:rsidRDefault="00A36303" w:rsidP="00A36303">
      <w:pPr>
        <w:numPr>
          <w:ilvl w:val="1"/>
          <w:numId w:val="2"/>
        </w:numPr>
        <w:ind w:left="1440" w:hanging="375"/>
        <w:rPr>
          <w:lang w:val="fr-FR"/>
        </w:rPr>
      </w:pPr>
      <w:r w:rsidRPr="00A36303">
        <w:rPr>
          <w:lang w:val="fr-FR"/>
        </w:rPr>
        <w:t>Analyser l’étendue des incidents de la VBG</w:t>
      </w:r>
    </w:p>
    <w:p w:rsidR="00614E5C" w:rsidRPr="00A36303" w:rsidRDefault="00A36303">
      <w:pPr>
        <w:numPr>
          <w:ilvl w:val="1"/>
          <w:numId w:val="2"/>
        </w:numPr>
        <w:spacing w:after="0"/>
        <w:ind w:hanging="360"/>
        <w:rPr>
          <w:lang w:val="fr-FR"/>
        </w:rPr>
      </w:pPr>
      <w:r w:rsidRPr="00A36303">
        <w:rPr>
          <w:lang w:val="fr-FR"/>
        </w:rPr>
        <w:t>Les ma</w:t>
      </w:r>
      <w:r>
        <w:rPr>
          <w:lang w:val="fr-FR"/>
        </w:rPr>
        <w:t>tériels</w:t>
      </w:r>
      <w:r w:rsidRPr="00A36303">
        <w:rPr>
          <w:lang w:val="fr-FR"/>
        </w:rPr>
        <w:t xml:space="preserve"> de plaidoyer </w:t>
      </w:r>
    </w:p>
    <w:p w:rsidR="00614E5C" w:rsidRPr="00A36303" w:rsidRDefault="003719D7">
      <w:pPr>
        <w:spacing w:after="35" w:line="259" w:lineRule="auto"/>
        <w:ind w:left="720" w:firstLine="0"/>
        <w:rPr>
          <w:lang w:val="fr-FR"/>
        </w:rPr>
      </w:pPr>
      <w:r w:rsidRPr="00A36303">
        <w:rPr>
          <w:lang w:val="fr-FR"/>
        </w:rPr>
        <w:t xml:space="preserve"> </w:t>
      </w:r>
    </w:p>
    <w:p w:rsidR="00A36303" w:rsidRPr="00A36303" w:rsidRDefault="00A36303" w:rsidP="00A36303">
      <w:pPr>
        <w:numPr>
          <w:ilvl w:val="0"/>
          <w:numId w:val="2"/>
        </w:numPr>
        <w:spacing w:after="160"/>
        <w:ind w:hanging="360"/>
        <w:rPr>
          <w:lang w:val="fr-FR"/>
        </w:rPr>
      </w:pPr>
      <w:r w:rsidRPr="00A36303">
        <w:rPr>
          <w:lang w:val="fr-FR"/>
        </w:rPr>
        <w:t xml:space="preserve">Les indicateurs liées </w:t>
      </w:r>
      <w:r>
        <w:rPr>
          <w:lang w:val="fr-FR"/>
        </w:rPr>
        <w:t>au genre et à la VBG ne devraient PAS inclut dans le cadre S&amp;E des programmes de nutrition.</w:t>
      </w:r>
    </w:p>
    <w:p w:rsidR="00614E5C" w:rsidRPr="00A36303" w:rsidRDefault="003719D7">
      <w:pPr>
        <w:spacing w:after="1675" w:line="259" w:lineRule="auto"/>
        <w:ind w:left="0" w:firstLine="0"/>
        <w:rPr>
          <w:lang w:val="fr-FR"/>
        </w:rPr>
      </w:pPr>
      <w:r w:rsidRPr="00A36303">
        <w:rPr>
          <w:lang w:val="fr-FR"/>
        </w:rPr>
        <w:t xml:space="preserve"> </w:t>
      </w:r>
    </w:p>
    <w:p w:rsidR="00A36303" w:rsidRPr="00A36303" w:rsidRDefault="00A36303">
      <w:pPr>
        <w:spacing w:after="287" w:line="259" w:lineRule="auto"/>
        <w:ind w:left="10" w:right="-15"/>
        <w:jc w:val="right"/>
        <w:rPr>
          <w:sz w:val="16"/>
          <w:lang w:val="fr-FR"/>
        </w:rPr>
      </w:pPr>
    </w:p>
    <w:p w:rsidR="00A36303" w:rsidRPr="00A36303" w:rsidRDefault="00A36303">
      <w:pPr>
        <w:spacing w:after="287" w:line="259" w:lineRule="auto"/>
        <w:ind w:left="10" w:right="-15"/>
        <w:jc w:val="right"/>
        <w:rPr>
          <w:sz w:val="16"/>
          <w:lang w:val="fr-FR"/>
        </w:rPr>
      </w:pPr>
    </w:p>
    <w:p w:rsidR="00A36303" w:rsidRPr="00A36303" w:rsidRDefault="00A36303">
      <w:pPr>
        <w:spacing w:after="287" w:line="259" w:lineRule="auto"/>
        <w:ind w:left="10" w:right="-15"/>
        <w:jc w:val="right"/>
        <w:rPr>
          <w:sz w:val="16"/>
          <w:lang w:val="fr-FR"/>
        </w:rPr>
      </w:pPr>
    </w:p>
    <w:p w:rsidR="00A36303" w:rsidRPr="00A36303" w:rsidRDefault="00A36303">
      <w:pPr>
        <w:spacing w:after="287" w:line="259" w:lineRule="auto"/>
        <w:ind w:left="10" w:right="-15"/>
        <w:jc w:val="right"/>
        <w:rPr>
          <w:sz w:val="16"/>
          <w:lang w:val="fr-FR"/>
        </w:rPr>
      </w:pPr>
    </w:p>
    <w:p w:rsidR="00A36303" w:rsidRPr="00A36303" w:rsidRDefault="00A36303">
      <w:pPr>
        <w:spacing w:after="287" w:line="259" w:lineRule="auto"/>
        <w:ind w:left="10" w:right="-15"/>
        <w:jc w:val="right"/>
        <w:rPr>
          <w:sz w:val="16"/>
          <w:lang w:val="fr-FR"/>
        </w:rPr>
      </w:pPr>
    </w:p>
    <w:p w:rsidR="00A36303" w:rsidRPr="00A36303" w:rsidRDefault="00A36303">
      <w:pPr>
        <w:spacing w:after="287" w:line="259" w:lineRule="auto"/>
        <w:ind w:left="10" w:right="-15"/>
        <w:jc w:val="right"/>
        <w:rPr>
          <w:sz w:val="16"/>
          <w:lang w:val="fr-FR"/>
        </w:rPr>
      </w:pPr>
    </w:p>
    <w:p w:rsidR="00A36303" w:rsidRPr="00A36303" w:rsidRDefault="00A36303">
      <w:pPr>
        <w:spacing w:after="287" w:line="259" w:lineRule="auto"/>
        <w:ind w:left="10" w:right="-15"/>
        <w:jc w:val="right"/>
        <w:rPr>
          <w:sz w:val="16"/>
          <w:lang w:val="fr-FR"/>
        </w:rPr>
      </w:pPr>
    </w:p>
    <w:p w:rsidR="00A36303" w:rsidRPr="00A36303" w:rsidRDefault="00A36303">
      <w:pPr>
        <w:spacing w:after="287" w:line="259" w:lineRule="auto"/>
        <w:ind w:left="10" w:right="-15"/>
        <w:jc w:val="right"/>
        <w:rPr>
          <w:sz w:val="16"/>
          <w:lang w:val="fr-FR"/>
        </w:rPr>
      </w:pPr>
    </w:p>
    <w:p w:rsidR="00A36303" w:rsidRPr="00A36303" w:rsidRDefault="00A36303">
      <w:pPr>
        <w:spacing w:after="287" w:line="259" w:lineRule="auto"/>
        <w:ind w:left="10" w:right="-15"/>
        <w:jc w:val="right"/>
        <w:rPr>
          <w:sz w:val="16"/>
          <w:lang w:val="fr-FR"/>
        </w:rPr>
      </w:pPr>
    </w:p>
    <w:p w:rsidR="00614E5C" w:rsidRPr="00A36303" w:rsidRDefault="00614E5C">
      <w:pPr>
        <w:spacing w:after="287" w:line="259" w:lineRule="auto"/>
        <w:ind w:left="10" w:right="-15"/>
        <w:jc w:val="right"/>
        <w:rPr>
          <w:lang w:val="fr-FR"/>
        </w:rPr>
      </w:pPr>
    </w:p>
    <w:sectPr w:rsidR="00614E5C" w:rsidRPr="00A36303">
      <w:footerReference w:type="default" r:id="rId8"/>
      <w:pgSz w:w="12240" w:h="15840"/>
      <w:pgMar w:top="1483" w:right="1441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92D" w:rsidRDefault="0058292D" w:rsidP="00A36303">
      <w:pPr>
        <w:spacing w:after="0" w:line="240" w:lineRule="auto"/>
      </w:pPr>
      <w:r>
        <w:separator/>
      </w:r>
    </w:p>
  </w:endnote>
  <w:endnote w:type="continuationSeparator" w:id="0">
    <w:p w:rsidR="0058292D" w:rsidRDefault="0058292D" w:rsidP="00A3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303" w:rsidRPr="00A36303" w:rsidRDefault="00A36303" w:rsidP="00A36303">
    <w:pPr>
      <w:spacing w:after="287" w:line="259" w:lineRule="auto"/>
      <w:ind w:left="10" w:right="-15"/>
      <w:jc w:val="right"/>
      <w:rPr>
        <w:lang w:val="fr-FR"/>
      </w:rPr>
    </w:pPr>
    <w:r w:rsidRPr="00A36303">
      <w:rPr>
        <w:sz w:val="16"/>
        <w:lang w:val="fr-FR"/>
      </w:rPr>
      <w:t xml:space="preserve">Atelier de Programmes </w:t>
    </w:r>
    <w:r>
      <w:rPr>
        <w:sz w:val="16"/>
        <w:lang w:val="fr-FR"/>
      </w:rPr>
      <w:t xml:space="preserve">de nutrition </w:t>
    </w:r>
    <w:r w:rsidRPr="00A36303">
      <w:rPr>
        <w:sz w:val="16"/>
        <w:lang w:val="fr-FR"/>
      </w:rPr>
      <w:t xml:space="preserve">réactifs au genre et </w:t>
    </w:r>
    <w:r>
      <w:rPr>
        <w:sz w:val="16"/>
        <w:lang w:val="fr-FR"/>
      </w:rPr>
      <w:t>à la VBG</w:t>
    </w:r>
  </w:p>
  <w:p w:rsidR="00A36303" w:rsidRPr="00A36303" w:rsidRDefault="00A36303" w:rsidP="00A36303">
    <w:pPr>
      <w:pStyle w:val="Footer"/>
      <w:jc w:val="right"/>
      <w:rPr>
        <w:lang w:val="fr-FR"/>
      </w:rPr>
    </w:pPr>
  </w:p>
  <w:p w:rsidR="00A36303" w:rsidRPr="00A36303" w:rsidRDefault="00A36303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92D" w:rsidRDefault="0058292D" w:rsidP="00A36303">
      <w:pPr>
        <w:spacing w:after="0" w:line="240" w:lineRule="auto"/>
      </w:pPr>
      <w:r>
        <w:separator/>
      </w:r>
    </w:p>
  </w:footnote>
  <w:footnote w:type="continuationSeparator" w:id="0">
    <w:p w:rsidR="0058292D" w:rsidRDefault="0058292D" w:rsidP="00A363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F3770"/>
    <w:multiLevelType w:val="hybridMultilevel"/>
    <w:tmpl w:val="80D60706"/>
    <w:lvl w:ilvl="0" w:tplc="CA4EB80E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3E9088">
      <w:start w:val="1"/>
      <w:numFmt w:val="lowerLetter"/>
      <w:lvlText w:val="%2."/>
      <w:lvlJc w:val="left"/>
      <w:pPr>
        <w:ind w:left="1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32891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6C93D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F48A8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77CA43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E6294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24D1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D2CED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D9C2660"/>
    <w:multiLevelType w:val="hybridMultilevel"/>
    <w:tmpl w:val="D9866398"/>
    <w:lvl w:ilvl="0" w:tplc="5D785956">
      <w:start w:val="12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B2DBA6">
      <w:start w:val="2"/>
      <w:numFmt w:val="lowerLetter"/>
      <w:lvlText w:val="%2."/>
      <w:lvlJc w:val="left"/>
      <w:pPr>
        <w:ind w:left="1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4A38F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008C8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969F5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9C367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7CFDF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8357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D0340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F7F00B3"/>
    <w:multiLevelType w:val="hybridMultilevel"/>
    <w:tmpl w:val="19426340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E5C"/>
    <w:rsid w:val="0000717A"/>
    <w:rsid w:val="00014BFF"/>
    <w:rsid w:val="00181B5A"/>
    <w:rsid w:val="0031249C"/>
    <w:rsid w:val="00313026"/>
    <w:rsid w:val="003719D7"/>
    <w:rsid w:val="003738D3"/>
    <w:rsid w:val="003F2B94"/>
    <w:rsid w:val="004A3976"/>
    <w:rsid w:val="0058292D"/>
    <w:rsid w:val="00614E5C"/>
    <w:rsid w:val="0069001D"/>
    <w:rsid w:val="006C44B2"/>
    <w:rsid w:val="006E3CB4"/>
    <w:rsid w:val="00887514"/>
    <w:rsid w:val="00A36303"/>
    <w:rsid w:val="00A84AEE"/>
    <w:rsid w:val="00AA6708"/>
    <w:rsid w:val="00AF4430"/>
    <w:rsid w:val="00E90969"/>
    <w:rsid w:val="00ED1E9B"/>
    <w:rsid w:val="00F5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6D59A5-A5ED-428D-80DA-74E3D4A36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1" w:line="260" w:lineRule="auto"/>
      <w:ind w:left="12" w:hanging="10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1B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363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6303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363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6303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90505212A941499BC37C9CAE0613AF" ma:contentTypeVersion="12" ma:contentTypeDescription="Create a new document." ma:contentTypeScope="" ma:versionID="76b3cf64d354648e93f2b9d26dfcce3c">
  <xsd:schema xmlns:xsd="http://www.w3.org/2001/XMLSchema" xmlns:xs="http://www.w3.org/2001/XMLSchema" xmlns:p="http://schemas.microsoft.com/office/2006/metadata/properties" xmlns:ns2="977a04dd-e1a2-4c1e-9372-ad60659cd6c9" xmlns:ns3="a05f84db-31af-4a86-8a41-3bb270e4e5e7" targetNamespace="http://schemas.microsoft.com/office/2006/metadata/properties" ma:root="true" ma:fieldsID="74b67ade5fdd801c63bc8eb024013fb9" ns2:_="" ns3:_="">
    <xsd:import namespace="977a04dd-e1a2-4c1e-9372-ad60659cd6c9"/>
    <xsd:import namespace="a05f84db-31af-4a86-8a41-3bb270e4e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a04dd-e1a2-4c1e-9372-ad60659cd6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f84db-31af-4a86-8a41-3bb270e4e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53E123-160A-4223-96D0-2AB3DB6D2D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F3746B-4691-4057-A8B5-024B5B1EC242}"/>
</file>

<file path=customXml/itemProps3.xml><?xml version="1.0" encoding="utf-8"?>
<ds:datastoreItem xmlns:ds="http://schemas.openxmlformats.org/officeDocument/2006/customXml" ds:itemID="{3C0CE510-F39B-47F6-93F2-60957FFF715D}"/>
</file>

<file path=customXml/itemProps4.xml><?xml version="1.0" encoding="utf-8"?>
<ds:datastoreItem xmlns:ds="http://schemas.openxmlformats.org/officeDocument/2006/customXml" ds:itemID="{CE54DA11-6EB8-48F3-A913-D5257BC53E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selina yamout</dc:creator>
  <cp:keywords/>
  <cp:lastModifiedBy>ACF</cp:lastModifiedBy>
  <cp:revision>11</cp:revision>
  <dcterms:created xsi:type="dcterms:W3CDTF">2020-02-12T13:32:00Z</dcterms:created>
  <dcterms:modified xsi:type="dcterms:W3CDTF">2020-02-26T21:25:00Z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0x0101008990505212A941499BC37C9CAE0613AF</vt:lpwstr>
  </property>
</Properties>
</file>