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ED7" w:rsidRDefault="00DF3ED7" w:rsidP="00DF3ED7">
      <w:pPr>
        <w:jc w:val="center"/>
      </w:pPr>
      <w:r>
        <w:t>Gender and GBV-Responsive Nutrition programs in Emergencies</w:t>
      </w:r>
    </w:p>
    <w:p w:rsidR="009F07B3" w:rsidRDefault="00DF3ED7" w:rsidP="00DF3ED7">
      <w:pPr>
        <w:jc w:val="center"/>
      </w:pPr>
      <w:r>
        <w:t>Pre and Post Test</w:t>
      </w:r>
      <w:r>
        <w:t xml:space="preserve"> </w:t>
      </w:r>
    </w:p>
    <w:p w:rsidR="00DF3ED7" w:rsidRDefault="00DF3ED7" w:rsidP="00DF3ED7">
      <w:pPr>
        <w:jc w:val="center"/>
      </w:pPr>
      <w:r>
        <w:t>Answer key and grading</w:t>
      </w:r>
    </w:p>
    <w:p w:rsidR="00DF3ED7" w:rsidRDefault="00DF3ED7" w:rsidP="00DF3ED7">
      <w:pPr>
        <w:jc w:val="center"/>
      </w:pPr>
    </w:p>
    <w:p w:rsidR="00DF3ED7" w:rsidRDefault="00DF3ED7" w:rsidP="00DF3ED7">
      <w:pPr>
        <w:jc w:val="center"/>
      </w:pPr>
    </w:p>
    <w:p w:rsidR="00DF3ED7" w:rsidRDefault="00DF3ED7" w:rsidP="00DF3ED7">
      <w:r>
        <w:t>Correct answers: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DF3ED7" w:rsidTr="00DF3ED7">
        <w:tc>
          <w:tcPr>
            <w:tcW w:w="1795" w:type="dxa"/>
          </w:tcPr>
          <w:p w:rsidR="00DF3ED7" w:rsidRDefault="00DF3ED7" w:rsidP="00DF3ED7">
            <w:r>
              <w:t>Question number</w:t>
            </w:r>
          </w:p>
        </w:tc>
        <w:tc>
          <w:tcPr>
            <w:tcW w:w="7555" w:type="dxa"/>
          </w:tcPr>
          <w:p w:rsidR="00DF3ED7" w:rsidRDefault="00DF3ED7" w:rsidP="00DF3ED7">
            <w:r>
              <w:t>Correct answer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1</w:t>
            </w:r>
          </w:p>
        </w:tc>
        <w:tc>
          <w:tcPr>
            <w:tcW w:w="7555" w:type="dxa"/>
          </w:tcPr>
          <w:p w:rsidR="00DF3ED7" w:rsidRDefault="00DF3ED7" w:rsidP="00DF3ED7">
            <w:r>
              <w:t xml:space="preserve">c. </w:t>
            </w:r>
            <w:r w:rsidRPr="00DF3ED7">
              <w:t>Violence based on socially gender differ</w:t>
            </w:r>
            <w:r>
              <w:t>ences between males and females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2</w:t>
            </w:r>
          </w:p>
        </w:tc>
        <w:tc>
          <w:tcPr>
            <w:tcW w:w="7555" w:type="dxa"/>
          </w:tcPr>
          <w:p w:rsidR="00DF3ED7" w:rsidRDefault="00DF3ED7" w:rsidP="00DF3ED7">
            <w:r>
              <w:t>True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3</w:t>
            </w:r>
          </w:p>
        </w:tc>
        <w:tc>
          <w:tcPr>
            <w:tcW w:w="7555" w:type="dxa"/>
          </w:tcPr>
          <w:p w:rsidR="00DF3ED7" w:rsidRDefault="00DF3ED7" w:rsidP="00DF3ED7">
            <w:r>
              <w:t>False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4</w:t>
            </w:r>
          </w:p>
        </w:tc>
        <w:tc>
          <w:tcPr>
            <w:tcW w:w="7555" w:type="dxa"/>
          </w:tcPr>
          <w:p w:rsidR="00DF3ED7" w:rsidRDefault="00DF3ED7" w:rsidP="00DF3ED7">
            <w:r>
              <w:t xml:space="preserve">e. </w:t>
            </w:r>
            <w:r w:rsidRPr="00DF3ED7">
              <w:t>All of the above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5</w:t>
            </w:r>
          </w:p>
        </w:tc>
        <w:tc>
          <w:tcPr>
            <w:tcW w:w="7555" w:type="dxa"/>
          </w:tcPr>
          <w:p w:rsidR="00DF3ED7" w:rsidRDefault="00DF3ED7" w:rsidP="00DF3ED7">
            <w:r>
              <w:t>False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6</w:t>
            </w:r>
          </w:p>
        </w:tc>
        <w:tc>
          <w:tcPr>
            <w:tcW w:w="7555" w:type="dxa"/>
          </w:tcPr>
          <w:p w:rsidR="00DF3ED7" w:rsidRDefault="00DF3ED7" w:rsidP="00DF3ED7">
            <w:r>
              <w:t xml:space="preserve">b. </w:t>
            </w:r>
            <w:r w:rsidRPr="00DF3ED7">
              <w:t>Exploring when, why and how GBV-related safety issues might arise, particularly as the result of delivery or use of nutrition services.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7</w:t>
            </w:r>
          </w:p>
        </w:tc>
        <w:tc>
          <w:tcPr>
            <w:tcW w:w="7555" w:type="dxa"/>
          </w:tcPr>
          <w:p w:rsidR="00DF3ED7" w:rsidRDefault="00DF3ED7" w:rsidP="00DF3ED7">
            <w:r>
              <w:t>True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8</w:t>
            </w:r>
          </w:p>
        </w:tc>
        <w:tc>
          <w:tcPr>
            <w:tcW w:w="7555" w:type="dxa"/>
          </w:tcPr>
          <w:p w:rsidR="00DF3ED7" w:rsidRDefault="00DF3ED7" w:rsidP="00DF3ED7">
            <w:r>
              <w:t xml:space="preserve">b. </w:t>
            </w:r>
            <w:r w:rsidRPr="00DF3ED7">
              <w:t>Development of specific interventions to respond to GBV survivors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9</w:t>
            </w:r>
          </w:p>
        </w:tc>
        <w:tc>
          <w:tcPr>
            <w:tcW w:w="7555" w:type="dxa"/>
          </w:tcPr>
          <w:p w:rsidR="00DF3ED7" w:rsidRDefault="00DF3ED7" w:rsidP="00DF3ED7">
            <w:r>
              <w:t>True</w:t>
            </w:r>
          </w:p>
        </w:tc>
      </w:tr>
      <w:tr w:rsidR="00DF3ED7" w:rsidTr="00DF3ED7">
        <w:tc>
          <w:tcPr>
            <w:tcW w:w="1795" w:type="dxa"/>
          </w:tcPr>
          <w:p w:rsidR="00DF3ED7" w:rsidRDefault="00187CE0" w:rsidP="00DF3ED7">
            <w:r>
              <w:t>10</w:t>
            </w:r>
          </w:p>
        </w:tc>
        <w:tc>
          <w:tcPr>
            <w:tcW w:w="7555" w:type="dxa"/>
          </w:tcPr>
          <w:p w:rsidR="00DF3ED7" w:rsidRDefault="00187CE0" w:rsidP="00DF3ED7">
            <w:r>
              <w:t xml:space="preserve">f. </w:t>
            </w:r>
            <w:r w:rsidRPr="00187CE0">
              <w:t>All of the above</w:t>
            </w:r>
          </w:p>
        </w:tc>
      </w:tr>
      <w:tr w:rsidR="00DF3ED7" w:rsidTr="00DF3ED7">
        <w:tc>
          <w:tcPr>
            <w:tcW w:w="1795" w:type="dxa"/>
          </w:tcPr>
          <w:p w:rsidR="00DF3ED7" w:rsidRDefault="00187CE0" w:rsidP="00DF3ED7">
            <w:r>
              <w:t>11</w:t>
            </w:r>
          </w:p>
        </w:tc>
        <w:tc>
          <w:tcPr>
            <w:tcW w:w="7555" w:type="dxa"/>
          </w:tcPr>
          <w:p w:rsidR="00DF3ED7" w:rsidRDefault="00187CE0" w:rsidP="00DF3ED7">
            <w:r>
              <w:t>True</w:t>
            </w:r>
          </w:p>
        </w:tc>
      </w:tr>
      <w:tr w:rsidR="00187CE0" w:rsidTr="00DF3ED7">
        <w:tc>
          <w:tcPr>
            <w:tcW w:w="1795" w:type="dxa"/>
          </w:tcPr>
          <w:p w:rsidR="00187CE0" w:rsidRDefault="00187CE0" w:rsidP="00DF3ED7">
            <w:r>
              <w:t>12</w:t>
            </w:r>
          </w:p>
        </w:tc>
        <w:tc>
          <w:tcPr>
            <w:tcW w:w="7555" w:type="dxa"/>
          </w:tcPr>
          <w:p w:rsidR="00187CE0" w:rsidRDefault="00187CE0" w:rsidP="00DF3ED7">
            <w:r>
              <w:t>True</w:t>
            </w:r>
          </w:p>
        </w:tc>
      </w:tr>
      <w:tr w:rsidR="0079084A" w:rsidTr="00DF3ED7">
        <w:tc>
          <w:tcPr>
            <w:tcW w:w="1795" w:type="dxa"/>
          </w:tcPr>
          <w:p w:rsidR="0079084A" w:rsidRDefault="0079084A" w:rsidP="00DF3ED7">
            <w:r>
              <w:t>13</w:t>
            </w:r>
          </w:p>
        </w:tc>
        <w:tc>
          <w:tcPr>
            <w:tcW w:w="7555" w:type="dxa"/>
          </w:tcPr>
          <w:p w:rsidR="0079084A" w:rsidRDefault="0079084A" w:rsidP="00DF3ED7">
            <w:r>
              <w:t xml:space="preserve">c. </w:t>
            </w:r>
            <w:r w:rsidRPr="0079084A">
              <w:t>Analyzing the extend of GBV incidents</w:t>
            </w:r>
          </w:p>
        </w:tc>
      </w:tr>
      <w:tr w:rsidR="00187CE0" w:rsidTr="00DF3ED7">
        <w:tc>
          <w:tcPr>
            <w:tcW w:w="1795" w:type="dxa"/>
          </w:tcPr>
          <w:p w:rsidR="00187CE0" w:rsidRDefault="0079084A" w:rsidP="00DF3ED7">
            <w:r>
              <w:t>14</w:t>
            </w:r>
          </w:p>
        </w:tc>
        <w:tc>
          <w:tcPr>
            <w:tcW w:w="7555" w:type="dxa"/>
          </w:tcPr>
          <w:p w:rsidR="00187CE0" w:rsidRDefault="00187CE0" w:rsidP="00DF3ED7">
            <w:r>
              <w:t>False</w:t>
            </w:r>
          </w:p>
        </w:tc>
      </w:tr>
    </w:tbl>
    <w:p w:rsidR="0079084A" w:rsidRDefault="0079084A" w:rsidP="00DF3ED7">
      <w:bookmarkStart w:id="0" w:name="_GoBack"/>
      <w:bookmarkEnd w:id="0"/>
    </w:p>
    <w:p w:rsidR="0079084A" w:rsidRDefault="0079084A" w:rsidP="00DF3ED7">
      <w:r>
        <w:t>Grading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79084A" w:rsidTr="00893996">
        <w:tc>
          <w:tcPr>
            <w:tcW w:w="1795" w:type="dxa"/>
          </w:tcPr>
          <w:p w:rsidR="0079084A" w:rsidRDefault="0079084A" w:rsidP="00893996">
            <w:r>
              <w:t>Question number</w:t>
            </w:r>
          </w:p>
        </w:tc>
        <w:tc>
          <w:tcPr>
            <w:tcW w:w="7555" w:type="dxa"/>
          </w:tcPr>
          <w:p w:rsidR="0079084A" w:rsidRDefault="0079084A" w:rsidP="00893996">
            <w:r>
              <w:t>Grade weight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2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3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4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5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6</w:t>
            </w:r>
          </w:p>
        </w:tc>
        <w:tc>
          <w:tcPr>
            <w:tcW w:w="7555" w:type="dxa"/>
          </w:tcPr>
          <w:p w:rsidR="0079084A" w:rsidRDefault="0079084A" w:rsidP="0079084A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7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8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9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10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11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12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13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14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1C4B56" w:rsidTr="00893996">
        <w:tc>
          <w:tcPr>
            <w:tcW w:w="1795" w:type="dxa"/>
          </w:tcPr>
          <w:p w:rsidR="001C4B56" w:rsidRDefault="001C4B56" w:rsidP="00893996">
            <w:r>
              <w:t>Total grade</w:t>
            </w:r>
          </w:p>
        </w:tc>
        <w:tc>
          <w:tcPr>
            <w:tcW w:w="7555" w:type="dxa"/>
          </w:tcPr>
          <w:p w:rsidR="001C4B56" w:rsidRDefault="001C4B56" w:rsidP="00893996">
            <w:r>
              <w:t>20</w:t>
            </w:r>
          </w:p>
        </w:tc>
      </w:tr>
    </w:tbl>
    <w:p w:rsidR="0079084A" w:rsidRDefault="0079084A" w:rsidP="00DF3ED7"/>
    <w:sectPr w:rsidR="0079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ED7"/>
    <w:rsid w:val="00187CE0"/>
    <w:rsid w:val="001C4B56"/>
    <w:rsid w:val="0079084A"/>
    <w:rsid w:val="009F07B3"/>
    <w:rsid w:val="00DF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4452D"/>
  <w15:chartTrackingRefBased/>
  <w15:docId w15:val="{A19D55CD-7A47-417C-8083-6608DC16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yamout</dc:creator>
  <cp:keywords/>
  <dc:description/>
  <cp:lastModifiedBy>selina yamout</cp:lastModifiedBy>
  <cp:revision>3</cp:revision>
  <dcterms:created xsi:type="dcterms:W3CDTF">2019-11-07T10:31:00Z</dcterms:created>
  <dcterms:modified xsi:type="dcterms:W3CDTF">2019-11-07T10:49:00Z</dcterms:modified>
</cp:coreProperties>
</file>