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036B" w:rsidRPr="00B7036B" w:rsidRDefault="00B7036B" w:rsidP="00B7036B">
      <w:pPr>
        <w:spacing w:after="0" w:line="240" w:lineRule="auto"/>
        <w:rPr>
          <w:rFonts w:ascii="Calibri" w:eastAsia="MS Mincho" w:hAnsi="Calibri" w:cs="Calibri"/>
          <w:sz w:val="24"/>
          <w:szCs w:val="24"/>
          <w:lang w:val="en-CA"/>
        </w:rPr>
      </w:pPr>
    </w:p>
    <w:p w:rsidR="00B7036B" w:rsidRPr="00B7036B" w:rsidRDefault="00B7036B" w:rsidP="00B7036B">
      <w:pPr>
        <w:shd w:val="clear" w:color="auto" w:fill="D9D9D9"/>
        <w:spacing w:after="0" w:line="240" w:lineRule="auto"/>
        <w:rPr>
          <w:rFonts w:ascii="Calibri" w:eastAsia="MS Mincho" w:hAnsi="Calibri" w:cs="Calibri"/>
          <w:sz w:val="24"/>
          <w:szCs w:val="24"/>
          <w:lang w:val="en-CA"/>
        </w:rPr>
      </w:pPr>
      <w:r>
        <w:rPr>
          <w:rFonts w:ascii="Calibri" w:eastAsia="MS Mincho" w:hAnsi="Calibri" w:cs="Calibri"/>
          <w:b/>
          <w:bCs/>
          <w:sz w:val="24"/>
          <w:szCs w:val="24"/>
          <w:lang w:val="en-CA"/>
        </w:rPr>
        <w:t xml:space="preserve">Module 22 – </w:t>
      </w:r>
      <w:r w:rsidRPr="00B7036B">
        <w:rPr>
          <w:rFonts w:ascii="Calibri" w:eastAsia="MS Mincho" w:hAnsi="Calibri" w:cs="Calibri"/>
          <w:b/>
          <w:bCs/>
          <w:sz w:val="24"/>
          <w:szCs w:val="24"/>
          <w:lang w:val="en-CA"/>
        </w:rPr>
        <w:t>Gender and GBV-Responsive Nutrition programs in Emergencies</w:t>
      </w:r>
    </w:p>
    <w:p w:rsidR="00B7036B" w:rsidRPr="00B7036B" w:rsidRDefault="00B7036B" w:rsidP="00B7036B">
      <w:pPr>
        <w:spacing w:after="0" w:line="240" w:lineRule="auto"/>
        <w:textAlignment w:val="baseline"/>
        <w:rPr>
          <w:rFonts w:ascii="Calibri" w:eastAsia="MS Mincho" w:hAnsi="Calibri" w:cs="Calibri"/>
          <w:b/>
          <w:bCs/>
        </w:rPr>
      </w:pPr>
    </w:p>
    <w:p w:rsidR="00B7036B" w:rsidRPr="00572E2A" w:rsidRDefault="00572E2A" w:rsidP="00572E2A">
      <w:pPr>
        <w:spacing w:after="0" w:line="240" w:lineRule="auto"/>
        <w:textAlignment w:val="baseline"/>
        <w:rPr>
          <w:rFonts w:ascii="Calibri" w:eastAsia="MS Mincho" w:hAnsi="Calibri" w:cs="Calibri"/>
        </w:rPr>
      </w:pPr>
      <w:r w:rsidRPr="00572E2A">
        <w:rPr>
          <w:rFonts w:ascii="Calibri" w:eastAsia="MS Mincho" w:hAnsi="Calibri" w:cs="Calibri"/>
        </w:rPr>
        <w:t>Time: This module can be adapted to be delivered during 1, 2 or 3 days depending on the assigned time for the workshop and the profile of participants.</w:t>
      </w:r>
    </w:p>
    <w:p w:rsidR="00572E2A" w:rsidRPr="00572E2A" w:rsidRDefault="00572E2A" w:rsidP="00572E2A">
      <w:pPr>
        <w:spacing w:after="0" w:line="240" w:lineRule="auto"/>
        <w:textAlignment w:val="baseline"/>
        <w:rPr>
          <w:rFonts w:ascii="Calibri" w:eastAsia="MS Mincho" w:hAnsi="Calibri" w:cs="Calibri"/>
          <w:b/>
          <w:bCs/>
        </w:rPr>
      </w:pPr>
    </w:p>
    <w:p w:rsidR="00B7036B" w:rsidRPr="00B7036B" w:rsidRDefault="00B7036B" w:rsidP="00F40231">
      <w:pPr>
        <w:shd w:val="clear" w:color="auto" w:fill="F2F2F2" w:themeFill="background1" w:themeFillShade="F2"/>
        <w:spacing w:after="0" w:line="240" w:lineRule="auto"/>
        <w:rPr>
          <w:rFonts w:ascii="Calibri" w:eastAsia="MS Mincho" w:hAnsi="Calibri" w:cs="Calibri"/>
          <w:b/>
        </w:rPr>
      </w:pPr>
      <w:r w:rsidRPr="00B7036B">
        <w:rPr>
          <w:rFonts w:ascii="Calibri" w:eastAsia="MS Mincho" w:hAnsi="Calibri" w:cs="Calibri"/>
          <w:b/>
        </w:rPr>
        <w:t>Session Purpose:</w:t>
      </w:r>
    </w:p>
    <w:p w:rsidR="00B7036B" w:rsidRPr="00B7036B" w:rsidRDefault="00B7036B" w:rsidP="00B7036B">
      <w:pPr>
        <w:spacing w:after="0" w:line="240" w:lineRule="auto"/>
        <w:rPr>
          <w:rFonts w:ascii="Calibri" w:eastAsia="MS Mincho" w:hAnsi="Calibri" w:cs="Calibri"/>
          <w:bCs/>
        </w:rPr>
      </w:pPr>
      <w:r w:rsidRPr="00B7036B">
        <w:rPr>
          <w:rFonts w:ascii="Calibri" w:eastAsia="MS Mincho" w:hAnsi="Calibri" w:cs="Calibri"/>
          <w:bCs/>
        </w:rPr>
        <w:t xml:space="preserve">Participants will be able </w:t>
      </w:r>
      <w:r>
        <w:rPr>
          <w:rFonts w:ascii="Calibri" w:eastAsia="MS Mincho" w:hAnsi="Calibri" w:cs="Calibri"/>
          <w:bCs/>
        </w:rPr>
        <w:t xml:space="preserve">to </w:t>
      </w:r>
      <w:r w:rsidRPr="00B7036B">
        <w:rPr>
          <w:rFonts w:ascii="Calibri" w:eastAsia="MS Mincho" w:hAnsi="Calibri" w:cs="Calibri"/>
          <w:bCs/>
        </w:rPr>
        <w:t xml:space="preserve">apply </w:t>
      </w:r>
      <w:r w:rsidR="00AA3AFF">
        <w:rPr>
          <w:rFonts w:ascii="Calibri" w:eastAsia="MS Mincho" w:hAnsi="Calibri" w:cs="Calibri"/>
          <w:bCs/>
        </w:rPr>
        <w:t>the guidance for</w:t>
      </w:r>
      <w:r w:rsidR="00187C77">
        <w:rPr>
          <w:rFonts w:ascii="Calibri" w:eastAsia="MS Mincho" w:hAnsi="Calibri" w:cs="Calibri"/>
          <w:bCs/>
        </w:rPr>
        <w:t xml:space="preserve"> an</w:t>
      </w:r>
      <w:r w:rsidR="00AA3AFF">
        <w:rPr>
          <w:rFonts w:ascii="Calibri" w:eastAsia="MS Mincho" w:hAnsi="Calibri" w:cs="Calibri"/>
          <w:bCs/>
        </w:rPr>
        <w:t xml:space="preserve"> </w:t>
      </w:r>
      <w:r w:rsidRPr="00B7036B">
        <w:rPr>
          <w:rFonts w:ascii="Calibri" w:eastAsia="MS Mincho" w:hAnsi="Calibri" w:cs="Calibri"/>
          <w:bCs/>
        </w:rPr>
        <w:t>improved Gender and GBV responsive programming in nutrition humanitarian response.</w:t>
      </w:r>
    </w:p>
    <w:p w:rsidR="00B7036B" w:rsidRPr="00B7036B" w:rsidRDefault="00B7036B" w:rsidP="00B7036B">
      <w:pPr>
        <w:spacing w:after="0" w:line="240" w:lineRule="auto"/>
        <w:rPr>
          <w:rFonts w:ascii="Calibri" w:eastAsia="MS Mincho" w:hAnsi="Calibri" w:cs="Calibri"/>
          <w:bCs/>
        </w:rPr>
      </w:pPr>
    </w:p>
    <w:p w:rsidR="00B7036B" w:rsidRPr="00B7036B" w:rsidRDefault="00B7036B" w:rsidP="00F40231">
      <w:pPr>
        <w:shd w:val="clear" w:color="auto" w:fill="F2F2F2" w:themeFill="background1" w:themeFillShade="F2"/>
        <w:spacing w:after="0" w:line="240" w:lineRule="auto"/>
        <w:rPr>
          <w:rFonts w:ascii="Calibri" w:eastAsia="MS Mincho" w:hAnsi="Calibri" w:cs="Calibri"/>
          <w:b/>
        </w:rPr>
      </w:pPr>
      <w:r w:rsidRPr="00B7036B">
        <w:rPr>
          <w:rFonts w:ascii="Calibri" w:eastAsia="MS Mincho" w:hAnsi="Calibri" w:cs="Calibri"/>
          <w:b/>
        </w:rPr>
        <w:t>Learning Objectives:</w:t>
      </w:r>
    </w:p>
    <w:p w:rsidR="00B7036B" w:rsidRPr="00B7036B" w:rsidRDefault="00B7036B" w:rsidP="00B7036B">
      <w:pPr>
        <w:spacing w:after="0" w:line="240" w:lineRule="auto"/>
        <w:textAlignment w:val="baseline"/>
        <w:rPr>
          <w:rFonts w:ascii="Calibri" w:eastAsia="MS Mincho" w:hAnsi="Calibri" w:cs="Calibri"/>
        </w:rPr>
      </w:pPr>
      <w:r w:rsidRPr="00B7036B">
        <w:rPr>
          <w:rFonts w:ascii="Calibri" w:eastAsia="MS Mincho" w:hAnsi="Calibri" w:cs="Calibri"/>
        </w:rPr>
        <w:t>By the end of this session, participants will be able to:</w:t>
      </w:r>
    </w:p>
    <w:p w:rsidR="00D5770E" w:rsidRPr="00B7036B" w:rsidRDefault="003426DA" w:rsidP="00187C77">
      <w:pPr>
        <w:numPr>
          <w:ilvl w:val="0"/>
          <w:numId w:val="5"/>
        </w:numPr>
        <w:spacing w:after="0" w:line="240" w:lineRule="auto"/>
        <w:contextualSpacing/>
        <w:textAlignment w:val="baseline"/>
        <w:rPr>
          <w:rFonts w:ascii="Calibri" w:eastAsia="MS Mincho" w:hAnsi="Calibri" w:cs="Calibri"/>
          <w:bCs/>
        </w:rPr>
      </w:pPr>
      <w:r w:rsidRPr="00B7036B">
        <w:rPr>
          <w:rFonts w:ascii="Calibri" w:eastAsia="MS Mincho" w:hAnsi="Calibri" w:cs="Calibri"/>
          <w:bCs/>
        </w:rPr>
        <w:t xml:space="preserve">Explain the linkage between Gender/GBV and Nutrition. </w:t>
      </w:r>
    </w:p>
    <w:p w:rsidR="00D5770E" w:rsidRPr="00B7036B" w:rsidRDefault="003426DA" w:rsidP="00187C77">
      <w:pPr>
        <w:numPr>
          <w:ilvl w:val="0"/>
          <w:numId w:val="5"/>
        </w:numPr>
        <w:spacing w:after="0" w:line="240" w:lineRule="auto"/>
        <w:contextualSpacing/>
        <w:textAlignment w:val="baseline"/>
        <w:rPr>
          <w:rFonts w:ascii="Calibri" w:eastAsia="MS Mincho" w:hAnsi="Calibri" w:cs="Calibri"/>
          <w:bCs/>
        </w:rPr>
      </w:pPr>
      <w:r w:rsidRPr="00B7036B">
        <w:rPr>
          <w:rFonts w:ascii="Calibri" w:eastAsia="MS Mincho" w:hAnsi="Calibri" w:cs="Calibri"/>
          <w:bCs/>
        </w:rPr>
        <w:t>Identify key elements for gender and GBV responsive nutrition programs</w:t>
      </w:r>
    </w:p>
    <w:p w:rsidR="00B7036B" w:rsidRPr="00B7036B" w:rsidRDefault="003426DA" w:rsidP="00187C77">
      <w:pPr>
        <w:numPr>
          <w:ilvl w:val="0"/>
          <w:numId w:val="5"/>
        </w:numPr>
        <w:spacing w:after="0" w:line="240" w:lineRule="auto"/>
        <w:contextualSpacing/>
        <w:textAlignment w:val="baseline"/>
        <w:rPr>
          <w:rFonts w:ascii="Calibri" w:eastAsia="MS Mincho" w:hAnsi="Calibri" w:cs="Calibri"/>
          <w:bCs/>
        </w:rPr>
      </w:pPr>
      <w:r w:rsidRPr="00B7036B">
        <w:rPr>
          <w:rFonts w:ascii="Calibri" w:eastAsia="MS Mincho" w:hAnsi="Calibri" w:cs="Calibri"/>
          <w:bCs/>
        </w:rPr>
        <w:t xml:space="preserve">Utilize guidance to integrate Gender and GBV lens into the different stages of the humanitarian program cycle </w:t>
      </w:r>
      <w:r w:rsidR="00B7036B" w:rsidRPr="00B7036B">
        <w:rPr>
          <w:rFonts w:ascii="Calibri" w:eastAsia="MS Mincho" w:hAnsi="Calibri" w:cs="Calibri"/>
          <w:bCs/>
        </w:rPr>
        <w:br/>
      </w:r>
    </w:p>
    <w:p w:rsidR="00B7036B" w:rsidRPr="00B7036B" w:rsidRDefault="00B7036B" w:rsidP="00F40231">
      <w:pPr>
        <w:shd w:val="clear" w:color="auto" w:fill="F2F2F2" w:themeFill="background1" w:themeFillShade="F2"/>
        <w:spacing w:after="0" w:line="240" w:lineRule="auto"/>
        <w:textAlignment w:val="baseline"/>
        <w:rPr>
          <w:rFonts w:ascii="Calibri" w:eastAsia="MS Mincho" w:hAnsi="Calibri" w:cs="Calibri"/>
          <w:lang w:val="en-CA"/>
        </w:rPr>
      </w:pPr>
      <w:r w:rsidRPr="00B7036B">
        <w:rPr>
          <w:rFonts w:ascii="Calibri" w:eastAsia="MS Mincho" w:hAnsi="Calibri" w:cs="Calibri"/>
          <w:b/>
          <w:bCs/>
        </w:rPr>
        <w:t xml:space="preserve">Outline of the </w:t>
      </w:r>
      <w:r w:rsidR="00303692">
        <w:rPr>
          <w:rFonts w:ascii="Calibri" w:eastAsia="MS Mincho" w:hAnsi="Calibri" w:cs="Calibri"/>
          <w:b/>
          <w:bCs/>
        </w:rPr>
        <w:t>workshop:</w:t>
      </w:r>
      <w:r w:rsidRPr="00B7036B">
        <w:rPr>
          <w:rFonts w:ascii="Calibri" w:eastAsia="MS Mincho" w:hAnsi="Calibri" w:cs="Calibri"/>
          <w:lang w:val="en-CA"/>
        </w:rPr>
        <w:t> </w:t>
      </w:r>
    </w:p>
    <w:p w:rsidR="00B7036B" w:rsidRPr="00B7036B" w:rsidRDefault="00B7036B" w:rsidP="00B7036B">
      <w:pPr>
        <w:spacing w:after="0" w:line="240" w:lineRule="auto"/>
        <w:textAlignment w:val="baseline"/>
        <w:rPr>
          <w:rFonts w:ascii="Calibri" w:eastAsia="MS Mincho" w:hAnsi="Calibri" w:cs="Calibri"/>
          <w:b/>
          <w:sz w:val="20"/>
          <w:szCs w:val="20"/>
        </w:rPr>
      </w:pPr>
    </w:p>
    <w:p w:rsidR="00303692" w:rsidRDefault="00303692" w:rsidP="00303692">
      <w:r>
        <w:t>1-day training workshop</w:t>
      </w:r>
    </w:p>
    <w:tbl>
      <w:tblPr>
        <w:tblStyle w:val="TableGrid"/>
        <w:tblW w:w="0" w:type="auto"/>
        <w:tblLook w:val="04A0" w:firstRow="1" w:lastRow="0" w:firstColumn="1" w:lastColumn="0" w:noHBand="0" w:noVBand="1"/>
      </w:tblPr>
      <w:tblGrid>
        <w:gridCol w:w="1437"/>
        <w:gridCol w:w="1978"/>
        <w:gridCol w:w="990"/>
        <w:gridCol w:w="3799"/>
        <w:gridCol w:w="1122"/>
      </w:tblGrid>
      <w:tr w:rsidR="00303692" w:rsidRPr="00303692" w:rsidTr="00303692">
        <w:trPr>
          <w:trHeight w:val="440"/>
        </w:trPr>
        <w:tc>
          <w:tcPr>
            <w:tcW w:w="1437" w:type="dxa"/>
            <w:shd w:val="clear" w:color="auto" w:fill="BDD6EE" w:themeFill="accent1" w:themeFillTint="66"/>
            <w:hideMark/>
          </w:tcPr>
          <w:p w:rsidR="00303692" w:rsidRPr="00303692" w:rsidRDefault="00303692" w:rsidP="00303692">
            <w:pPr>
              <w:rPr>
                <w:rFonts w:cstheme="minorHAnsi"/>
              </w:rPr>
            </w:pPr>
            <w:r w:rsidRPr="00303692">
              <w:rPr>
                <w:rFonts w:cstheme="minorHAnsi"/>
              </w:rPr>
              <w:t xml:space="preserve">Target Audience </w:t>
            </w:r>
          </w:p>
        </w:tc>
        <w:tc>
          <w:tcPr>
            <w:tcW w:w="1978" w:type="dxa"/>
            <w:shd w:val="clear" w:color="auto" w:fill="BDD6EE" w:themeFill="accent1" w:themeFillTint="66"/>
            <w:hideMark/>
          </w:tcPr>
          <w:p w:rsidR="00303692" w:rsidRPr="00303692" w:rsidRDefault="00303692" w:rsidP="00303692">
            <w:pPr>
              <w:rPr>
                <w:rFonts w:cstheme="minorHAnsi"/>
              </w:rPr>
            </w:pPr>
            <w:r w:rsidRPr="00303692">
              <w:rPr>
                <w:rFonts w:cstheme="minorHAnsi"/>
              </w:rPr>
              <w:t>Topic</w:t>
            </w:r>
          </w:p>
        </w:tc>
        <w:tc>
          <w:tcPr>
            <w:tcW w:w="990" w:type="dxa"/>
            <w:shd w:val="clear" w:color="auto" w:fill="BDD6EE" w:themeFill="accent1" w:themeFillTint="66"/>
            <w:hideMark/>
          </w:tcPr>
          <w:p w:rsidR="00303692" w:rsidRPr="00303692" w:rsidRDefault="00303692" w:rsidP="00303692">
            <w:pPr>
              <w:rPr>
                <w:rFonts w:cstheme="minorHAnsi"/>
              </w:rPr>
            </w:pPr>
            <w:r w:rsidRPr="00303692">
              <w:rPr>
                <w:rFonts w:cstheme="minorHAnsi"/>
              </w:rPr>
              <w:t>Time</w:t>
            </w:r>
          </w:p>
        </w:tc>
        <w:tc>
          <w:tcPr>
            <w:tcW w:w="3799" w:type="dxa"/>
            <w:shd w:val="clear" w:color="auto" w:fill="BDD6EE" w:themeFill="accent1" w:themeFillTint="66"/>
            <w:hideMark/>
          </w:tcPr>
          <w:p w:rsidR="00303692" w:rsidRPr="00303692" w:rsidRDefault="00303692" w:rsidP="00303692">
            <w:pPr>
              <w:rPr>
                <w:rFonts w:cstheme="minorHAnsi"/>
              </w:rPr>
            </w:pPr>
            <w:r w:rsidRPr="00303692">
              <w:rPr>
                <w:rFonts w:cstheme="minorHAnsi"/>
              </w:rPr>
              <w:t>Content of the session</w:t>
            </w:r>
          </w:p>
        </w:tc>
        <w:tc>
          <w:tcPr>
            <w:tcW w:w="1011" w:type="dxa"/>
            <w:shd w:val="clear" w:color="auto" w:fill="BDD6EE" w:themeFill="accent1" w:themeFillTint="66"/>
            <w:hideMark/>
          </w:tcPr>
          <w:p w:rsidR="00303692" w:rsidRPr="00303692" w:rsidRDefault="00303692" w:rsidP="00303692">
            <w:pPr>
              <w:rPr>
                <w:rFonts w:cstheme="minorHAnsi"/>
              </w:rPr>
            </w:pPr>
            <w:r w:rsidRPr="00303692">
              <w:rPr>
                <w:rFonts w:cstheme="minorHAnsi"/>
              </w:rPr>
              <w:t xml:space="preserve">Slide numbers </w:t>
            </w:r>
          </w:p>
        </w:tc>
      </w:tr>
      <w:tr w:rsidR="00303692" w:rsidRPr="00303692" w:rsidTr="00303692">
        <w:trPr>
          <w:trHeight w:val="980"/>
        </w:trPr>
        <w:tc>
          <w:tcPr>
            <w:tcW w:w="1437" w:type="dxa"/>
            <w:shd w:val="clear" w:color="auto" w:fill="D9D9D9" w:themeFill="background1" w:themeFillShade="D9"/>
            <w:hideMark/>
          </w:tcPr>
          <w:p w:rsidR="00303692" w:rsidRPr="00303692" w:rsidRDefault="00A67A2C" w:rsidP="00A67A2C">
            <w:pPr>
              <w:rPr>
                <w:rFonts w:cstheme="minorHAnsi"/>
              </w:rPr>
            </w:pPr>
            <w:r>
              <w:rPr>
                <w:rFonts w:cstheme="minorHAnsi"/>
              </w:rPr>
              <w:t>Staff who</w:t>
            </w:r>
            <w:r w:rsidR="00303692" w:rsidRPr="00303692">
              <w:rPr>
                <w:rFonts w:cstheme="minorHAnsi"/>
              </w:rPr>
              <w:t xml:space="preserve"> do not directly manage projects. </w:t>
            </w:r>
            <w:r w:rsidR="00545330">
              <w:rPr>
                <w:rFonts w:cstheme="minorHAnsi"/>
              </w:rPr>
              <w:t>E.g.</w:t>
            </w:r>
            <w:r w:rsidR="00303692">
              <w:rPr>
                <w:rFonts w:cstheme="minorHAnsi"/>
              </w:rPr>
              <w:t xml:space="preserve">: </w:t>
            </w:r>
            <w:r w:rsidR="008C6C6A">
              <w:rPr>
                <w:rFonts w:cstheme="minorHAnsi"/>
              </w:rPr>
              <w:t xml:space="preserve">cluster coordinators, working group coordinator, </w:t>
            </w:r>
            <w:r w:rsidR="00545330">
              <w:rPr>
                <w:rFonts w:cstheme="minorHAnsi"/>
              </w:rPr>
              <w:t>etc.</w:t>
            </w:r>
            <w:r w:rsidR="008C6C6A">
              <w:rPr>
                <w:rFonts w:cstheme="minorHAnsi"/>
              </w:rPr>
              <w:t xml:space="preserve"> </w:t>
            </w:r>
          </w:p>
        </w:tc>
        <w:tc>
          <w:tcPr>
            <w:tcW w:w="1978" w:type="dxa"/>
            <w:hideMark/>
          </w:tcPr>
          <w:p w:rsidR="00303692" w:rsidRPr="00303692" w:rsidRDefault="00303692" w:rsidP="00303692">
            <w:pPr>
              <w:rPr>
                <w:rFonts w:cstheme="minorHAnsi"/>
              </w:rPr>
            </w:pPr>
            <w:r w:rsidRPr="00303692">
              <w:rPr>
                <w:rFonts w:cstheme="minorHAnsi"/>
                <w:lang w:val="en-CA"/>
              </w:rPr>
              <w:t>Introductory definitions</w:t>
            </w:r>
          </w:p>
        </w:tc>
        <w:tc>
          <w:tcPr>
            <w:tcW w:w="990" w:type="dxa"/>
            <w:hideMark/>
          </w:tcPr>
          <w:p w:rsidR="00303692" w:rsidRPr="00303692" w:rsidRDefault="00303692" w:rsidP="00303692">
            <w:pPr>
              <w:rPr>
                <w:rFonts w:cstheme="minorHAnsi"/>
              </w:rPr>
            </w:pPr>
            <w:r w:rsidRPr="00303692">
              <w:rPr>
                <w:rFonts w:cstheme="minorHAnsi"/>
                <w:lang w:val="en-CA"/>
              </w:rPr>
              <w:t>60 min</w:t>
            </w:r>
          </w:p>
        </w:tc>
        <w:tc>
          <w:tcPr>
            <w:tcW w:w="3799" w:type="dxa"/>
            <w:hideMark/>
          </w:tcPr>
          <w:p w:rsidR="00303692" w:rsidRPr="00303692" w:rsidRDefault="00303692" w:rsidP="00303692">
            <w:pPr>
              <w:rPr>
                <w:rFonts w:cstheme="minorHAnsi"/>
              </w:rPr>
            </w:pPr>
            <w:r w:rsidRPr="00303692">
              <w:rPr>
                <w:rFonts w:cstheme="minorHAnsi"/>
              </w:rPr>
              <w:t xml:space="preserve">Quick revision of definitions and the power walk exercise </w:t>
            </w:r>
          </w:p>
        </w:tc>
        <w:tc>
          <w:tcPr>
            <w:tcW w:w="1011" w:type="dxa"/>
            <w:hideMark/>
          </w:tcPr>
          <w:p w:rsidR="00303692" w:rsidRPr="00303692" w:rsidRDefault="00303692" w:rsidP="00303692">
            <w:pPr>
              <w:rPr>
                <w:rFonts w:cstheme="minorHAnsi"/>
              </w:rPr>
            </w:pPr>
            <w:r w:rsidRPr="00303692">
              <w:rPr>
                <w:rFonts w:cstheme="minorHAnsi"/>
              </w:rPr>
              <w:t>1 - 9</w:t>
            </w:r>
          </w:p>
        </w:tc>
      </w:tr>
      <w:tr w:rsidR="00303692" w:rsidRPr="00303692" w:rsidTr="00303692">
        <w:trPr>
          <w:trHeight w:val="800"/>
        </w:trPr>
        <w:tc>
          <w:tcPr>
            <w:tcW w:w="1437" w:type="dxa"/>
            <w:shd w:val="clear" w:color="auto" w:fill="D9D9D9" w:themeFill="background1" w:themeFillShade="D9"/>
            <w:hideMark/>
          </w:tcPr>
          <w:p w:rsidR="00303692" w:rsidRPr="00303692" w:rsidRDefault="00303692" w:rsidP="00303692">
            <w:pPr>
              <w:rPr>
                <w:rFonts w:cstheme="minorHAnsi"/>
              </w:rPr>
            </w:pPr>
            <w:r w:rsidRPr="00303692">
              <w:rPr>
                <w:rFonts w:cstheme="minorHAnsi"/>
              </w:rPr>
              <w:t> </w:t>
            </w:r>
          </w:p>
        </w:tc>
        <w:tc>
          <w:tcPr>
            <w:tcW w:w="1978" w:type="dxa"/>
            <w:hideMark/>
          </w:tcPr>
          <w:p w:rsidR="00303692" w:rsidRPr="00303692" w:rsidRDefault="00303692" w:rsidP="00303692">
            <w:pPr>
              <w:rPr>
                <w:rFonts w:cstheme="minorHAnsi"/>
              </w:rPr>
            </w:pPr>
            <w:r w:rsidRPr="00303692">
              <w:rPr>
                <w:rFonts w:cstheme="minorHAnsi"/>
              </w:rPr>
              <w:t>Linkages between gender, GBV and nutrition</w:t>
            </w:r>
          </w:p>
        </w:tc>
        <w:tc>
          <w:tcPr>
            <w:tcW w:w="990" w:type="dxa"/>
            <w:hideMark/>
          </w:tcPr>
          <w:p w:rsidR="00303692" w:rsidRPr="00303692" w:rsidRDefault="00303692" w:rsidP="00303692">
            <w:pPr>
              <w:rPr>
                <w:rFonts w:cstheme="minorHAnsi"/>
              </w:rPr>
            </w:pPr>
            <w:r w:rsidRPr="00303692">
              <w:rPr>
                <w:rFonts w:cstheme="minorHAnsi"/>
                <w:lang w:val="en-GB"/>
              </w:rPr>
              <w:t>30 min</w:t>
            </w:r>
          </w:p>
        </w:tc>
        <w:tc>
          <w:tcPr>
            <w:tcW w:w="3799" w:type="dxa"/>
            <w:hideMark/>
          </w:tcPr>
          <w:p w:rsidR="00303692" w:rsidRPr="00303692" w:rsidRDefault="00303692" w:rsidP="00303692">
            <w:pPr>
              <w:rPr>
                <w:rFonts w:cstheme="minorHAnsi"/>
              </w:rPr>
            </w:pPr>
            <w:r w:rsidRPr="00303692">
              <w:rPr>
                <w:rFonts w:cstheme="minorHAnsi"/>
              </w:rPr>
              <w:t xml:space="preserve">Discussion of four case studies in plenary and overview of literature review </w:t>
            </w:r>
          </w:p>
        </w:tc>
        <w:tc>
          <w:tcPr>
            <w:tcW w:w="1011" w:type="dxa"/>
            <w:hideMark/>
          </w:tcPr>
          <w:p w:rsidR="00303692" w:rsidRPr="00303692" w:rsidRDefault="00303692" w:rsidP="00303692">
            <w:pPr>
              <w:rPr>
                <w:rFonts w:cstheme="minorHAnsi"/>
              </w:rPr>
            </w:pPr>
            <w:r w:rsidRPr="00303692">
              <w:rPr>
                <w:rFonts w:cstheme="minorHAnsi"/>
              </w:rPr>
              <w:t>10- 13</w:t>
            </w:r>
          </w:p>
        </w:tc>
      </w:tr>
      <w:tr w:rsidR="00303692" w:rsidRPr="00303692" w:rsidTr="00303692">
        <w:trPr>
          <w:trHeight w:val="1052"/>
        </w:trPr>
        <w:tc>
          <w:tcPr>
            <w:tcW w:w="1437" w:type="dxa"/>
            <w:shd w:val="clear" w:color="auto" w:fill="D9D9D9" w:themeFill="background1" w:themeFillShade="D9"/>
            <w:hideMark/>
          </w:tcPr>
          <w:p w:rsidR="00303692" w:rsidRPr="00303692" w:rsidRDefault="00303692" w:rsidP="00303692">
            <w:pPr>
              <w:rPr>
                <w:rFonts w:cstheme="minorHAnsi"/>
              </w:rPr>
            </w:pPr>
            <w:r w:rsidRPr="00303692">
              <w:rPr>
                <w:rFonts w:cstheme="minorHAnsi"/>
              </w:rPr>
              <w:t> </w:t>
            </w:r>
          </w:p>
        </w:tc>
        <w:tc>
          <w:tcPr>
            <w:tcW w:w="1978" w:type="dxa"/>
            <w:hideMark/>
          </w:tcPr>
          <w:p w:rsidR="00303692" w:rsidRPr="00303692" w:rsidRDefault="00303692" w:rsidP="00303692">
            <w:pPr>
              <w:rPr>
                <w:rFonts w:cstheme="minorHAnsi"/>
              </w:rPr>
            </w:pPr>
            <w:r w:rsidRPr="00303692">
              <w:rPr>
                <w:rFonts w:cstheme="minorHAnsi"/>
                <w:lang w:val="en-CA"/>
              </w:rPr>
              <w:t>Gender and GBV responsive nutrition programming</w:t>
            </w:r>
          </w:p>
        </w:tc>
        <w:tc>
          <w:tcPr>
            <w:tcW w:w="990" w:type="dxa"/>
            <w:hideMark/>
          </w:tcPr>
          <w:p w:rsidR="00303692" w:rsidRPr="00303692" w:rsidRDefault="00303692" w:rsidP="00303692">
            <w:pPr>
              <w:rPr>
                <w:rFonts w:cstheme="minorHAnsi"/>
              </w:rPr>
            </w:pPr>
            <w:r w:rsidRPr="00303692">
              <w:rPr>
                <w:rFonts w:cstheme="minorHAnsi"/>
                <w:lang w:val="en-CA"/>
              </w:rPr>
              <w:t>40 min</w:t>
            </w:r>
          </w:p>
        </w:tc>
        <w:tc>
          <w:tcPr>
            <w:tcW w:w="3799" w:type="dxa"/>
            <w:hideMark/>
          </w:tcPr>
          <w:p w:rsidR="00303692" w:rsidRPr="00303692" w:rsidRDefault="00303692" w:rsidP="00303692">
            <w:pPr>
              <w:rPr>
                <w:rFonts w:cstheme="minorHAnsi"/>
              </w:rPr>
            </w:pPr>
            <w:r w:rsidRPr="00303692">
              <w:rPr>
                <w:rFonts w:cstheme="minorHAnsi"/>
              </w:rPr>
              <w:t>Discussion on gender and GBV integration within the project cycle and preparedness phase and an introduction to the AAAQ framework and key tools for integration</w:t>
            </w:r>
          </w:p>
        </w:tc>
        <w:tc>
          <w:tcPr>
            <w:tcW w:w="1011" w:type="dxa"/>
            <w:hideMark/>
          </w:tcPr>
          <w:p w:rsidR="00303692" w:rsidRPr="00303692" w:rsidRDefault="00A67A2C" w:rsidP="00303692">
            <w:pPr>
              <w:rPr>
                <w:rFonts w:cstheme="minorHAnsi"/>
              </w:rPr>
            </w:pPr>
            <w:r>
              <w:rPr>
                <w:rFonts w:cstheme="minorHAnsi"/>
              </w:rPr>
              <w:t>18- 29</w:t>
            </w:r>
          </w:p>
        </w:tc>
      </w:tr>
      <w:tr w:rsidR="00303692" w:rsidRPr="00303692" w:rsidTr="00303692">
        <w:trPr>
          <w:trHeight w:val="782"/>
        </w:trPr>
        <w:tc>
          <w:tcPr>
            <w:tcW w:w="1437" w:type="dxa"/>
            <w:shd w:val="clear" w:color="auto" w:fill="D9D9D9" w:themeFill="background1" w:themeFillShade="D9"/>
          </w:tcPr>
          <w:p w:rsidR="00303692" w:rsidRPr="00303692" w:rsidRDefault="00303692" w:rsidP="00303692">
            <w:pPr>
              <w:rPr>
                <w:rFonts w:cstheme="minorHAnsi"/>
              </w:rPr>
            </w:pPr>
          </w:p>
        </w:tc>
        <w:tc>
          <w:tcPr>
            <w:tcW w:w="1978" w:type="dxa"/>
          </w:tcPr>
          <w:p w:rsidR="00303692" w:rsidRPr="00303692" w:rsidRDefault="00303692" w:rsidP="00303692">
            <w:pPr>
              <w:rPr>
                <w:rFonts w:cstheme="minorHAnsi"/>
                <w:lang w:val="en-CA"/>
              </w:rPr>
            </w:pPr>
            <w:r w:rsidRPr="00303692">
              <w:rPr>
                <w:rFonts w:cstheme="minorHAnsi"/>
                <w:lang w:val="en-CA"/>
              </w:rPr>
              <w:t>The role of the nutrition cluster coordinators</w:t>
            </w:r>
          </w:p>
        </w:tc>
        <w:tc>
          <w:tcPr>
            <w:tcW w:w="990" w:type="dxa"/>
          </w:tcPr>
          <w:p w:rsidR="00303692" w:rsidRPr="00303692" w:rsidRDefault="00303692" w:rsidP="00303692">
            <w:pPr>
              <w:rPr>
                <w:rFonts w:cstheme="minorHAnsi"/>
                <w:lang w:val="en-CA"/>
              </w:rPr>
            </w:pPr>
            <w:r w:rsidRPr="00303692">
              <w:rPr>
                <w:rFonts w:cstheme="minorHAnsi"/>
                <w:lang w:val="en-CA"/>
              </w:rPr>
              <w:t>20 min</w:t>
            </w:r>
          </w:p>
        </w:tc>
        <w:tc>
          <w:tcPr>
            <w:tcW w:w="3799" w:type="dxa"/>
          </w:tcPr>
          <w:p w:rsidR="00303692" w:rsidRPr="00303692" w:rsidRDefault="00303692" w:rsidP="00303692">
            <w:pPr>
              <w:rPr>
                <w:rFonts w:cstheme="minorHAnsi"/>
              </w:rPr>
            </w:pPr>
            <w:r w:rsidRPr="00303692">
              <w:rPr>
                <w:rFonts w:cstheme="minorHAnsi"/>
              </w:rPr>
              <w:t xml:space="preserve">Discussion around the specific role of the coordination to integrate Gender and GBV in nutrition programs </w:t>
            </w:r>
          </w:p>
        </w:tc>
        <w:tc>
          <w:tcPr>
            <w:tcW w:w="1011" w:type="dxa"/>
          </w:tcPr>
          <w:p w:rsidR="00303692" w:rsidRPr="00303692" w:rsidRDefault="00A67A2C" w:rsidP="00303692">
            <w:pPr>
              <w:rPr>
                <w:rFonts w:cstheme="minorHAnsi"/>
              </w:rPr>
            </w:pPr>
            <w:r>
              <w:rPr>
                <w:rFonts w:cstheme="minorHAnsi"/>
              </w:rPr>
              <w:t>30- 35</w:t>
            </w:r>
          </w:p>
        </w:tc>
      </w:tr>
      <w:tr w:rsidR="00303692" w:rsidRPr="00303692" w:rsidTr="00303692">
        <w:trPr>
          <w:trHeight w:val="782"/>
        </w:trPr>
        <w:tc>
          <w:tcPr>
            <w:tcW w:w="1437" w:type="dxa"/>
            <w:shd w:val="clear" w:color="auto" w:fill="D9D9D9" w:themeFill="background1" w:themeFillShade="D9"/>
            <w:hideMark/>
          </w:tcPr>
          <w:p w:rsidR="00303692" w:rsidRPr="00303692" w:rsidRDefault="00303692" w:rsidP="00303692">
            <w:pPr>
              <w:rPr>
                <w:rFonts w:cstheme="minorHAnsi"/>
              </w:rPr>
            </w:pPr>
            <w:r w:rsidRPr="00303692">
              <w:rPr>
                <w:rFonts w:cstheme="minorHAnsi"/>
              </w:rPr>
              <w:t> </w:t>
            </w:r>
          </w:p>
        </w:tc>
        <w:tc>
          <w:tcPr>
            <w:tcW w:w="1978" w:type="dxa"/>
            <w:hideMark/>
          </w:tcPr>
          <w:p w:rsidR="00303692" w:rsidRPr="00303692" w:rsidRDefault="00303692" w:rsidP="00303692">
            <w:pPr>
              <w:rPr>
                <w:rFonts w:cstheme="minorHAnsi"/>
              </w:rPr>
            </w:pPr>
            <w:r w:rsidRPr="00303692">
              <w:rPr>
                <w:rFonts w:cstheme="minorHAnsi"/>
                <w:lang w:val="en-CA"/>
              </w:rPr>
              <w:t>Gender and GBV risk assessment and analysis</w:t>
            </w:r>
          </w:p>
        </w:tc>
        <w:tc>
          <w:tcPr>
            <w:tcW w:w="990" w:type="dxa"/>
            <w:hideMark/>
          </w:tcPr>
          <w:p w:rsidR="00303692" w:rsidRPr="00303692" w:rsidRDefault="00F40C1B" w:rsidP="00303692">
            <w:pPr>
              <w:rPr>
                <w:rFonts w:cstheme="minorHAnsi"/>
              </w:rPr>
            </w:pPr>
            <w:r>
              <w:rPr>
                <w:rFonts w:cstheme="minorHAnsi"/>
                <w:lang w:val="en-CA"/>
              </w:rPr>
              <w:t>60</w:t>
            </w:r>
            <w:r w:rsidR="00303692" w:rsidRPr="00303692">
              <w:rPr>
                <w:rFonts w:cstheme="minorHAnsi"/>
                <w:lang w:val="en-CA"/>
              </w:rPr>
              <w:t xml:space="preserve"> min</w:t>
            </w:r>
          </w:p>
        </w:tc>
        <w:tc>
          <w:tcPr>
            <w:tcW w:w="3799" w:type="dxa"/>
            <w:hideMark/>
          </w:tcPr>
          <w:p w:rsidR="00303692" w:rsidRPr="00303692" w:rsidRDefault="00303692" w:rsidP="00303692">
            <w:pPr>
              <w:rPr>
                <w:rFonts w:cstheme="minorHAnsi"/>
              </w:rPr>
            </w:pPr>
            <w:r w:rsidRPr="00303692">
              <w:rPr>
                <w:rFonts w:cstheme="minorHAnsi"/>
              </w:rPr>
              <w:t xml:space="preserve">Introduction to the different methods and steps of GBV and gender risk analysis and assessment in addition to examples </w:t>
            </w:r>
            <w:r w:rsidR="00A67A2C">
              <w:rPr>
                <w:rFonts w:cstheme="minorHAnsi"/>
              </w:rPr>
              <w:t>and an exercise.</w:t>
            </w:r>
          </w:p>
        </w:tc>
        <w:tc>
          <w:tcPr>
            <w:tcW w:w="1011" w:type="dxa"/>
            <w:hideMark/>
          </w:tcPr>
          <w:p w:rsidR="00303692" w:rsidRDefault="00F40C1B" w:rsidP="00303692">
            <w:pPr>
              <w:rPr>
                <w:rFonts w:cstheme="minorHAnsi"/>
              </w:rPr>
            </w:pPr>
            <w:r>
              <w:rPr>
                <w:rFonts w:cstheme="minorHAnsi"/>
              </w:rPr>
              <w:t>36- 57</w:t>
            </w:r>
          </w:p>
          <w:p w:rsidR="00F40C1B" w:rsidRPr="00303692" w:rsidRDefault="00F40C1B" w:rsidP="00303692">
            <w:pPr>
              <w:rPr>
                <w:rFonts w:cstheme="minorHAnsi"/>
              </w:rPr>
            </w:pPr>
            <w:r>
              <w:rPr>
                <w:rFonts w:cstheme="minorHAnsi"/>
              </w:rPr>
              <w:t>Excluding: 36 &amp; 53</w:t>
            </w:r>
          </w:p>
        </w:tc>
      </w:tr>
      <w:tr w:rsidR="00303692" w:rsidRPr="00303692" w:rsidTr="00303692">
        <w:trPr>
          <w:trHeight w:val="1070"/>
        </w:trPr>
        <w:tc>
          <w:tcPr>
            <w:tcW w:w="1437" w:type="dxa"/>
            <w:shd w:val="clear" w:color="auto" w:fill="D9D9D9" w:themeFill="background1" w:themeFillShade="D9"/>
            <w:hideMark/>
          </w:tcPr>
          <w:p w:rsidR="00303692" w:rsidRPr="00303692" w:rsidRDefault="00303692" w:rsidP="00303692">
            <w:pPr>
              <w:rPr>
                <w:rFonts w:cstheme="minorHAnsi"/>
              </w:rPr>
            </w:pPr>
            <w:r w:rsidRPr="00303692">
              <w:rPr>
                <w:rFonts w:cstheme="minorHAnsi"/>
              </w:rPr>
              <w:lastRenderedPageBreak/>
              <w:t> </w:t>
            </w:r>
          </w:p>
        </w:tc>
        <w:tc>
          <w:tcPr>
            <w:tcW w:w="1978" w:type="dxa"/>
            <w:hideMark/>
          </w:tcPr>
          <w:p w:rsidR="00303692" w:rsidRPr="00303692" w:rsidRDefault="00303692" w:rsidP="00303692">
            <w:pPr>
              <w:rPr>
                <w:rFonts w:cstheme="minorHAnsi"/>
              </w:rPr>
            </w:pPr>
            <w:r w:rsidRPr="00303692">
              <w:rPr>
                <w:rFonts w:cstheme="minorHAnsi"/>
                <w:lang w:val="en-CA"/>
              </w:rPr>
              <w:t>Strategic planning of gender and GBV issues in nutrition programs</w:t>
            </w:r>
          </w:p>
        </w:tc>
        <w:tc>
          <w:tcPr>
            <w:tcW w:w="990" w:type="dxa"/>
            <w:hideMark/>
          </w:tcPr>
          <w:p w:rsidR="00303692" w:rsidRPr="00303692" w:rsidRDefault="00303692" w:rsidP="00303692">
            <w:pPr>
              <w:rPr>
                <w:rFonts w:cstheme="minorHAnsi"/>
              </w:rPr>
            </w:pPr>
            <w:r w:rsidRPr="00303692">
              <w:rPr>
                <w:rFonts w:cstheme="minorHAnsi"/>
                <w:lang w:val="en-CA"/>
              </w:rPr>
              <w:t>15 min</w:t>
            </w:r>
          </w:p>
        </w:tc>
        <w:tc>
          <w:tcPr>
            <w:tcW w:w="3799" w:type="dxa"/>
            <w:hideMark/>
          </w:tcPr>
          <w:p w:rsidR="00303692" w:rsidRPr="00303692" w:rsidRDefault="00303692" w:rsidP="00303692">
            <w:pPr>
              <w:rPr>
                <w:rFonts w:cstheme="minorHAnsi"/>
              </w:rPr>
            </w:pPr>
            <w:r w:rsidRPr="00303692">
              <w:rPr>
                <w:rFonts w:cstheme="minorHAnsi"/>
              </w:rPr>
              <w:t xml:space="preserve">Introduction to the steps of strategic planning and an example </w:t>
            </w:r>
          </w:p>
        </w:tc>
        <w:tc>
          <w:tcPr>
            <w:tcW w:w="1011" w:type="dxa"/>
            <w:hideMark/>
          </w:tcPr>
          <w:p w:rsidR="00303692" w:rsidRPr="00303692" w:rsidRDefault="00F40C1B" w:rsidP="00303692">
            <w:pPr>
              <w:rPr>
                <w:rFonts w:cstheme="minorHAnsi"/>
              </w:rPr>
            </w:pPr>
            <w:r>
              <w:rPr>
                <w:rFonts w:cstheme="minorHAnsi"/>
              </w:rPr>
              <w:t>58- 60</w:t>
            </w:r>
          </w:p>
        </w:tc>
      </w:tr>
      <w:tr w:rsidR="00303692" w:rsidRPr="00303692" w:rsidTr="00303692">
        <w:trPr>
          <w:trHeight w:val="1430"/>
        </w:trPr>
        <w:tc>
          <w:tcPr>
            <w:tcW w:w="1437" w:type="dxa"/>
            <w:shd w:val="clear" w:color="auto" w:fill="D9D9D9" w:themeFill="background1" w:themeFillShade="D9"/>
            <w:hideMark/>
          </w:tcPr>
          <w:p w:rsidR="00303692" w:rsidRPr="00303692" w:rsidRDefault="00303692" w:rsidP="00303692">
            <w:pPr>
              <w:rPr>
                <w:rFonts w:cstheme="minorHAnsi"/>
              </w:rPr>
            </w:pPr>
            <w:r w:rsidRPr="00303692">
              <w:rPr>
                <w:rFonts w:cstheme="minorHAnsi"/>
              </w:rPr>
              <w:t> </w:t>
            </w:r>
          </w:p>
        </w:tc>
        <w:tc>
          <w:tcPr>
            <w:tcW w:w="1978" w:type="dxa"/>
            <w:hideMark/>
          </w:tcPr>
          <w:p w:rsidR="00303692" w:rsidRPr="00303692" w:rsidRDefault="00303692" w:rsidP="00303692">
            <w:pPr>
              <w:rPr>
                <w:rFonts w:cstheme="minorHAnsi"/>
              </w:rPr>
            </w:pPr>
            <w:r w:rsidRPr="00303692">
              <w:rPr>
                <w:rFonts w:cstheme="minorHAnsi"/>
                <w:lang w:val="en-CA"/>
              </w:rPr>
              <w:t>Resource mobilization for gender and GBV issues within nutrition programs</w:t>
            </w:r>
          </w:p>
        </w:tc>
        <w:tc>
          <w:tcPr>
            <w:tcW w:w="990" w:type="dxa"/>
            <w:hideMark/>
          </w:tcPr>
          <w:p w:rsidR="00303692" w:rsidRPr="00303692" w:rsidRDefault="00303692" w:rsidP="00303692">
            <w:pPr>
              <w:rPr>
                <w:rFonts w:cstheme="minorHAnsi"/>
              </w:rPr>
            </w:pPr>
            <w:r w:rsidRPr="00303692">
              <w:rPr>
                <w:rFonts w:cstheme="minorHAnsi"/>
                <w:lang w:val="en-CA"/>
              </w:rPr>
              <w:t>30 min</w:t>
            </w:r>
          </w:p>
        </w:tc>
        <w:tc>
          <w:tcPr>
            <w:tcW w:w="3799" w:type="dxa"/>
            <w:hideMark/>
          </w:tcPr>
          <w:p w:rsidR="00303692" w:rsidRPr="00303692" w:rsidRDefault="00303692" w:rsidP="00303692">
            <w:pPr>
              <w:rPr>
                <w:rFonts w:cstheme="minorHAnsi"/>
              </w:rPr>
            </w:pPr>
            <w:r w:rsidRPr="00303692">
              <w:rPr>
                <w:rFonts w:cstheme="minorHAnsi"/>
              </w:rPr>
              <w:t>Introduction to the objective of resource mobilization and the gender marker</w:t>
            </w:r>
          </w:p>
        </w:tc>
        <w:tc>
          <w:tcPr>
            <w:tcW w:w="1011" w:type="dxa"/>
            <w:hideMark/>
          </w:tcPr>
          <w:p w:rsidR="00303692" w:rsidRPr="00303692" w:rsidRDefault="00F40C1B" w:rsidP="00303692">
            <w:pPr>
              <w:rPr>
                <w:rFonts w:cstheme="minorHAnsi"/>
              </w:rPr>
            </w:pPr>
            <w:r>
              <w:rPr>
                <w:rFonts w:cstheme="minorHAnsi"/>
              </w:rPr>
              <w:t>61-63</w:t>
            </w:r>
          </w:p>
        </w:tc>
      </w:tr>
      <w:tr w:rsidR="00303692" w:rsidRPr="00303692" w:rsidTr="00303692">
        <w:trPr>
          <w:trHeight w:val="1070"/>
        </w:trPr>
        <w:tc>
          <w:tcPr>
            <w:tcW w:w="1437" w:type="dxa"/>
            <w:shd w:val="clear" w:color="auto" w:fill="D9D9D9" w:themeFill="background1" w:themeFillShade="D9"/>
            <w:hideMark/>
          </w:tcPr>
          <w:p w:rsidR="00303692" w:rsidRPr="00303692" w:rsidRDefault="00303692" w:rsidP="00303692">
            <w:pPr>
              <w:rPr>
                <w:rFonts w:cstheme="minorHAnsi"/>
              </w:rPr>
            </w:pPr>
            <w:r w:rsidRPr="00303692">
              <w:rPr>
                <w:rFonts w:cstheme="minorHAnsi"/>
              </w:rPr>
              <w:t> </w:t>
            </w:r>
          </w:p>
        </w:tc>
        <w:tc>
          <w:tcPr>
            <w:tcW w:w="1978" w:type="dxa"/>
            <w:hideMark/>
          </w:tcPr>
          <w:p w:rsidR="00303692" w:rsidRPr="00303692" w:rsidRDefault="00303692" w:rsidP="00303692">
            <w:pPr>
              <w:rPr>
                <w:rFonts w:cstheme="minorHAnsi"/>
              </w:rPr>
            </w:pPr>
            <w:r w:rsidRPr="00303692">
              <w:rPr>
                <w:rFonts w:cstheme="minorHAnsi"/>
                <w:lang w:val="en-CA"/>
              </w:rPr>
              <w:t>Implementation of nutrition programs using gender and GBV lens</w:t>
            </w:r>
          </w:p>
        </w:tc>
        <w:tc>
          <w:tcPr>
            <w:tcW w:w="990" w:type="dxa"/>
            <w:hideMark/>
          </w:tcPr>
          <w:p w:rsidR="00303692" w:rsidRPr="00303692" w:rsidRDefault="00303692" w:rsidP="00303692">
            <w:pPr>
              <w:rPr>
                <w:rFonts w:cstheme="minorHAnsi"/>
              </w:rPr>
            </w:pPr>
            <w:r w:rsidRPr="00303692">
              <w:rPr>
                <w:rFonts w:cstheme="minorHAnsi"/>
                <w:lang w:val="en-CA"/>
              </w:rPr>
              <w:t>30 min</w:t>
            </w:r>
          </w:p>
        </w:tc>
        <w:tc>
          <w:tcPr>
            <w:tcW w:w="3799" w:type="dxa"/>
            <w:hideMark/>
          </w:tcPr>
          <w:p w:rsidR="00303692" w:rsidRPr="00303692" w:rsidRDefault="00303692" w:rsidP="00303692">
            <w:pPr>
              <w:rPr>
                <w:rFonts w:cstheme="minorHAnsi"/>
              </w:rPr>
            </w:pPr>
            <w:r w:rsidRPr="00303692">
              <w:rPr>
                <w:rFonts w:cstheme="minorHAnsi"/>
              </w:rPr>
              <w:t xml:space="preserve">Introduction on implementation and examples </w:t>
            </w:r>
          </w:p>
        </w:tc>
        <w:tc>
          <w:tcPr>
            <w:tcW w:w="1011" w:type="dxa"/>
            <w:hideMark/>
          </w:tcPr>
          <w:p w:rsidR="00303692" w:rsidRPr="00303692" w:rsidRDefault="00F40C1B" w:rsidP="00303692">
            <w:pPr>
              <w:rPr>
                <w:rFonts w:cstheme="minorHAnsi"/>
              </w:rPr>
            </w:pPr>
            <w:r>
              <w:rPr>
                <w:rFonts w:cstheme="minorHAnsi"/>
              </w:rPr>
              <w:t>70- 82</w:t>
            </w:r>
          </w:p>
        </w:tc>
      </w:tr>
      <w:tr w:rsidR="00303692" w:rsidRPr="00303692" w:rsidTr="00303692">
        <w:trPr>
          <w:trHeight w:val="620"/>
        </w:trPr>
        <w:tc>
          <w:tcPr>
            <w:tcW w:w="1437" w:type="dxa"/>
            <w:shd w:val="clear" w:color="auto" w:fill="D9D9D9" w:themeFill="background1" w:themeFillShade="D9"/>
            <w:hideMark/>
          </w:tcPr>
          <w:p w:rsidR="00303692" w:rsidRPr="00303692" w:rsidRDefault="00303692" w:rsidP="00303692">
            <w:pPr>
              <w:rPr>
                <w:rFonts w:cstheme="minorHAnsi"/>
              </w:rPr>
            </w:pPr>
            <w:r w:rsidRPr="00303692">
              <w:rPr>
                <w:rFonts w:cstheme="minorHAnsi"/>
              </w:rPr>
              <w:t> </w:t>
            </w:r>
          </w:p>
        </w:tc>
        <w:tc>
          <w:tcPr>
            <w:tcW w:w="1978" w:type="dxa"/>
            <w:hideMark/>
          </w:tcPr>
          <w:p w:rsidR="00303692" w:rsidRPr="00303692" w:rsidRDefault="00303692" w:rsidP="00303692">
            <w:pPr>
              <w:rPr>
                <w:rFonts w:cstheme="minorHAnsi"/>
              </w:rPr>
            </w:pPr>
            <w:r w:rsidRPr="00303692">
              <w:rPr>
                <w:rFonts w:cstheme="minorHAnsi"/>
                <w:lang w:val="en-CA"/>
              </w:rPr>
              <w:t>Monitoring of gender and GBV issues in nutrition programming</w:t>
            </w:r>
          </w:p>
        </w:tc>
        <w:tc>
          <w:tcPr>
            <w:tcW w:w="990" w:type="dxa"/>
            <w:hideMark/>
          </w:tcPr>
          <w:p w:rsidR="00303692" w:rsidRPr="00303692" w:rsidRDefault="00303692" w:rsidP="00303692">
            <w:pPr>
              <w:rPr>
                <w:rFonts w:cstheme="minorHAnsi"/>
              </w:rPr>
            </w:pPr>
            <w:r w:rsidRPr="00303692">
              <w:rPr>
                <w:rFonts w:cstheme="minorHAnsi"/>
                <w:lang w:val="en-CA"/>
              </w:rPr>
              <w:t>30 min</w:t>
            </w:r>
          </w:p>
        </w:tc>
        <w:tc>
          <w:tcPr>
            <w:tcW w:w="3799" w:type="dxa"/>
            <w:hideMark/>
          </w:tcPr>
          <w:p w:rsidR="00303692" w:rsidRPr="00303692" w:rsidRDefault="00303692" w:rsidP="00303692">
            <w:pPr>
              <w:rPr>
                <w:rFonts w:cstheme="minorHAnsi"/>
              </w:rPr>
            </w:pPr>
            <w:r w:rsidRPr="00303692">
              <w:rPr>
                <w:rFonts w:cstheme="minorHAnsi"/>
              </w:rPr>
              <w:t xml:space="preserve">Introduction to monitoring and safety audits and examples </w:t>
            </w:r>
          </w:p>
        </w:tc>
        <w:tc>
          <w:tcPr>
            <w:tcW w:w="1011" w:type="dxa"/>
            <w:hideMark/>
          </w:tcPr>
          <w:p w:rsidR="00303692" w:rsidRPr="00303692" w:rsidRDefault="00F40C1B" w:rsidP="00303692">
            <w:pPr>
              <w:rPr>
                <w:rFonts w:cstheme="minorHAnsi"/>
              </w:rPr>
            </w:pPr>
            <w:r>
              <w:rPr>
                <w:rFonts w:cstheme="minorHAnsi"/>
              </w:rPr>
              <w:t>84 to 92</w:t>
            </w:r>
          </w:p>
        </w:tc>
      </w:tr>
      <w:tr w:rsidR="00303692" w:rsidRPr="00303692" w:rsidTr="00303692">
        <w:trPr>
          <w:trHeight w:val="710"/>
        </w:trPr>
        <w:tc>
          <w:tcPr>
            <w:tcW w:w="1437" w:type="dxa"/>
            <w:shd w:val="clear" w:color="auto" w:fill="D9D9D9" w:themeFill="background1" w:themeFillShade="D9"/>
            <w:hideMark/>
          </w:tcPr>
          <w:p w:rsidR="00303692" w:rsidRPr="00303692" w:rsidRDefault="00303692" w:rsidP="00303692">
            <w:pPr>
              <w:rPr>
                <w:rFonts w:cstheme="minorHAnsi"/>
              </w:rPr>
            </w:pPr>
          </w:p>
        </w:tc>
        <w:tc>
          <w:tcPr>
            <w:tcW w:w="1978" w:type="dxa"/>
            <w:hideMark/>
          </w:tcPr>
          <w:p w:rsidR="00303692" w:rsidRPr="00303692" w:rsidRDefault="00303692" w:rsidP="00303692">
            <w:pPr>
              <w:rPr>
                <w:rFonts w:cstheme="minorHAnsi"/>
              </w:rPr>
            </w:pPr>
            <w:r w:rsidRPr="00303692">
              <w:rPr>
                <w:rFonts w:cstheme="minorHAnsi"/>
              </w:rPr>
              <w:t xml:space="preserve">Take home messages and questions </w:t>
            </w:r>
          </w:p>
        </w:tc>
        <w:tc>
          <w:tcPr>
            <w:tcW w:w="990" w:type="dxa"/>
            <w:hideMark/>
          </w:tcPr>
          <w:p w:rsidR="00303692" w:rsidRPr="00303692" w:rsidRDefault="00303692" w:rsidP="00303692">
            <w:pPr>
              <w:rPr>
                <w:rFonts w:cstheme="minorHAnsi"/>
              </w:rPr>
            </w:pPr>
            <w:r w:rsidRPr="00303692">
              <w:rPr>
                <w:rFonts w:cstheme="minorHAnsi"/>
              </w:rPr>
              <w:t>20 min</w:t>
            </w:r>
          </w:p>
        </w:tc>
        <w:tc>
          <w:tcPr>
            <w:tcW w:w="3799" w:type="dxa"/>
            <w:hideMark/>
          </w:tcPr>
          <w:p w:rsidR="00303692" w:rsidRPr="00303692" w:rsidRDefault="00303692" w:rsidP="00303692">
            <w:pPr>
              <w:rPr>
                <w:rFonts w:cstheme="minorHAnsi"/>
              </w:rPr>
            </w:pPr>
            <w:r w:rsidRPr="00303692">
              <w:rPr>
                <w:rFonts w:cstheme="minorHAnsi"/>
              </w:rPr>
              <w:t xml:space="preserve">summary of key concepts and guidance </w:t>
            </w:r>
          </w:p>
        </w:tc>
        <w:tc>
          <w:tcPr>
            <w:tcW w:w="1011" w:type="dxa"/>
            <w:hideMark/>
          </w:tcPr>
          <w:p w:rsidR="00303692" w:rsidRPr="00303692" w:rsidRDefault="00F40C1B" w:rsidP="00303692">
            <w:pPr>
              <w:rPr>
                <w:rFonts w:cstheme="minorHAnsi"/>
              </w:rPr>
            </w:pPr>
            <w:r>
              <w:rPr>
                <w:rFonts w:cstheme="minorHAnsi"/>
              </w:rPr>
              <w:t>94- 96</w:t>
            </w:r>
          </w:p>
        </w:tc>
      </w:tr>
    </w:tbl>
    <w:p w:rsidR="00303692" w:rsidRDefault="00303692" w:rsidP="00303692"/>
    <w:p w:rsidR="00303692" w:rsidRDefault="00303692" w:rsidP="00303692"/>
    <w:p w:rsidR="00303692" w:rsidRDefault="00303692" w:rsidP="00303692">
      <w:r>
        <w:t>2- day workshop</w:t>
      </w:r>
    </w:p>
    <w:tbl>
      <w:tblPr>
        <w:tblStyle w:val="TableGrid"/>
        <w:tblW w:w="0" w:type="auto"/>
        <w:tblLook w:val="04A0" w:firstRow="1" w:lastRow="0" w:firstColumn="1" w:lastColumn="0" w:noHBand="0" w:noVBand="1"/>
      </w:tblPr>
      <w:tblGrid>
        <w:gridCol w:w="1937"/>
        <w:gridCol w:w="1659"/>
        <w:gridCol w:w="973"/>
        <w:gridCol w:w="3709"/>
        <w:gridCol w:w="1072"/>
      </w:tblGrid>
      <w:tr w:rsidR="00303692" w:rsidRPr="00BE4E38" w:rsidTr="00303692">
        <w:trPr>
          <w:trHeight w:val="900"/>
        </w:trPr>
        <w:tc>
          <w:tcPr>
            <w:tcW w:w="1937" w:type="dxa"/>
            <w:shd w:val="clear" w:color="auto" w:fill="BDD6EE" w:themeFill="accent1" w:themeFillTint="66"/>
            <w:hideMark/>
          </w:tcPr>
          <w:p w:rsidR="00303692" w:rsidRPr="00BE4E38" w:rsidRDefault="00303692" w:rsidP="00303692">
            <w:r w:rsidRPr="00BE4E38">
              <w:t xml:space="preserve">Target Audience </w:t>
            </w:r>
          </w:p>
        </w:tc>
        <w:tc>
          <w:tcPr>
            <w:tcW w:w="1654" w:type="dxa"/>
            <w:shd w:val="clear" w:color="auto" w:fill="BDD6EE" w:themeFill="accent1" w:themeFillTint="66"/>
            <w:hideMark/>
          </w:tcPr>
          <w:p w:rsidR="00303692" w:rsidRPr="00BE4E38" w:rsidRDefault="00303692" w:rsidP="00303692">
            <w:r w:rsidRPr="00BE4E38">
              <w:t>Topic</w:t>
            </w:r>
          </w:p>
        </w:tc>
        <w:tc>
          <w:tcPr>
            <w:tcW w:w="974" w:type="dxa"/>
            <w:shd w:val="clear" w:color="auto" w:fill="BDD6EE" w:themeFill="accent1" w:themeFillTint="66"/>
            <w:hideMark/>
          </w:tcPr>
          <w:p w:rsidR="00303692" w:rsidRPr="00BE4E38" w:rsidRDefault="00303692" w:rsidP="00303692">
            <w:r w:rsidRPr="00BE4E38">
              <w:t>Time</w:t>
            </w:r>
          </w:p>
        </w:tc>
        <w:tc>
          <w:tcPr>
            <w:tcW w:w="3713" w:type="dxa"/>
            <w:shd w:val="clear" w:color="auto" w:fill="BDD6EE" w:themeFill="accent1" w:themeFillTint="66"/>
            <w:hideMark/>
          </w:tcPr>
          <w:p w:rsidR="00303692" w:rsidRPr="00BE4E38" w:rsidRDefault="00303692" w:rsidP="00303692">
            <w:r w:rsidRPr="00BE4E38">
              <w:t>Content of the session</w:t>
            </w:r>
          </w:p>
        </w:tc>
        <w:tc>
          <w:tcPr>
            <w:tcW w:w="1072" w:type="dxa"/>
            <w:shd w:val="clear" w:color="auto" w:fill="BDD6EE" w:themeFill="accent1" w:themeFillTint="66"/>
            <w:hideMark/>
          </w:tcPr>
          <w:p w:rsidR="00303692" w:rsidRPr="00BE4E38" w:rsidRDefault="00303692" w:rsidP="00303692">
            <w:r w:rsidRPr="00BE4E38">
              <w:t xml:space="preserve">Slide numbers </w:t>
            </w:r>
          </w:p>
        </w:tc>
      </w:tr>
      <w:tr w:rsidR="00303692" w:rsidRPr="00BE4E38" w:rsidTr="00303692">
        <w:trPr>
          <w:trHeight w:val="2402"/>
        </w:trPr>
        <w:tc>
          <w:tcPr>
            <w:tcW w:w="1937" w:type="dxa"/>
            <w:shd w:val="clear" w:color="auto" w:fill="D9D9D9" w:themeFill="background1" w:themeFillShade="D9"/>
            <w:hideMark/>
          </w:tcPr>
          <w:p w:rsidR="00303692" w:rsidRPr="00BE4E38" w:rsidRDefault="008C6C6A" w:rsidP="00303692">
            <w:r>
              <w:t>Staff</w:t>
            </w:r>
            <w:r w:rsidR="00303692" w:rsidRPr="00BE4E38">
              <w:t xml:space="preserve"> that oversee and/or directly manage projects and who have minimum knowledge on GBV core concepts. </w:t>
            </w:r>
            <w:r w:rsidR="00545330" w:rsidRPr="00BE4E38">
              <w:t>E.g.</w:t>
            </w:r>
            <w:r w:rsidR="00303692" w:rsidRPr="00BE4E38">
              <w:t>: program coordinators, managers, officers, etc..</w:t>
            </w:r>
          </w:p>
        </w:tc>
        <w:tc>
          <w:tcPr>
            <w:tcW w:w="1654" w:type="dxa"/>
            <w:hideMark/>
          </w:tcPr>
          <w:p w:rsidR="00303692" w:rsidRPr="00BE4E38" w:rsidRDefault="00303692" w:rsidP="00303692">
            <w:r w:rsidRPr="00BE4E38">
              <w:rPr>
                <w:lang w:val="en-CA"/>
              </w:rPr>
              <w:t>Introductory definitions</w:t>
            </w:r>
          </w:p>
        </w:tc>
        <w:tc>
          <w:tcPr>
            <w:tcW w:w="974" w:type="dxa"/>
            <w:hideMark/>
          </w:tcPr>
          <w:p w:rsidR="00303692" w:rsidRPr="00BE4E38" w:rsidRDefault="00303692" w:rsidP="00303692">
            <w:r w:rsidRPr="00BE4E38">
              <w:rPr>
                <w:lang w:val="en-CA"/>
              </w:rPr>
              <w:t>60 min</w:t>
            </w:r>
          </w:p>
        </w:tc>
        <w:tc>
          <w:tcPr>
            <w:tcW w:w="3713" w:type="dxa"/>
            <w:hideMark/>
          </w:tcPr>
          <w:p w:rsidR="00303692" w:rsidRPr="00BE4E38" w:rsidRDefault="00303692" w:rsidP="00303692">
            <w:r w:rsidRPr="00BE4E38">
              <w:t xml:space="preserve">Quick revision of definitions and the power walk  exercise </w:t>
            </w:r>
          </w:p>
        </w:tc>
        <w:tc>
          <w:tcPr>
            <w:tcW w:w="1072" w:type="dxa"/>
            <w:hideMark/>
          </w:tcPr>
          <w:p w:rsidR="00303692" w:rsidRPr="00BE4E38" w:rsidRDefault="00303692" w:rsidP="00303692">
            <w:r w:rsidRPr="00BE4E38">
              <w:t>1 - 9</w:t>
            </w:r>
          </w:p>
        </w:tc>
      </w:tr>
      <w:tr w:rsidR="00303692" w:rsidRPr="00BE4E38" w:rsidTr="00303692">
        <w:trPr>
          <w:trHeight w:val="710"/>
        </w:trPr>
        <w:tc>
          <w:tcPr>
            <w:tcW w:w="1937" w:type="dxa"/>
            <w:shd w:val="clear" w:color="auto" w:fill="D9D9D9" w:themeFill="background1" w:themeFillShade="D9"/>
            <w:hideMark/>
          </w:tcPr>
          <w:p w:rsidR="00303692" w:rsidRPr="00BE4E38" w:rsidRDefault="00303692" w:rsidP="00303692">
            <w:r w:rsidRPr="00BE4E38">
              <w:t> </w:t>
            </w:r>
          </w:p>
        </w:tc>
        <w:tc>
          <w:tcPr>
            <w:tcW w:w="1654" w:type="dxa"/>
            <w:hideMark/>
          </w:tcPr>
          <w:p w:rsidR="00303692" w:rsidRPr="00BE4E38" w:rsidRDefault="00303692" w:rsidP="00303692">
            <w:r w:rsidRPr="00BE4E38">
              <w:t>Linkages between gender, GBV and nutrition</w:t>
            </w:r>
          </w:p>
        </w:tc>
        <w:tc>
          <w:tcPr>
            <w:tcW w:w="974" w:type="dxa"/>
            <w:hideMark/>
          </w:tcPr>
          <w:p w:rsidR="00303692" w:rsidRPr="00BE4E38" w:rsidRDefault="00303692" w:rsidP="00303692">
            <w:r w:rsidRPr="00BE4E38">
              <w:rPr>
                <w:lang w:val="en-GB"/>
              </w:rPr>
              <w:t>60 min</w:t>
            </w:r>
          </w:p>
        </w:tc>
        <w:tc>
          <w:tcPr>
            <w:tcW w:w="3713" w:type="dxa"/>
            <w:hideMark/>
          </w:tcPr>
          <w:p w:rsidR="00303692" w:rsidRPr="00BE4E38" w:rsidRDefault="00303692" w:rsidP="00303692">
            <w:r>
              <w:t>G</w:t>
            </w:r>
            <w:r w:rsidRPr="00BE4E38">
              <w:t xml:space="preserve">roup exercise on case studies and literature review </w:t>
            </w:r>
          </w:p>
        </w:tc>
        <w:tc>
          <w:tcPr>
            <w:tcW w:w="1072" w:type="dxa"/>
            <w:hideMark/>
          </w:tcPr>
          <w:p w:rsidR="00303692" w:rsidRPr="00BE4E38" w:rsidRDefault="00303692" w:rsidP="00303692">
            <w:r w:rsidRPr="00BE4E38">
              <w:t>10 - 17</w:t>
            </w:r>
          </w:p>
        </w:tc>
      </w:tr>
      <w:tr w:rsidR="00303692" w:rsidRPr="00BE4E38" w:rsidTr="00303692">
        <w:trPr>
          <w:trHeight w:val="1232"/>
        </w:trPr>
        <w:tc>
          <w:tcPr>
            <w:tcW w:w="1937" w:type="dxa"/>
            <w:shd w:val="clear" w:color="auto" w:fill="D9D9D9" w:themeFill="background1" w:themeFillShade="D9"/>
            <w:hideMark/>
          </w:tcPr>
          <w:p w:rsidR="00303692" w:rsidRPr="00BE4E38" w:rsidRDefault="00303692" w:rsidP="00303692">
            <w:r w:rsidRPr="00BE4E38">
              <w:lastRenderedPageBreak/>
              <w:t> </w:t>
            </w:r>
          </w:p>
        </w:tc>
        <w:tc>
          <w:tcPr>
            <w:tcW w:w="1654" w:type="dxa"/>
            <w:hideMark/>
          </w:tcPr>
          <w:p w:rsidR="00303692" w:rsidRPr="00BE4E38" w:rsidRDefault="00303692" w:rsidP="00303692">
            <w:r w:rsidRPr="00BE4E38">
              <w:rPr>
                <w:lang w:val="en-CA"/>
              </w:rPr>
              <w:t>Gender and GBV responsive nutrition programming</w:t>
            </w:r>
          </w:p>
        </w:tc>
        <w:tc>
          <w:tcPr>
            <w:tcW w:w="974" w:type="dxa"/>
            <w:hideMark/>
          </w:tcPr>
          <w:p w:rsidR="00303692" w:rsidRPr="00BE4E38" w:rsidRDefault="00303692" w:rsidP="00303692">
            <w:r w:rsidRPr="00BE4E38">
              <w:rPr>
                <w:lang w:val="en-CA"/>
              </w:rPr>
              <w:t>40 min</w:t>
            </w:r>
          </w:p>
        </w:tc>
        <w:tc>
          <w:tcPr>
            <w:tcW w:w="3713" w:type="dxa"/>
            <w:hideMark/>
          </w:tcPr>
          <w:p w:rsidR="00303692" w:rsidRPr="00BE4E38" w:rsidRDefault="00303692" w:rsidP="00303692">
            <w:r w:rsidRPr="00BE4E38">
              <w:t xml:space="preserve">Discussion on gender and GBV integration </w:t>
            </w:r>
            <w:r>
              <w:t xml:space="preserve">within the project cycle and preparedness phase </w:t>
            </w:r>
            <w:r w:rsidRPr="00BE4E38">
              <w:t>and an introduction to the AAAQ framework and key tools for integration</w:t>
            </w:r>
          </w:p>
        </w:tc>
        <w:tc>
          <w:tcPr>
            <w:tcW w:w="1072" w:type="dxa"/>
            <w:hideMark/>
          </w:tcPr>
          <w:p w:rsidR="00303692" w:rsidRPr="00BE4E38" w:rsidRDefault="00652F94" w:rsidP="00303692">
            <w:r>
              <w:t>18 - 29</w:t>
            </w:r>
          </w:p>
        </w:tc>
      </w:tr>
      <w:tr w:rsidR="00303692" w:rsidRPr="00BE4E38" w:rsidTr="00303692">
        <w:trPr>
          <w:trHeight w:val="1880"/>
        </w:trPr>
        <w:tc>
          <w:tcPr>
            <w:tcW w:w="1937" w:type="dxa"/>
            <w:shd w:val="clear" w:color="auto" w:fill="D9D9D9" w:themeFill="background1" w:themeFillShade="D9"/>
            <w:hideMark/>
          </w:tcPr>
          <w:p w:rsidR="00303692" w:rsidRPr="00BE4E38" w:rsidRDefault="00303692" w:rsidP="00303692">
            <w:r w:rsidRPr="00BE4E38">
              <w:t> </w:t>
            </w:r>
          </w:p>
        </w:tc>
        <w:tc>
          <w:tcPr>
            <w:tcW w:w="1654" w:type="dxa"/>
            <w:hideMark/>
          </w:tcPr>
          <w:p w:rsidR="00303692" w:rsidRPr="00BE4E38" w:rsidRDefault="00303692" w:rsidP="00303692">
            <w:r w:rsidRPr="00BE4E38">
              <w:rPr>
                <w:lang w:val="en-CA"/>
              </w:rPr>
              <w:t>Gender and GBV risk assessment and analysis</w:t>
            </w:r>
          </w:p>
        </w:tc>
        <w:tc>
          <w:tcPr>
            <w:tcW w:w="974" w:type="dxa"/>
            <w:hideMark/>
          </w:tcPr>
          <w:p w:rsidR="00303692" w:rsidRPr="00BE4E38" w:rsidRDefault="00303692" w:rsidP="00303692">
            <w:r w:rsidRPr="00BE4E38">
              <w:rPr>
                <w:lang w:val="en-CA"/>
              </w:rPr>
              <w:t>2 hours</w:t>
            </w:r>
          </w:p>
        </w:tc>
        <w:tc>
          <w:tcPr>
            <w:tcW w:w="3713" w:type="dxa"/>
            <w:hideMark/>
          </w:tcPr>
          <w:p w:rsidR="00303692" w:rsidRPr="00BE4E38" w:rsidRDefault="00303692" w:rsidP="00303692">
            <w:r w:rsidRPr="00BE4E38">
              <w:t>Introduction to the different methods  of GBV and gender risk analysis and assessment, in</w:t>
            </w:r>
            <w:r>
              <w:t>-</w:t>
            </w:r>
            <w:r w:rsidRPr="00BE4E38">
              <w:t xml:space="preserve">depth discussions on the steps, one exercise on analyzing the AAAQ framework and one exercise on integrating gender and GBV in nutrition assessments  in addition to examples </w:t>
            </w:r>
          </w:p>
        </w:tc>
        <w:tc>
          <w:tcPr>
            <w:tcW w:w="1072" w:type="dxa"/>
            <w:hideMark/>
          </w:tcPr>
          <w:p w:rsidR="00303692" w:rsidRPr="00BE4E38" w:rsidRDefault="00652F94" w:rsidP="00303692">
            <w:r>
              <w:t>36- 57</w:t>
            </w:r>
          </w:p>
        </w:tc>
      </w:tr>
      <w:tr w:rsidR="00303692" w:rsidRPr="00BE4E38" w:rsidTr="00303692">
        <w:trPr>
          <w:trHeight w:val="1340"/>
        </w:trPr>
        <w:tc>
          <w:tcPr>
            <w:tcW w:w="1937" w:type="dxa"/>
            <w:shd w:val="clear" w:color="auto" w:fill="D9D9D9" w:themeFill="background1" w:themeFillShade="D9"/>
            <w:hideMark/>
          </w:tcPr>
          <w:p w:rsidR="00303692" w:rsidRPr="00BE4E38" w:rsidRDefault="00303692" w:rsidP="00303692">
            <w:r w:rsidRPr="00BE4E38">
              <w:t> </w:t>
            </w:r>
          </w:p>
        </w:tc>
        <w:tc>
          <w:tcPr>
            <w:tcW w:w="1654" w:type="dxa"/>
            <w:hideMark/>
          </w:tcPr>
          <w:p w:rsidR="00303692" w:rsidRPr="00BE4E38" w:rsidRDefault="00303692" w:rsidP="00303692">
            <w:r w:rsidRPr="00BE4E38">
              <w:rPr>
                <w:lang w:val="en-CA"/>
              </w:rPr>
              <w:t>Strategic planning of gender and GBV issues in nutrition programs</w:t>
            </w:r>
          </w:p>
        </w:tc>
        <w:tc>
          <w:tcPr>
            <w:tcW w:w="974" w:type="dxa"/>
            <w:hideMark/>
          </w:tcPr>
          <w:p w:rsidR="00303692" w:rsidRPr="00BE4E38" w:rsidRDefault="00303692" w:rsidP="00303692">
            <w:r w:rsidRPr="00BE4E38">
              <w:rPr>
                <w:lang w:val="en-CA"/>
              </w:rPr>
              <w:t>15 min</w:t>
            </w:r>
          </w:p>
        </w:tc>
        <w:tc>
          <w:tcPr>
            <w:tcW w:w="3713" w:type="dxa"/>
            <w:hideMark/>
          </w:tcPr>
          <w:p w:rsidR="00303692" w:rsidRPr="00BE4E38" w:rsidRDefault="00303692" w:rsidP="00303692">
            <w:r w:rsidRPr="00BE4E38">
              <w:t> Introduction to the steps of strategic planning and an example</w:t>
            </w:r>
          </w:p>
        </w:tc>
        <w:tc>
          <w:tcPr>
            <w:tcW w:w="1072" w:type="dxa"/>
            <w:hideMark/>
          </w:tcPr>
          <w:p w:rsidR="00303692" w:rsidRPr="00BE4E38" w:rsidRDefault="00652F94" w:rsidP="00303692">
            <w:r>
              <w:t>58-60</w:t>
            </w:r>
          </w:p>
        </w:tc>
      </w:tr>
      <w:tr w:rsidR="00303692" w:rsidRPr="00BE4E38" w:rsidTr="00303692">
        <w:trPr>
          <w:trHeight w:val="1610"/>
        </w:trPr>
        <w:tc>
          <w:tcPr>
            <w:tcW w:w="1937" w:type="dxa"/>
            <w:shd w:val="clear" w:color="auto" w:fill="D9D9D9" w:themeFill="background1" w:themeFillShade="D9"/>
            <w:hideMark/>
          </w:tcPr>
          <w:p w:rsidR="00303692" w:rsidRPr="00BE4E38" w:rsidRDefault="00303692" w:rsidP="00303692">
            <w:r w:rsidRPr="00BE4E38">
              <w:t> </w:t>
            </w:r>
          </w:p>
        </w:tc>
        <w:tc>
          <w:tcPr>
            <w:tcW w:w="1654" w:type="dxa"/>
            <w:hideMark/>
          </w:tcPr>
          <w:p w:rsidR="00303692" w:rsidRPr="00BE4E38" w:rsidRDefault="00303692" w:rsidP="00303692">
            <w:r w:rsidRPr="00BE4E38">
              <w:rPr>
                <w:lang w:val="en-CA"/>
              </w:rPr>
              <w:t>Resource mobilization for gender and GBV issues within nutrition programs</w:t>
            </w:r>
          </w:p>
        </w:tc>
        <w:tc>
          <w:tcPr>
            <w:tcW w:w="974" w:type="dxa"/>
            <w:hideMark/>
          </w:tcPr>
          <w:p w:rsidR="00303692" w:rsidRPr="00BE4E38" w:rsidRDefault="00303692" w:rsidP="00303692">
            <w:r w:rsidRPr="00BE4E38">
              <w:rPr>
                <w:lang w:val="en-CA"/>
              </w:rPr>
              <w:t>2 hours</w:t>
            </w:r>
          </w:p>
        </w:tc>
        <w:tc>
          <w:tcPr>
            <w:tcW w:w="3713" w:type="dxa"/>
            <w:hideMark/>
          </w:tcPr>
          <w:p w:rsidR="00303692" w:rsidRPr="00BE4E38" w:rsidRDefault="00303692" w:rsidP="00303692">
            <w:r w:rsidRPr="00BE4E38">
              <w:t xml:space="preserve">Introduction to the objective of resource mobilization and the gender marker, GBV and gender responsive proposals and budgeting, in addition to an exercise on integration of gender and GBV in proposals </w:t>
            </w:r>
          </w:p>
        </w:tc>
        <w:tc>
          <w:tcPr>
            <w:tcW w:w="1072" w:type="dxa"/>
            <w:hideMark/>
          </w:tcPr>
          <w:p w:rsidR="00303692" w:rsidRPr="00BE4E38" w:rsidRDefault="00303692" w:rsidP="00303692">
            <w:r w:rsidRPr="00BE4E38">
              <w:t> </w:t>
            </w:r>
            <w:r w:rsidR="00CC27EA">
              <w:t>61- 69</w:t>
            </w:r>
          </w:p>
        </w:tc>
      </w:tr>
      <w:tr w:rsidR="00303692" w:rsidRPr="00BE4E38" w:rsidTr="00303692">
        <w:trPr>
          <w:trHeight w:val="1430"/>
        </w:trPr>
        <w:tc>
          <w:tcPr>
            <w:tcW w:w="1937" w:type="dxa"/>
            <w:shd w:val="clear" w:color="auto" w:fill="D9D9D9" w:themeFill="background1" w:themeFillShade="D9"/>
            <w:hideMark/>
          </w:tcPr>
          <w:p w:rsidR="00303692" w:rsidRPr="00BE4E38" w:rsidRDefault="00303692" w:rsidP="00303692">
            <w:r w:rsidRPr="00BE4E38">
              <w:t> </w:t>
            </w:r>
          </w:p>
        </w:tc>
        <w:tc>
          <w:tcPr>
            <w:tcW w:w="1654" w:type="dxa"/>
            <w:hideMark/>
          </w:tcPr>
          <w:p w:rsidR="00303692" w:rsidRPr="00BE4E38" w:rsidRDefault="00303692" w:rsidP="00303692">
            <w:r w:rsidRPr="00BE4E38">
              <w:rPr>
                <w:lang w:val="en-CA"/>
              </w:rPr>
              <w:t>Implementation of nutrition programs using gender and GBV lens</w:t>
            </w:r>
          </w:p>
        </w:tc>
        <w:tc>
          <w:tcPr>
            <w:tcW w:w="974" w:type="dxa"/>
            <w:hideMark/>
          </w:tcPr>
          <w:p w:rsidR="00303692" w:rsidRPr="00BE4E38" w:rsidRDefault="00303692" w:rsidP="00303692">
            <w:r w:rsidRPr="00BE4E38">
              <w:rPr>
                <w:lang w:val="en-CA"/>
              </w:rPr>
              <w:t>1.5 hour</w:t>
            </w:r>
          </w:p>
        </w:tc>
        <w:tc>
          <w:tcPr>
            <w:tcW w:w="3713" w:type="dxa"/>
            <w:hideMark/>
          </w:tcPr>
          <w:p w:rsidR="00303692" w:rsidRPr="00BE4E38" w:rsidRDefault="00303692" w:rsidP="00303692">
            <w:r w:rsidRPr="00BE4E38">
              <w:t xml:space="preserve">Introduction on </w:t>
            </w:r>
            <w:r w:rsidR="008C6C6A">
              <w:t xml:space="preserve">implementation </w:t>
            </w:r>
            <w:r w:rsidRPr="00BE4E38">
              <w:t xml:space="preserve"> and examples as well as an exercise to integrate gender and GBV in project interventions </w:t>
            </w:r>
          </w:p>
        </w:tc>
        <w:tc>
          <w:tcPr>
            <w:tcW w:w="1072" w:type="dxa"/>
            <w:hideMark/>
          </w:tcPr>
          <w:p w:rsidR="00303692" w:rsidRPr="00BE4E38" w:rsidRDefault="00CC27EA" w:rsidP="00303692">
            <w:r>
              <w:t>70- 83</w:t>
            </w:r>
          </w:p>
        </w:tc>
      </w:tr>
      <w:tr w:rsidR="00303692" w:rsidRPr="00BE4E38" w:rsidTr="00303692">
        <w:trPr>
          <w:trHeight w:val="1160"/>
        </w:trPr>
        <w:tc>
          <w:tcPr>
            <w:tcW w:w="1937" w:type="dxa"/>
            <w:shd w:val="clear" w:color="auto" w:fill="D9D9D9" w:themeFill="background1" w:themeFillShade="D9"/>
            <w:hideMark/>
          </w:tcPr>
          <w:p w:rsidR="00303692" w:rsidRPr="00BE4E38" w:rsidRDefault="00303692" w:rsidP="00303692">
            <w:r w:rsidRPr="00BE4E38">
              <w:t> </w:t>
            </w:r>
          </w:p>
        </w:tc>
        <w:tc>
          <w:tcPr>
            <w:tcW w:w="1654" w:type="dxa"/>
            <w:hideMark/>
          </w:tcPr>
          <w:p w:rsidR="00303692" w:rsidRPr="00BE4E38" w:rsidRDefault="00303692" w:rsidP="00303692">
            <w:r w:rsidRPr="00BE4E38">
              <w:rPr>
                <w:lang w:val="en-CA"/>
              </w:rPr>
              <w:t>Monitoring of gender and GBV issues in nutrition programming</w:t>
            </w:r>
          </w:p>
        </w:tc>
        <w:tc>
          <w:tcPr>
            <w:tcW w:w="974" w:type="dxa"/>
            <w:hideMark/>
          </w:tcPr>
          <w:p w:rsidR="00303692" w:rsidRPr="00BE4E38" w:rsidRDefault="00303692" w:rsidP="00303692">
            <w:r w:rsidRPr="00BE4E38">
              <w:rPr>
                <w:lang w:val="en-CA"/>
              </w:rPr>
              <w:t>1.5 hour</w:t>
            </w:r>
          </w:p>
        </w:tc>
        <w:tc>
          <w:tcPr>
            <w:tcW w:w="3713" w:type="dxa"/>
            <w:hideMark/>
          </w:tcPr>
          <w:p w:rsidR="00303692" w:rsidRPr="00BE4E38" w:rsidRDefault="00303692" w:rsidP="00303692">
            <w:r w:rsidRPr="00BE4E38">
              <w:t>Introduction to monitoring and safety audits and examples as well as an exercise on integrating gender and GBV indicators in an M&amp;E plan</w:t>
            </w:r>
          </w:p>
        </w:tc>
        <w:tc>
          <w:tcPr>
            <w:tcW w:w="1072" w:type="dxa"/>
            <w:hideMark/>
          </w:tcPr>
          <w:p w:rsidR="00303692" w:rsidRPr="00BE4E38" w:rsidRDefault="008C6C6A" w:rsidP="00303692">
            <w:r>
              <w:t>84- 93</w:t>
            </w:r>
          </w:p>
        </w:tc>
      </w:tr>
      <w:tr w:rsidR="00303692" w:rsidRPr="00BE4E38" w:rsidTr="00303692">
        <w:trPr>
          <w:trHeight w:val="800"/>
        </w:trPr>
        <w:tc>
          <w:tcPr>
            <w:tcW w:w="1937" w:type="dxa"/>
            <w:shd w:val="clear" w:color="auto" w:fill="D9D9D9" w:themeFill="background1" w:themeFillShade="D9"/>
            <w:noWrap/>
            <w:hideMark/>
          </w:tcPr>
          <w:p w:rsidR="00303692" w:rsidRPr="00BE4E38" w:rsidRDefault="00303692" w:rsidP="00303692">
            <w:r w:rsidRPr="00BE4E38">
              <w:t> </w:t>
            </w:r>
          </w:p>
        </w:tc>
        <w:tc>
          <w:tcPr>
            <w:tcW w:w="1654" w:type="dxa"/>
            <w:hideMark/>
          </w:tcPr>
          <w:p w:rsidR="00303692" w:rsidRPr="00BE4E38" w:rsidRDefault="00303692" w:rsidP="00303692">
            <w:r w:rsidRPr="00BE4E38">
              <w:t xml:space="preserve">Take home messages and questions </w:t>
            </w:r>
          </w:p>
        </w:tc>
        <w:tc>
          <w:tcPr>
            <w:tcW w:w="974" w:type="dxa"/>
            <w:hideMark/>
          </w:tcPr>
          <w:p w:rsidR="00303692" w:rsidRPr="00BE4E38" w:rsidRDefault="00303692" w:rsidP="00303692">
            <w:r w:rsidRPr="00BE4E38">
              <w:t>20 min</w:t>
            </w:r>
          </w:p>
        </w:tc>
        <w:tc>
          <w:tcPr>
            <w:tcW w:w="3713" w:type="dxa"/>
            <w:hideMark/>
          </w:tcPr>
          <w:p w:rsidR="00303692" w:rsidRPr="00BE4E38" w:rsidRDefault="008C6C6A" w:rsidP="00303692">
            <w:r>
              <w:t>S</w:t>
            </w:r>
            <w:r w:rsidRPr="00BE4E38">
              <w:t>ummary</w:t>
            </w:r>
            <w:r w:rsidR="00303692" w:rsidRPr="00BE4E38">
              <w:t xml:space="preserve"> of key concepts and guidance </w:t>
            </w:r>
          </w:p>
        </w:tc>
        <w:tc>
          <w:tcPr>
            <w:tcW w:w="1072" w:type="dxa"/>
            <w:hideMark/>
          </w:tcPr>
          <w:p w:rsidR="00303692" w:rsidRPr="00BE4E38" w:rsidRDefault="008C6C6A" w:rsidP="00303692">
            <w:r>
              <w:t>94-96</w:t>
            </w:r>
          </w:p>
        </w:tc>
      </w:tr>
    </w:tbl>
    <w:p w:rsidR="00303692" w:rsidRDefault="00303692" w:rsidP="00303692"/>
    <w:p w:rsidR="00303692" w:rsidRDefault="00303692" w:rsidP="00303692"/>
    <w:p w:rsidR="00303692" w:rsidRDefault="00303692" w:rsidP="00303692"/>
    <w:p w:rsidR="00303692" w:rsidRDefault="00303692" w:rsidP="00303692"/>
    <w:p w:rsidR="00303692" w:rsidRDefault="00303692" w:rsidP="00303692"/>
    <w:p w:rsidR="00303692" w:rsidRDefault="00303692" w:rsidP="00303692"/>
    <w:p w:rsidR="00303692" w:rsidRDefault="00303692" w:rsidP="00303692">
      <w:r>
        <w:lastRenderedPageBreak/>
        <w:t>3- day workshop</w:t>
      </w:r>
    </w:p>
    <w:tbl>
      <w:tblPr>
        <w:tblStyle w:val="TableGrid"/>
        <w:tblW w:w="0" w:type="auto"/>
        <w:tblLook w:val="04A0" w:firstRow="1" w:lastRow="0" w:firstColumn="1" w:lastColumn="0" w:noHBand="0" w:noVBand="1"/>
      </w:tblPr>
      <w:tblGrid>
        <w:gridCol w:w="1867"/>
        <w:gridCol w:w="1659"/>
        <w:gridCol w:w="943"/>
        <w:gridCol w:w="3275"/>
        <w:gridCol w:w="1606"/>
      </w:tblGrid>
      <w:tr w:rsidR="00303692" w:rsidRPr="00BE4E38" w:rsidTr="008C6C6A">
        <w:trPr>
          <w:trHeight w:val="900"/>
        </w:trPr>
        <w:tc>
          <w:tcPr>
            <w:tcW w:w="1867" w:type="dxa"/>
            <w:shd w:val="clear" w:color="auto" w:fill="BDD6EE" w:themeFill="accent1" w:themeFillTint="66"/>
            <w:hideMark/>
          </w:tcPr>
          <w:p w:rsidR="00303692" w:rsidRPr="00BE4E38" w:rsidRDefault="00303692" w:rsidP="00303692">
            <w:r w:rsidRPr="00BE4E38">
              <w:t xml:space="preserve">Target Audience </w:t>
            </w:r>
          </w:p>
        </w:tc>
        <w:tc>
          <w:tcPr>
            <w:tcW w:w="1659" w:type="dxa"/>
            <w:shd w:val="clear" w:color="auto" w:fill="BDD6EE" w:themeFill="accent1" w:themeFillTint="66"/>
            <w:hideMark/>
          </w:tcPr>
          <w:p w:rsidR="00303692" w:rsidRPr="00BE4E38" w:rsidRDefault="00303692" w:rsidP="00303692">
            <w:r w:rsidRPr="00BE4E38">
              <w:t>Topic</w:t>
            </w:r>
          </w:p>
        </w:tc>
        <w:tc>
          <w:tcPr>
            <w:tcW w:w="943" w:type="dxa"/>
            <w:shd w:val="clear" w:color="auto" w:fill="BDD6EE" w:themeFill="accent1" w:themeFillTint="66"/>
            <w:hideMark/>
          </w:tcPr>
          <w:p w:rsidR="00303692" w:rsidRPr="00BE4E38" w:rsidRDefault="00303692" w:rsidP="00303692">
            <w:r w:rsidRPr="00BE4E38">
              <w:t>Time</w:t>
            </w:r>
          </w:p>
        </w:tc>
        <w:tc>
          <w:tcPr>
            <w:tcW w:w="3275" w:type="dxa"/>
            <w:shd w:val="clear" w:color="auto" w:fill="BDD6EE" w:themeFill="accent1" w:themeFillTint="66"/>
            <w:hideMark/>
          </w:tcPr>
          <w:p w:rsidR="00303692" w:rsidRPr="00BE4E38" w:rsidRDefault="00303692" w:rsidP="00303692">
            <w:r w:rsidRPr="00BE4E38">
              <w:t>Content of the session</w:t>
            </w:r>
          </w:p>
        </w:tc>
        <w:tc>
          <w:tcPr>
            <w:tcW w:w="1606" w:type="dxa"/>
            <w:shd w:val="clear" w:color="auto" w:fill="BDD6EE" w:themeFill="accent1" w:themeFillTint="66"/>
            <w:hideMark/>
          </w:tcPr>
          <w:p w:rsidR="00303692" w:rsidRPr="00BE4E38" w:rsidRDefault="00303692" w:rsidP="00303692">
            <w:r w:rsidRPr="00BE4E38">
              <w:t xml:space="preserve">Slide numbers </w:t>
            </w:r>
          </w:p>
        </w:tc>
      </w:tr>
      <w:tr w:rsidR="00303692" w:rsidRPr="00BE4E38" w:rsidTr="008C6C6A">
        <w:trPr>
          <w:trHeight w:val="2402"/>
        </w:trPr>
        <w:tc>
          <w:tcPr>
            <w:tcW w:w="1867" w:type="dxa"/>
            <w:shd w:val="clear" w:color="auto" w:fill="D9D9D9" w:themeFill="background1" w:themeFillShade="D9"/>
            <w:hideMark/>
          </w:tcPr>
          <w:p w:rsidR="00303692" w:rsidRPr="00BE4E38" w:rsidRDefault="008C6C6A" w:rsidP="00303692">
            <w:r>
              <w:t>Staff</w:t>
            </w:r>
            <w:r w:rsidR="00303692" w:rsidRPr="00BE4E38">
              <w:t xml:space="preserve"> that oversee and/or directly manage projects and who </w:t>
            </w:r>
            <w:r w:rsidR="00303692">
              <w:t xml:space="preserve">DO NOT </w:t>
            </w:r>
            <w:r w:rsidR="00303692" w:rsidRPr="00BE4E38">
              <w:t xml:space="preserve">have minimum knowledge on GBV core concepts. </w:t>
            </w:r>
            <w:r w:rsidR="00545330" w:rsidRPr="00BE4E38">
              <w:t>E.g.</w:t>
            </w:r>
            <w:r w:rsidR="00303692" w:rsidRPr="00BE4E38">
              <w:t>: program coordinators, managers, officers, etc..</w:t>
            </w:r>
          </w:p>
        </w:tc>
        <w:tc>
          <w:tcPr>
            <w:tcW w:w="1659" w:type="dxa"/>
          </w:tcPr>
          <w:p w:rsidR="00303692" w:rsidRPr="00BE4E38" w:rsidRDefault="00303692" w:rsidP="00303692">
            <w:r>
              <w:t xml:space="preserve">GBV core concepts </w:t>
            </w:r>
            <w:r w:rsidR="008C6C6A">
              <w:t xml:space="preserve">and referrals </w:t>
            </w:r>
            <w:r>
              <w:t xml:space="preserve">module  </w:t>
            </w:r>
          </w:p>
        </w:tc>
        <w:tc>
          <w:tcPr>
            <w:tcW w:w="943" w:type="dxa"/>
          </w:tcPr>
          <w:p w:rsidR="00303692" w:rsidRPr="00BE4E38" w:rsidRDefault="00303692" w:rsidP="00303692">
            <w:r>
              <w:t>1 full day</w:t>
            </w:r>
          </w:p>
        </w:tc>
        <w:tc>
          <w:tcPr>
            <w:tcW w:w="3275" w:type="dxa"/>
          </w:tcPr>
          <w:p w:rsidR="00303692" w:rsidRDefault="00303692" w:rsidP="00695308">
            <w:pPr>
              <w:pStyle w:val="ListParagraph"/>
              <w:numPr>
                <w:ilvl w:val="0"/>
                <w:numId w:val="64"/>
              </w:numPr>
            </w:pPr>
            <w:r w:rsidRPr="007020C7">
              <w:t>Overview of the of the key concepts that underpin the participants’ understanding of GBV</w:t>
            </w:r>
          </w:p>
          <w:p w:rsidR="00303692" w:rsidRDefault="00303692" w:rsidP="00695308">
            <w:pPr>
              <w:pStyle w:val="ListParagraph"/>
              <w:numPr>
                <w:ilvl w:val="0"/>
                <w:numId w:val="64"/>
              </w:numPr>
            </w:pPr>
            <w:r>
              <w:t>R</w:t>
            </w:r>
            <w:r w:rsidRPr="007020C7">
              <w:t>oot causes and contributing factor of GBV as well as the different consequences</w:t>
            </w:r>
          </w:p>
          <w:p w:rsidR="00303692" w:rsidRDefault="00303692" w:rsidP="00695308">
            <w:pPr>
              <w:pStyle w:val="ListParagraph"/>
              <w:numPr>
                <w:ilvl w:val="0"/>
                <w:numId w:val="64"/>
              </w:numPr>
            </w:pPr>
            <w:r>
              <w:t>R</w:t>
            </w:r>
            <w:r w:rsidRPr="007020C7">
              <w:t>eflecting on GBV women and girls, men and boys, children as well as the LGBTI community.</w:t>
            </w:r>
          </w:p>
          <w:p w:rsidR="008C6C6A" w:rsidRPr="00BE4E38" w:rsidRDefault="008C6C6A" w:rsidP="00695308">
            <w:pPr>
              <w:pStyle w:val="ListParagraph"/>
              <w:numPr>
                <w:ilvl w:val="0"/>
                <w:numId w:val="64"/>
              </w:numPr>
            </w:pPr>
            <w:r>
              <w:t xml:space="preserve">Supporting GBV survivors and GBV referrals </w:t>
            </w:r>
          </w:p>
        </w:tc>
        <w:tc>
          <w:tcPr>
            <w:tcW w:w="1606" w:type="dxa"/>
          </w:tcPr>
          <w:p w:rsidR="00303692" w:rsidRPr="00BE4E38" w:rsidRDefault="00303692" w:rsidP="00303692">
            <w:r>
              <w:t>The full GBV CC</w:t>
            </w:r>
            <w:r w:rsidR="008C6C6A">
              <w:t xml:space="preserve"> and referrals PowerPoint presentation</w:t>
            </w:r>
            <w:r w:rsidR="008C6C6A">
              <w:rPr>
                <w:rStyle w:val="FootnoteReference"/>
              </w:rPr>
              <w:footnoteReference w:id="1"/>
            </w:r>
          </w:p>
        </w:tc>
      </w:tr>
      <w:tr w:rsidR="008C6C6A" w:rsidRPr="00BE4E38" w:rsidTr="008C6C6A">
        <w:trPr>
          <w:trHeight w:val="710"/>
        </w:trPr>
        <w:tc>
          <w:tcPr>
            <w:tcW w:w="1867" w:type="dxa"/>
            <w:shd w:val="clear" w:color="auto" w:fill="D9D9D9" w:themeFill="background1" w:themeFillShade="D9"/>
          </w:tcPr>
          <w:p w:rsidR="008C6C6A" w:rsidRPr="00BE4E38" w:rsidRDefault="008C6C6A" w:rsidP="008C6C6A">
            <w:pPr>
              <w:tabs>
                <w:tab w:val="center" w:pos="860"/>
              </w:tabs>
            </w:pPr>
          </w:p>
        </w:tc>
        <w:tc>
          <w:tcPr>
            <w:tcW w:w="1659" w:type="dxa"/>
          </w:tcPr>
          <w:p w:rsidR="008C6C6A" w:rsidRPr="00BE4E38" w:rsidRDefault="008C6C6A" w:rsidP="008C6C6A">
            <w:r w:rsidRPr="00BE4E38">
              <w:rPr>
                <w:lang w:val="en-CA"/>
              </w:rPr>
              <w:t>Introductory definitions</w:t>
            </w:r>
          </w:p>
        </w:tc>
        <w:tc>
          <w:tcPr>
            <w:tcW w:w="943" w:type="dxa"/>
          </w:tcPr>
          <w:p w:rsidR="008C6C6A" w:rsidRPr="00BE4E38" w:rsidRDefault="008C6C6A" w:rsidP="008C6C6A">
            <w:r w:rsidRPr="00BE4E38">
              <w:rPr>
                <w:lang w:val="en-CA"/>
              </w:rPr>
              <w:t>60 min</w:t>
            </w:r>
          </w:p>
        </w:tc>
        <w:tc>
          <w:tcPr>
            <w:tcW w:w="3275" w:type="dxa"/>
          </w:tcPr>
          <w:p w:rsidR="008C6C6A" w:rsidRPr="00BE4E38" w:rsidRDefault="008C6C6A" w:rsidP="008C6C6A">
            <w:r w:rsidRPr="00BE4E38">
              <w:t xml:space="preserve">Quick revision of definitions and the power walk  exercise </w:t>
            </w:r>
          </w:p>
        </w:tc>
        <w:tc>
          <w:tcPr>
            <w:tcW w:w="1606" w:type="dxa"/>
          </w:tcPr>
          <w:p w:rsidR="008C6C6A" w:rsidRPr="00BE4E38" w:rsidRDefault="008C6C6A" w:rsidP="008C6C6A">
            <w:r w:rsidRPr="00BE4E38">
              <w:t>1 - 9</w:t>
            </w:r>
          </w:p>
        </w:tc>
      </w:tr>
      <w:tr w:rsidR="008C6C6A" w:rsidRPr="00BE4E38" w:rsidTr="008C6C6A">
        <w:trPr>
          <w:trHeight w:val="710"/>
        </w:trPr>
        <w:tc>
          <w:tcPr>
            <w:tcW w:w="1867" w:type="dxa"/>
            <w:shd w:val="clear" w:color="auto" w:fill="D9D9D9" w:themeFill="background1" w:themeFillShade="D9"/>
            <w:hideMark/>
          </w:tcPr>
          <w:p w:rsidR="008C6C6A" w:rsidRPr="00BE4E38" w:rsidRDefault="008C6C6A" w:rsidP="008C6C6A">
            <w:pPr>
              <w:tabs>
                <w:tab w:val="center" w:pos="860"/>
              </w:tabs>
            </w:pPr>
            <w:r w:rsidRPr="00BE4E38">
              <w:t> </w:t>
            </w:r>
            <w:r>
              <w:tab/>
            </w:r>
          </w:p>
        </w:tc>
        <w:tc>
          <w:tcPr>
            <w:tcW w:w="1659" w:type="dxa"/>
            <w:hideMark/>
          </w:tcPr>
          <w:p w:rsidR="008C6C6A" w:rsidRPr="00BE4E38" w:rsidRDefault="008C6C6A" w:rsidP="008C6C6A">
            <w:r w:rsidRPr="00BE4E38">
              <w:t>Linkages between gender, GBV and nutrition</w:t>
            </w:r>
          </w:p>
        </w:tc>
        <w:tc>
          <w:tcPr>
            <w:tcW w:w="943" w:type="dxa"/>
            <w:hideMark/>
          </w:tcPr>
          <w:p w:rsidR="008C6C6A" w:rsidRPr="00BE4E38" w:rsidRDefault="008C6C6A" w:rsidP="008C6C6A">
            <w:r w:rsidRPr="00BE4E38">
              <w:rPr>
                <w:lang w:val="en-GB"/>
              </w:rPr>
              <w:t>60 min</w:t>
            </w:r>
          </w:p>
        </w:tc>
        <w:tc>
          <w:tcPr>
            <w:tcW w:w="3275" w:type="dxa"/>
            <w:hideMark/>
          </w:tcPr>
          <w:p w:rsidR="008C6C6A" w:rsidRPr="00BE4E38" w:rsidRDefault="008C6C6A" w:rsidP="008C6C6A">
            <w:r>
              <w:t>G</w:t>
            </w:r>
            <w:r w:rsidRPr="00BE4E38">
              <w:t xml:space="preserve">roup exercise on case studies and literature review </w:t>
            </w:r>
          </w:p>
        </w:tc>
        <w:tc>
          <w:tcPr>
            <w:tcW w:w="1606" w:type="dxa"/>
          </w:tcPr>
          <w:p w:rsidR="008C6C6A" w:rsidRPr="00BE4E38" w:rsidRDefault="008C6C6A" w:rsidP="008C6C6A">
            <w:r w:rsidRPr="00BE4E38">
              <w:t>10 - 17</w:t>
            </w:r>
          </w:p>
        </w:tc>
      </w:tr>
      <w:tr w:rsidR="008C6C6A" w:rsidRPr="00BE4E38" w:rsidTr="008C6C6A">
        <w:trPr>
          <w:trHeight w:val="1232"/>
        </w:trPr>
        <w:tc>
          <w:tcPr>
            <w:tcW w:w="1867" w:type="dxa"/>
            <w:shd w:val="clear" w:color="auto" w:fill="D9D9D9" w:themeFill="background1" w:themeFillShade="D9"/>
            <w:hideMark/>
          </w:tcPr>
          <w:p w:rsidR="008C6C6A" w:rsidRPr="00BE4E38" w:rsidRDefault="008C6C6A" w:rsidP="008C6C6A">
            <w:r w:rsidRPr="00BE4E38">
              <w:t> </w:t>
            </w:r>
          </w:p>
        </w:tc>
        <w:tc>
          <w:tcPr>
            <w:tcW w:w="1659" w:type="dxa"/>
            <w:hideMark/>
          </w:tcPr>
          <w:p w:rsidR="008C6C6A" w:rsidRPr="00BE4E38" w:rsidRDefault="008C6C6A" w:rsidP="008C6C6A">
            <w:r w:rsidRPr="00BE4E38">
              <w:rPr>
                <w:lang w:val="en-CA"/>
              </w:rPr>
              <w:t>Gender and GBV responsive nutrition programming</w:t>
            </w:r>
          </w:p>
        </w:tc>
        <w:tc>
          <w:tcPr>
            <w:tcW w:w="943" w:type="dxa"/>
            <w:hideMark/>
          </w:tcPr>
          <w:p w:rsidR="008C6C6A" w:rsidRPr="00BE4E38" w:rsidRDefault="008C6C6A" w:rsidP="008C6C6A">
            <w:r w:rsidRPr="00BE4E38">
              <w:rPr>
                <w:lang w:val="en-CA"/>
              </w:rPr>
              <w:t>40 min</w:t>
            </w:r>
          </w:p>
        </w:tc>
        <w:tc>
          <w:tcPr>
            <w:tcW w:w="3275" w:type="dxa"/>
            <w:hideMark/>
          </w:tcPr>
          <w:p w:rsidR="008C6C6A" w:rsidRPr="00BE4E38" w:rsidRDefault="008C6C6A" w:rsidP="008C6C6A">
            <w:r w:rsidRPr="00BE4E38">
              <w:t xml:space="preserve">Discussion on gender and GBV integration </w:t>
            </w:r>
            <w:r>
              <w:t xml:space="preserve">within the project cycle and preparedness phase </w:t>
            </w:r>
            <w:r w:rsidRPr="00BE4E38">
              <w:t>and an introduction to the AAAQ framework and key tools for integration</w:t>
            </w:r>
          </w:p>
        </w:tc>
        <w:tc>
          <w:tcPr>
            <w:tcW w:w="1606" w:type="dxa"/>
          </w:tcPr>
          <w:p w:rsidR="008C6C6A" w:rsidRPr="00BE4E38" w:rsidRDefault="008C6C6A" w:rsidP="008C6C6A">
            <w:r>
              <w:t>18 - 29</w:t>
            </w:r>
          </w:p>
        </w:tc>
      </w:tr>
      <w:tr w:rsidR="008C6C6A" w:rsidRPr="00BE4E38" w:rsidTr="008C6C6A">
        <w:trPr>
          <w:trHeight w:val="1880"/>
        </w:trPr>
        <w:tc>
          <w:tcPr>
            <w:tcW w:w="1867" w:type="dxa"/>
            <w:shd w:val="clear" w:color="auto" w:fill="D9D9D9" w:themeFill="background1" w:themeFillShade="D9"/>
            <w:hideMark/>
          </w:tcPr>
          <w:p w:rsidR="008C6C6A" w:rsidRPr="00BE4E38" w:rsidRDefault="008C6C6A" w:rsidP="008C6C6A">
            <w:r w:rsidRPr="00BE4E38">
              <w:t> </w:t>
            </w:r>
          </w:p>
        </w:tc>
        <w:tc>
          <w:tcPr>
            <w:tcW w:w="1659" w:type="dxa"/>
            <w:hideMark/>
          </w:tcPr>
          <w:p w:rsidR="008C6C6A" w:rsidRPr="00BE4E38" w:rsidRDefault="008C6C6A" w:rsidP="008C6C6A">
            <w:r w:rsidRPr="00BE4E38">
              <w:rPr>
                <w:lang w:val="en-CA"/>
              </w:rPr>
              <w:t>Gender and GBV risk assessment and analysis</w:t>
            </w:r>
          </w:p>
        </w:tc>
        <w:tc>
          <w:tcPr>
            <w:tcW w:w="943" w:type="dxa"/>
            <w:hideMark/>
          </w:tcPr>
          <w:p w:rsidR="008C6C6A" w:rsidRPr="00BE4E38" w:rsidRDefault="008C6C6A" w:rsidP="008C6C6A">
            <w:r w:rsidRPr="00BE4E38">
              <w:rPr>
                <w:lang w:val="en-CA"/>
              </w:rPr>
              <w:t>2 hours</w:t>
            </w:r>
          </w:p>
        </w:tc>
        <w:tc>
          <w:tcPr>
            <w:tcW w:w="3275" w:type="dxa"/>
            <w:hideMark/>
          </w:tcPr>
          <w:p w:rsidR="008C6C6A" w:rsidRPr="00BE4E38" w:rsidRDefault="008C6C6A" w:rsidP="008C6C6A">
            <w:r w:rsidRPr="00BE4E38">
              <w:t>Introduction to the different methods  of GBV and gender risk analysis and assessment, in</w:t>
            </w:r>
            <w:r>
              <w:t>-</w:t>
            </w:r>
            <w:r w:rsidRPr="00BE4E38">
              <w:t xml:space="preserve">depth discussions on the steps, one exercise on analyzing the AAAQ framework and one exercise on integrating gender and GBV in nutrition assessments  in addition to examples </w:t>
            </w:r>
          </w:p>
        </w:tc>
        <w:tc>
          <w:tcPr>
            <w:tcW w:w="1606" w:type="dxa"/>
          </w:tcPr>
          <w:p w:rsidR="008C6C6A" w:rsidRPr="00BE4E38" w:rsidRDefault="008C6C6A" w:rsidP="008C6C6A">
            <w:r>
              <w:t>36- 57</w:t>
            </w:r>
          </w:p>
        </w:tc>
      </w:tr>
      <w:tr w:rsidR="008C6C6A" w:rsidRPr="00BE4E38" w:rsidTr="008C6C6A">
        <w:trPr>
          <w:trHeight w:val="1340"/>
        </w:trPr>
        <w:tc>
          <w:tcPr>
            <w:tcW w:w="1867" w:type="dxa"/>
            <w:shd w:val="clear" w:color="auto" w:fill="D9D9D9" w:themeFill="background1" w:themeFillShade="D9"/>
            <w:hideMark/>
          </w:tcPr>
          <w:p w:rsidR="008C6C6A" w:rsidRPr="00BE4E38" w:rsidRDefault="008C6C6A" w:rsidP="008C6C6A">
            <w:r w:rsidRPr="00BE4E38">
              <w:lastRenderedPageBreak/>
              <w:t> </w:t>
            </w:r>
          </w:p>
        </w:tc>
        <w:tc>
          <w:tcPr>
            <w:tcW w:w="1659" w:type="dxa"/>
            <w:hideMark/>
          </w:tcPr>
          <w:p w:rsidR="008C6C6A" w:rsidRPr="00BE4E38" w:rsidRDefault="008C6C6A" w:rsidP="008C6C6A">
            <w:r w:rsidRPr="00BE4E38">
              <w:rPr>
                <w:lang w:val="en-CA"/>
              </w:rPr>
              <w:t>Strategic planning of gender and GBV issues in nutrition programs</w:t>
            </w:r>
          </w:p>
        </w:tc>
        <w:tc>
          <w:tcPr>
            <w:tcW w:w="943" w:type="dxa"/>
            <w:hideMark/>
          </w:tcPr>
          <w:p w:rsidR="008C6C6A" w:rsidRPr="00BE4E38" w:rsidRDefault="008C6C6A" w:rsidP="008C6C6A">
            <w:r w:rsidRPr="00BE4E38">
              <w:rPr>
                <w:lang w:val="en-CA"/>
              </w:rPr>
              <w:t>15 min</w:t>
            </w:r>
          </w:p>
        </w:tc>
        <w:tc>
          <w:tcPr>
            <w:tcW w:w="3275" w:type="dxa"/>
            <w:hideMark/>
          </w:tcPr>
          <w:p w:rsidR="008C6C6A" w:rsidRPr="00BE4E38" w:rsidRDefault="008C6C6A" w:rsidP="008C6C6A">
            <w:r w:rsidRPr="00BE4E38">
              <w:t>Introduction to the steps of strategic planning and an example</w:t>
            </w:r>
          </w:p>
        </w:tc>
        <w:tc>
          <w:tcPr>
            <w:tcW w:w="1606" w:type="dxa"/>
          </w:tcPr>
          <w:p w:rsidR="008C6C6A" w:rsidRPr="00BE4E38" w:rsidRDefault="008C6C6A" w:rsidP="008C6C6A">
            <w:r>
              <w:t>58-60</w:t>
            </w:r>
          </w:p>
        </w:tc>
      </w:tr>
      <w:tr w:rsidR="008C6C6A" w:rsidRPr="00BE4E38" w:rsidTr="008C6C6A">
        <w:trPr>
          <w:trHeight w:val="1610"/>
        </w:trPr>
        <w:tc>
          <w:tcPr>
            <w:tcW w:w="1867" w:type="dxa"/>
            <w:shd w:val="clear" w:color="auto" w:fill="D9D9D9" w:themeFill="background1" w:themeFillShade="D9"/>
            <w:hideMark/>
          </w:tcPr>
          <w:p w:rsidR="008C6C6A" w:rsidRPr="00BE4E38" w:rsidRDefault="008C6C6A" w:rsidP="008C6C6A">
            <w:r w:rsidRPr="00BE4E38">
              <w:t> </w:t>
            </w:r>
          </w:p>
        </w:tc>
        <w:tc>
          <w:tcPr>
            <w:tcW w:w="1659" w:type="dxa"/>
            <w:hideMark/>
          </w:tcPr>
          <w:p w:rsidR="008C6C6A" w:rsidRPr="00BE4E38" w:rsidRDefault="008C6C6A" w:rsidP="008C6C6A">
            <w:r w:rsidRPr="00BE4E38">
              <w:rPr>
                <w:lang w:val="en-CA"/>
              </w:rPr>
              <w:t>Resource mobilization for gender and GBV issues within nutrition programs</w:t>
            </w:r>
          </w:p>
        </w:tc>
        <w:tc>
          <w:tcPr>
            <w:tcW w:w="943" w:type="dxa"/>
            <w:hideMark/>
          </w:tcPr>
          <w:p w:rsidR="008C6C6A" w:rsidRPr="00BE4E38" w:rsidRDefault="008C6C6A" w:rsidP="008C6C6A">
            <w:r w:rsidRPr="00BE4E38">
              <w:rPr>
                <w:lang w:val="en-CA"/>
              </w:rPr>
              <w:t>2 hours</w:t>
            </w:r>
          </w:p>
        </w:tc>
        <w:tc>
          <w:tcPr>
            <w:tcW w:w="3275" w:type="dxa"/>
            <w:hideMark/>
          </w:tcPr>
          <w:p w:rsidR="008C6C6A" w:rsidRPr="00BE4E38" w:rsidRDefault="008C6C6A" w:rsidP="008C6C6A">
            <w:r w:rsidRPr="00BE4E38">
              <w:t xml:space="preserve">Introduction to the objective of resource mobilization and the gender marker, GBV and gender responsive proposals and budgeting, in addition to an exercise on integration of gender and GBV in proposals </w:t>
            </w:r>
          </w:p>
        </w:tc>
        <w:tc>
          <w:tcPr>
            <w:tcW w:w="1606" w:type="dxa"/>
          </w:tcPr>
          <w:p w:rsidR="008C6C6A" w:rsidRPr="00BE4E38" w:rsidRDefault="008C6C6A" w:rsidP="008C6C6A">
            <w:r w:rsidRPr="00BE4E38">
              <w:t> </w:t>
            </w:r>
            <w:r>
              <w:t>61- 69</w:t>
            </w:r>
          </w:p>
        </w:tc>
      </w:tr>
      <w:tr w:rsidR="008C6C6A" w:rsidRPr="00BE4E38" w:rsidTr="008C6C6A">
        <w:trPr>
          <w:trHeight w:val="1430"/>
        </w:trPr>
        <w:tc>
          <w:tcPr>
            <w:tcW w:w="1867" w:type="dxa"/>
            <w:shd w:val="clear" w:color="auto" w:fill="D9D9D9" w:themeFill="background1" w:themeFillShade="D9"/>
            <w:hideMark/>
          </w:tcPr>
          <w:p w:rsidR="008C6C6A" w:rsidRPr="00BE4E38" w:rsidRDefault="008C6C6A" w:rsidP="008C6C6A">
            <w:r w:rsidRPr="00BE4E38">
              <w:t> </w:t>
            </w:r>
          </w:p>
        </w:tc>
        <w:tc>
          <w:tcPr>
            <w:tcW w:w="1659" w:type="dxa"/>
            <w:hideMark/>
          </w:tcPr>
          <w:p w:rsidR="008C6C6A" w:rsidRPr="00BE4E38" w:rsidRDefault="008C6C6A" w:rsidP="008C6C6A">
            <w:r w:rsidRPr="00BE4E38">
              <w:rPr>
                <w:lang w:val="en-CA"/>
              </w:rPr>
              <w:t>Implementation of nutrition programs using gender and GBV lens</w:t>
            </w:r>
          </w:p>
        </w:tc>
        <w:tc>
          <w:tcPr>
            <w:tcW w:w="943" w:type="dxa"/>
            <w:hideMark/>
          </w:tcPr>
          <w:p w:rsidR="008C6C6A" w:rsidRPr="00BE4E38" w:rsidRDefault="008C6C6A" w:rsidP="008C6C6A">
            <w:r w:rsidRPr="00BE4E38">
              <w:rPr>
                <w:lang w:val="en-CA"/>
              </w:rPr>
              <w:t>1.5 hour</w:t>
            </w:r>
          </w:p>
        </w:tc>
        <w:tc>
          <w:tcPr>
            <w:tcW w:w="3275" w:type="dxa"/>
            <w:hideMark/>
          </w:tcPr>
          <w:p w:rsidR="008C6C6A" w:rsidRPr="00BE4E38" w:rsidRDefault="008C6C6A" w:rsidP="008C6C6A">
            <w:r>
              <w:t>Introduction on implementation</w:t>
            </w:r>
            <w:r w:rsidRPr="00BE4E38">
              <w:t xml:space="preserve"> and examples as well as an exercise to integrate gender and GBV in project interventions </w:t>
            </w:r>
          </w:p>
        </w:tc>
        <w:tc>
          <w:tcPr>
            <w:tcW w:w="1606" w:type="dxa"/>
          </w:tcPr>
          <w:p w:rsidR="008C6C6A" w:rsidRPr="00BE4E38" w:rsidRDefault="008C6C6A" w:rsidP="008C6C6A">
            <w:r>
              <w:t>70- 83</w:t>
            </w:r>
          </w:p>
        </w:tc>
      </w:tr>
      <w:tr w:rsidR="008C6C6A" w:rsidRPr="00BE4E38" w:rsidTr="008C6C6A">
        <w:trPr>
          <w:trHeight w:val="1160"/>
        </w:trPr>
        <w:tc>
          <w:tcPr>
            <w:tcW w:w="1867" w:type="dxa"/>
            <w:shd w:val="clear" w:color="auto" w:fill="D9D9D9" w:themeFill="background1" w:themeFillShade="D9"/>
            <w:hideMark/>
          </w:tcPr>
          <w:p w:rsidR="008C6C6A" w:rsidRPr="00BE4E38" w:rsidRDefault="008C6C6A" w:rsidP="008C6C6A">
            <w:r w:rsidRPr="00BE4E38">
              <w:t> </w:t>
            </w:r>
          </w:p>
        </w:tc>
        <w:tc>
          <w:tcPr>
            <w:tcW w:w="1659" w:type="dxa"/>
            <w:hideMark/>
          </w:tcPr>
          <w:p w:rsidR="008C6C6A" w:rsidRPr="00BE4E38" w:rsidRDefault="008C6C6A" w:rsidP="008C6C6A">
            <w:r w:rsidRPr="00BE4E38">
              <w:rPr>
                <w:lang w:val="en-CA"/>
              </w:rPr>
              <w:t>Monitoring of gender and GBV issues in nutrition programming</w:t>
            </w:r>
          </w:p>
        </w:tc>
        <w:tc>
          <w:tcPr>
            <w:tcW w:w="943" w:type="dxa"/>
            <w:hideMark/>
          </w:tcPr>
          <w:p w:rsidR="008C6C6A" w:rsidRPr="00BE4E38" w:rsidRDefault="008C6C6A" w:rsidP="008C6C6A">
            <w:r w:rsidRPr="00BE4E38">
              <w:rPr>
                <w:lang w:val="en-CA"/>
              </w:rPr>
              <w:t>1.5 hour</w:t>
            </w:r>
          </w:p>
        </w:tc>
        <w:tc>
          <w:tcPr>
            <w:tcW w:w="3275" w:type="dxa"/>
            <w:hideMark/>
          </w:tcPr>
          <w:p w:rsidR="008C6C6A" w:rsidRPr="00BE4E38" w:rsidRDefault="008C6C6A" w:rsidP="008C6C6A">
            <w:r w:rsidRPr="00BE4E38">
              <w:t>Introduction to monitoring and safety audits and examples as well as an exercise on integrating gender and GBV indicators in an M&amp;E plan</w:t>
            </w:r>
          </w:p>
        </w:tc>
        <w:tc>
          <w:tcPr>
            <w:tcW w:w="1606" w:type="dxa"/>
            <w:hideMark/>
          </w:tcPr>
          <w:p w:rsidR="008C6C6A" w:rsidRPr="00BE4E38" w:rsidRDefault="008C6C6A" w:rsidP="008C6C6A">
            <w:r>
              <w:t>84- 93</w:t>
            </w:r>
          </w:p>
        </w:tc>
      </w:tr>
      <w:tr w:rsidR="008C6C6A" w:rsidRPr="00BE4E38" w:rsidTr="008C6C6A">
        <w:trPr>
          <w:trHeight w:val="800"/>
        </w:trPr>
        <w:tc>
          <w:tcPr>
            <w:tcW w:w="1867" w:type="dxa"/>
            <w:shd w:val="clear" w:color="auto" w:fill="D9D9D9" w:themeFill="background1" w:themeFillShade="D9"/>
            <w:noWrap/>
            <w:hideMark/>
          </w:tcPr>
          <w:p w:rsidR="008C6C6A" w:rsidRPr="00BE4E38" w:rsidRDefault="008C6C6A" w:rsidP="008C6C6A">
            <w:r w:rsidRPr="00BE4E38">
              <w:t> </w:t>
            </w:r>
          </w:p>
        </w:tc>
        <w:tc>
          <w:tcPr>
            <w:tcW w:w="1659" w:type="dxa"/>
            <w:hideMark/>
          </w:tcPr>
          <w:p w:rsidR="008C6C6A" w:rsidRPr="00BE4E38" w:rsidRDefault="008C6C6A" w:rsidP="008C6C6A">
            <w:r w:rsidRPr="00BE4E38">
              <w:t xml:space="preserve">Take home messages and questions </w:t>
            </w:r>
          </w:p>
        </w:tc>
        <w:tc>
          <w:tcPr>
            <w:tcW w:w="943" w:type="dxa"/>
            <w:hideMark/>
          </w:tcPr>
          <w:p w:rsidR="008C6C6A" w:rsidRPr="00BE4E38" w:rsidRDefault="008C6C6A" w:rsidP="008C6C6A">
            <w:r w:rsidRPr="00BE4E38">
              <w:t>20 min</w:t>
            </w:r>
          </w:p>
        </w:tc>
        <w:tc>
          <w:tcPr>
            <w:tcW w:w="3275" w:type="dxa"/>
            <w:hideMark/>
          </w:tcPr>
          <w:p w:rsidR="008C6C6A" w:rsidRPr="00BE4E38" w:rsidRDefault="008C6C6A" w:rsidP="008C6C6A">
            <w:r w:rsidRPr="00BE4E38">
              <w:t xml:space="preserve">summary of key concepts and guidance </w:t>
            </w:r>
          </w:p>
        </w:tc>
        <w:tc>
          <w:tcPr>
            <w:tcW w:w="1606" w:type="dxa"/>
          </w:tcPr>
          <w:p w:rsidR="008C6C6A" w:rsidRPr="00BE4E38" w:rsidRDefault="008C6C6A" w:rsidP="008C6C6A">
            <w:r>
              <w:t>94-96</w:t>
            </w:r>
          </w:p>
        </w:tc>
      </w:tr>
    </w:tbl>
    <w:p w:rsidR="00572E2A" w:rsidRDefault="00572E2A" w:rsidP="00B7036B">
      <w:pPr>
        <w:spacing w:after="0" w:line="240" w:lineRule="auto"/>
        <w:rPr>
          <w:rFonts w:ascii="Calibri" w:eastAsia="MS Mincho" w:hAnsi="Calibri" w:cs="Calibri"/>
          <w:b/>
        </w:rPr>
      </w:pPr>
    </w:p>
    <w:p w:rsidR="00572E2A" w:rsidRDefault="00572E2A" w:rsidP="00B7036B">
      <w:pPr>
        <w:spacing w:after="0" w:line="240" w:lineRule="auto"/>
        <w:rPr>
          <w:rFonts w:ascii="Calibri" w:eastAsia="MS Mincho" w:hAnsi="Calibri" w:cs="Calibri"/>
          <w:b/>
        </w:rPr>
      </w:pPr>
    </w:p>
    <w:p w:rsidR="00B7036B" w:rsidRDefault="00B7036B" w:rsidP="00572E2A">
      <w:pPr>
        <w:shd w:val="clear" w:color="auto" w:fill="F2F2F2" w:themeFill="background1" w:themeFillShade="F2"/>
        <w:spacing w:after="0" w:line="240" w:lineRule="auto"/>
        <w:rPr>
          <w:rFonts w:ascii="Calibri" w:eastAsia="MS Mincho" w:hAnsi="Calibri" w:cs="Calibri"/>
          <w:b/>
        </w:rPr>
      </w:pPr>
      <w:r w:rsidRPr="00B7036B">
        <w:rPr>
          <w:rFonts w:ascii="Calibri" w:eastAsia="MS Mincho" w:hAnsi="Calibri" w:cs="Calibri"/>
          <w:b/>
        </w:rPr>
        <w:t>Session materials:</w:t>
      </w:r>
    </w:p>
    <w:p w:rsidR="00572E2A" w:rsidRPr="00572E2A" w:rsidRDefault="00572E2A" w:rsidP="00572E2A">
      <w:pPr>
        <w:spacing w:after="0" w:line="240" w:lineRule="auto"/>
        <w:rPr>
          <w:rFonts w:ascii="Calibri" w:eastAsia="MS Mincho" w:hAnsi="Calibri" w:cs="Calibri"/>
          <w:b/>
        </w:rPr>
      </w:pPr>
    </w:p>
    <w:tbl>
      <w:tblPr>
        <w:tblW w:w="504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55"/>
        <w:gridCol w:w="2969"/>
        <w:gridCol w:w="3395"/>
      </w:tblGrid>
      <w:tr w:rsidR="00B7036B" w:rsidRPr="00B7036B" w:rsidTr="00303692">
        <w:tc>
          <w:tcPr>
            <w:tcW w:w="1621" w:type="pct"/>
            <w:tcBorders>
              <w:top w:val="single" w:sz="6" w:space="0" w:color="auto"/>
              <w:left w:val="single" w:sz="6" w:space="0" w:color="auto"/>
              <w:bottom w:val="single" w:sz="6" w:space="0" w:color="auto"/>
              <w:right w:val="single" w:sz="6" w:space="0" w:color="auto"/>
            </w:tcBorders>
            <w:shd w:val="clear" w:color="auto" w:fill="ACB9CA" w:themeFill="text2" w:themeFillTint="66"/>
            <w:hideMark/>
          </w:tcPr>
          <w:p w:rsidR="00B7036B" w:rsidRPr="00B7036B" w:rsidRDefault="00B7036B" w:rsidP="00B7036B">
            <w:pPr>
              <w:spacing w:after="0" w:line="240" w:lineRule="auto"/>
              <w:jc w:val="center"/>
              <w:textAlignment w:val="baseline"/>
              <w:rPr>
                <w:rFonts w:ascii="Calibri" w:eastAsia="MS Mincho" w:hAnsi="Calibri" w:cs="Calibri"/>
                <w:sz w:val="20"/>
                <w:szCs w:val="20"/>
                <w:lang w:val="en-CA"/>
              </w:rPr>
            </w:pPr>
            <w:r w:rsidRPr="00B7036B">
              <w:rPr>
                <w:rFonts w:ascii="Calibri" w:eastAsia="MS Mincho" w:hAnsi="Calibri" w:cs="Calibri"/>
                <w:b/>
                <w:bCs/>
                <w:sz w:val="20"/>
                <w:szCs w:val="20"/>
              </w:rPr>
              <w:t>General</w:t>
            </w:r>
          </w:p>
        </w:tc>
        <w:tc>
          <w:tcPr>
            <w:tcW w:w="1576" w:type="pct"/>
            <w:tcBorders>
              <w:top w:val="single" w:sz="6" w:space="0" w:color="auto"/>
              <w:left w:val="outset" w:sz="6" w:space="0" w:color="auto"/>
              <w:bottom w:val="single" w:sz="6" w:space="0" w:color="auto"/>
              <w:right w:val="single" w:sz="6" w:space="0" w:color="auto"/>
            </w:tcBorders>
            <w:shd w:val="clear" w:color="auto" w:fill="ACB9CA" w:themeFill="text2" w:themeFillTint="66"/>
            <w:hideMark/>
          </w:tcPr>
          <w:p w:rsidR="00B7036B" w:rsidRPr="00B7036B" w:rsidRDefault="00B7036B" w:rsidP="00B7036B">
            <w:pPr>
              <w:spacing w:after="0" w:line="240" w:lineRule="auto"/>
              <w:jc w:val="center"/>
              <w:textAlignment w:val="baseline"/>
              <w:rPr>
                <w:rFonts w:ascii="Calibri" w:eastAsia="MS Mincho" w:hAnsi="Calibri" w:cs="Calibri"/>
                <w:b/>
                <w:bCs/>
                <w:sz w:val="20"/>
                <w:szCs w:val="20"/>
              </w:rPr>
            </w:pPr>
            <w:r w:rsidRPr="00B7036B">
              <w:rPr>
                <w:rFonts w:ascii="Calibri" w:eastAsia="MS Mincho" w:hAnsi="Calibri" w:cs="Calibri"/>
                <w:b/>
                <w:bCs/>
                <w:sz w:val="20"/>
                <w:szCs w:val="20"/>
              </w:rPr>
              <w:t xml:space="preserve">HO=Handouts and </w:t>
            </w:r>
          </w:p>
          <w:p w:rsidR="00B7036B" w:rsidRPr="00B7036B" w:rsidRDefault="00B7036B" w:rsidP="00B7036B">
            <w:pPr>
              <w:spacing w:after="0" w:line="240" w:lineRule="auto"/>
              <w:jc w:val="center"/>
              <w:textAlignment w:val="baseline"/>
              <w:rPr>
                <w:rFonts w:ascii="Calibri" w:eastAsia="MS Mincho" w:hAnsi="Calibri" w:cs="Calibri"/>
                <w:b/>
                <w:bCs/>
                <w:sz w:val="20"/>
                <w:szCs w:val="20"/>
              </w:rPr>
            </w:pPr>
            <w:r w:rsidRPr="00B7036B">
              <w:rPr>
                <w:rFonts w:ascii="Calibri" w:eastAsia="MS Mincho" w:hAnsi="Calibri" w:cs="Calibri"/>
                <w:b/>
                <w:bCs/>
                <w:sz w:val="20"/>
                <w:szCs w:val="20"/>
              </w:rPr>
              <w:t xml:space="preserve">R =Resources </w:t>
            </w:r>
          </w:p>
        </w:tc>
        <w:tc>
          <w:tcPr>
            <w:tcW w:w="1802" w:type="pct"/>
            <w:tcBorders>
              <w:top w:val="single" w:sz="6" w:space="0" w:color="auto"/>
              <w:left w:val="outset" w:sz="6" w:space="0" w:color="auto"/>
              <w:bottom w:val="single" w:sz="6" w:space="0" w:color="auto"/>
              <w:right w:val="single" w:sz="6" w:space="0" w:color="auto"/>
            </w:tcBorders>
            <w:shd w:val="clear" w:color="auto" w:fill="ACB9CA" w:themeFill="text2" w:themeFillTint="66"/>
            <w:hideMark/>
          </w:tcPr>
          <w:p w:rsidR="00B7036B" w:rsidRPr="00B7036B" w:rsidRDefault="00B7036B" w:rsidP="00B7036B">
            <w:pPr>
              <w:spacing w:after="0" w:line="240" w:lineRule="auto"/>
              <w:jc w:val="center"/>
              <w:textAlignment w:val="baseline"/>
              <w:rPr>
                <w:rFonts w:ascii="Calibri" w:eastAsia="MS Mincho" w:hAnsi="Calibri" w:cs="Calibri"/>
                <w:sz w:val="20"/>
                <w:szCs w:val="20"/>
                <w:lang w:val="en-CA"/>
              </w:rPr>
            </w:pPr>
            <w:r w:rsidRPr="00B7036B">
              <w:rPr>
                <w:rFonts w:ascii="Calibri" w:eastAsia="MS Mincho" w:hAnsi="Calibri" w:cs="Calibri"/>
                <w:b/>
                <w:bCs/>
                <w:sz w:val="20"/>
                <w:szCs w:val="20"/>
              </w:rPr>
              <w:t>Electronic References</w:t>
            </w:r>
          </w:p>
        </w:tc>
      </w:tr>
    </w:tbl>
    <w:tbl>
      <w:tblPr>
        <w:tblStyle w:val="TableGrid1"/>
        <w:tblW w:w="9445" w:type="dxa"/>
        <w:tblLook w:val="04A0" w:firstRow="1" w:lastRow="0" w:firstColumn="1" w:lastColumn="0" w:noHBand="0" w:noVBand="1"/>
      </w:tblPr>
      <w:tblGrid>
        <w:gridCol w:w="3005"/>
        <w:gridCol w:w="3020"/>
        <w:gridCol w:w="3420"/>
      </w:tblGrid>
      <w:tr w:rsidR="00B7036B" w:rsidRPr="00B7036B" w:rsidTr="001633F2">
        <w:tc>
          <w:tcPr>
            <w:tcW w:w="3005" w:type="dxa"/>
          </w:tcPr>
          <w:p w:rsidR="00B7036B" w:rsidRPr="00B7036B" w:rsidRDefault="00B7036B" w:rsidP="00B7036B">
            <w:pPr>
              <w:numPr>
                <w:ilvl w:val="0"/>
                <w:numId w:val="2"/>
              </w:numPr>
              <w:contextualSpacing/>
              <w:rPr>
                <w:rFonts w:ascii="Calibri" w:hAnsi="Calibri" w:cs="Calibri"/>
                <w:sz w:val="20"/>
                <w:szCs w:val="20"/>
              </w:rPr>
            </w:pPr>
            <w:r w:rsidRPr="00B7036B">
              <w:rPr>
                <w:rFonts w:ascii="Calibri" w:hAnsi="Calibri" w:cs="Calibri"/>
                <w:sz w:val="20"/>
                <w:szCs w:val="20"/>
              </w:rPr>
              <w:t>PPT Presentation</w:t>
            </w:r>
          </w:p>
          <w:p w:rsidR="00B7036B" w:rsidRPr="00B7036B" w:rsidRDefault="00B7036B" w:rsidP="00B7036B">
            <w:pPr>
              <w:numPr>
                <w:ilvl w:val="0"/>
                <w:numId w:val="2"/>
              </w:numPr>
              <w:contextualSpacing/>
              <w:rPr>
                <w:rFonts w:ascii="Calibri" w:hAnsi="Calibri" w:cs="Calibri"/>
                <w:sz w:val="20"/>
                <w:szCs w:val="20"/>
              </w:rPr>
            </w:pPr>
            <w:r w:rsidRPr="00B7036B">
              <w:rPr>
                <w:rFonts w:ascii="Calibri" w:hAnsi="Calibri" w:cs="Calibri"/>
                <w:sz w:val="20"/>
                <w:szCs w:val="20"/>
              </w:rPr>
              <w:t>Flip charts</w:t>
            </w:r>
          </w:p>
          <w:p w:rsidR="00B7036B" w:rsidRPr="00AA3AFF" w:rsidRDefault="00B7036B" w:rsidP="00AA3AFF">
            <w:pPr>
              <w:numPr>
                <w:ilvl w:val="0"/>
                <w:numId w:val="2"/>
              </w:numPr>
              <w:contextualSpacing/>
              <w:rPr>
                <w:rFonts w:ascii="Calibri" w:hAnsi="Calibri" w:cs="Calibri"/>
                <w:sz w:val="20"/>
                <w:szCs w:val="20"/>
              </w:rPr>
            </w:pPr>
            <w:r w:rsidRPr="00B7036B">
              <w:rPr>
                <w:rFonts w:ascii="Calibri" w:hAnsi="Calibri" w:cs="Calibri"/>
                <w:sz w:val="20"/>
                <w:szCs w:val="20"/>
              </w:rPr>
              <w:t>Markers</w:t>
            </w:r>
          </w:p>
        </w:tc>
        <w:tc>
          <w:tcPr>
            <w:tcW w:w="3020" w:type="dxa"/>
          </w:tcPr>
          <w:p w:rsidR="001633F2" w:rsidRPr="002337F1" w:rsidRDefault="002007F7" w:rsidP="00967616">
            <w:pPr>
              <w:numPr>
                <w:ilvl w:val="0"/>
                <w:numId w:val="1"/>
              </w:numPr>
              <w:ind w:left="360"/>
              <w:contextualSpacing/>
              <w:rPr>
                <w:rFonts w:ascii="Calibri" w:hAnsi="Calibri" w:cs="Calibri"/>
                <w:sz w:val="20"/>
                <w:szCs w:val="20"/>
              </w:rPr>
            </w:pPr>
            <w:r w:rsidRPr="002337F1">
              <w:rPr>
                <w:rFonts w:ascii="Calibri" w:hAnsi="Calibri" w:cs="Calibri"/>
                <w:sz w:val="20"/>
                <w:szCs w:val="20"/>
              </w:rPr>
              <w:t xml:space="preserve">HO= </w:t>
            </w:r>
            <w:r w:rsidR="005F6537" w:rsidRPr="002337F1">
              <w:rPr>
                <w:rFonts w:ascii="Calibri" w:hAnsi="Calibri" w:cs="Calibri"/>
                <w:sz w:val="20"/>
                <w:szCs w:val="20"/>
              </w:rPr>
              <w:t xml:space="preserve">power walk </w:t>
            </w:r>
            <w:r w:rsidR="008A09C3" w:rsidRPr="002337F1">
              <w:rPr>
                <w:rFonts w:ascii="Calibri" w:hAnsi="Calibri" w:cs="Calibri"/>
                <w:sz w:val="20"/>
                <w:szCs w:val="20"/>
              </w:rPr>
              <w:t>characters, AAAQ</w:t>
            </w:r>
            <w:r w:rsidR="00DE0152" w:rsidRPr="002337F1">
              <w:rPr>
                <w:rFonts w:ascii="Calibri" w:hAnsi="Calibri" w:cs="Calibri"/>
                <w:sz w:val="20"/>
                <w:szCs w:val="20"/>
              </w:rPr>
              <w:t xml:space="preserve"> framework, </w:t>
            </w:r>
            <w:r w:rsidRPr="002337F1">
              <w:rPr>
                <w:rFonts w:ascii="Calibri" w:hAnsi="Calibri" w:cs="Calibri"/>
                <w:sz w:val="20"/>
                <w:szCs w:val="20"/>
              </w:rPr>
              <w:t xml:space="preserve">Nutrition questionnaire </w:t>
            </w:r>
            <w:r w:rsidR="00AC7676">
              <w:rPr>
                <w:rFonts w:ascii="Calibri" w:hAnsi="Calibri" w:cs="Calibri"/>
                <w:sz w:val="20"/>
                <w:szCs w:val="20"/>
              </w:rPr>
              <w:t>sample</w:t>
            </w:r>
            <w:r w:rsidRPr="002337F1">
              <w:rPr>
                <w:rFonts w:ascii="Calibri" w:hAnsi="Calibri" w:cs="Calibri"/>
                <w:sz w:val="20"/>
                <w:szCs w:val="20"/>
              </w:rPr>
              <w:t>,</w:t>
            </w:r>
            <w:r w:rsidR="0020334F" w:rsidRPr="002337F1">
              <w:rPr>
                <w:rFonts w:ascii="Calibri" w:hAnsi="Calibri" w:cs="Calibri"/>
                <w:sz w:val="20"/>
                <w:szCs w:val="20"/>
              </w:rPr>
              <w:t xml:space="preserve"> Nutrition proposal </w:t>
            </w:r>
            <w:r w:rsidR="00AC7676">
              <w:rPr>
                <w:rFonts w:ascii="Calibri" w:hAnsi="Calibri" w:cs="Calibri"/>
                <w:sz w:val="20"/>
                <w:szCs w:val="20"/>
              </w:rPr>
              <w:t>sample</w:t>
            </w:r>
            <w:r w:rsidR="0020334F" w:rsidRPr="002337F1">
              <w:rPr>
                <w:rFonts w:ascii="Calibri" w:hAnsi="Calibri" w:cs="Calibri"/>
                <w:sz w:val="20"/>
                <w:szCs w:val="20"/>
              </w:rPr>
              <w:t xml:space="preserve">, IASC gender marker tip sheet for nutrition, resource </w:t>
            </w:r>
            <w:r w:rsidR="00C3512A" w:rsidRPr="002337F1">
              <w:rPr>
                <w:rFonts w:ascii="Calibri" w:hAnsi="Calibri" w:cs="Calibri"/>
                <w:sz w:val="20"/>
                <w:szCs w:val="20"/>
              </w:rPr>
              <w:t>mobilization discussion</w:t>
            </w:r>
            <w:r w:rsidR="0020334F" w:rsidRPr="002337F1">
              <w:rPr>
                <w:rFonts w:ascii="Calibri" w:hAnsi="Calibri" w:cs="Calibri"/>
                <w:sz w:val="20"/>
                <w:szCs w:val="20"/>
              </w:rPr>
              <w:t xml:space="preserve"> guide, implementation discussions guide, M&amp;E discussions guide</w:t>
            </w:r>
          </w:p>
          <w:p w:rsidR="00B7036B" w:rsidRPr="00E27BD3" w:rsidRDefault="00967616" w:rsidP="00E27BD3">
            <w:pPr>
              <w:numPr>
                <w:ilvl w:val="0"/>
                <w:numId w:val="1"/>
              </w:numPr>
              <w:contextualSpacing/>
              <w:rPr>
                <w:rFonts w:ascii="Calibri" w:hAnsi="Calibri" w:cs="Calibri"/>
                <w:sz w:val="20"/>
                <w:szCs w:val="20"/>
              </w:rPr>
            </w:pPr>
            <w:r>
              <w:rPr>
                <w:rFonts w:ascii="Calibri" w:hAnsi="Calibri" w:cs="Calibri"/>
                <w:sz w:val="20"/>
                <w:szCs w:val="20"/>
              </w:rPr>
              <w:t>R=</w:t>
            </w:r>
            <w:r w:rsidR="00DE0152">
              <w:rPr>
                <w:rFonts w:ascii="Calibri" w:hAnsi="Calibri" w:cs="Calibri"/>
                <w:sz w:val="20"/>
                <w:szCs w:val="20"/>
              </w:rPr>
              <w:t xml:space="preserve">Nutrition cluster framework on AAP, </w:t>
            </w:r>
            <w:r w:rsidRPr="00967616">
              <w:rPr>
                <w:rFonts w:ascii="Calibri" w:hAnsi="Calibri" w:cs="Calibri"/>
                <w:sz w:val="20"/>
                <w:szCs w:val="20"/>
              </w:rPr>
              <w:t>GBV guidelines Nutrition TAG</w:t>
            </w:r>
          </w:p>
        </w:tc>
        <w:tc>
          <w:tcPr>
            <w:tcW w:w="3420" w:type="dxa"/>
          </w:tcPr>
          <w:p w:rsidR="00B7036B" w:rsidRPr="00B7036B" w:rsidRDefault="00B7036B" w:rsidP="00B7036B">
            <w:pPr>
              <w:numPr>
                <w:ilvl w:val="0"/>
                <w:numId w:val="1"/>
              </w:numPr>
              <w:contextualSpacing/>
              <w:rPr>
                <w:rFonts w:ascii="Calibri" w:hAnsi="Calibri" w:cs="Calibri"/>
                <w:sz w:val="20"/>
                <w:szCs w:val="20"/>
              </w:rPr>
            </w:pPr>
            <w:r w:rsidRPr="00B7036B">
              <w:rPr>
                <w:rFonts w:ascii="Calibri" w:hAnsi="Calibri" w:cs="Calibri"/>
                <w:sz w:val="20"/>
                <w:szCs w:val="20"/>
              </w:rPr>
              <w:t>Electronic copy of the GBV guidelines</w:t>
            </w:r>
            <w:r w:rsidR="00CD3A69">
              <w:rPr>
                <w:rFonts w:ascii="Calibri" w:hAnsi="Calibri" w:cs="Calibri"/>
                <w:sz w:val="20"/>
                <w:szCs w:val="20"/>
              </w:rPr>
              <w:t xml:space="preserve">, </w:t>
            </w:r>
            <w:r w:rsidR="002007F7">
              <w:rPr>
                <w:rFonts w:ascii="Calibri" w:hAnsi="Calibri" w:cs="Calibri"/>
                <w:sz w:val="20"/>
                <w:szCs w:val="20"/>
              </w:rPr>
              <w:t>gender handbook</w:t>
            </w:r>
            <w:r w:rsidR="00CD3A69">
              <w:rPr>
                <w:rFonts w:ascii="Calibri" w:hAnsi="Calibri" w:cs="Calibri"/>
                <w:sz w:val="20"/>
                <w:szCs w:val="20"/>
              </w:rPr>
              <w:t>, GBV pocket guide</w:t>
            </w:r>
          </w:p>
        </w:tc>
      </w:tr>
    </w:tbl>
    <w:p w:rsidR="00B7036B" w:rsidRPr="00B7036B" w:rsidRDefault="00B7036B" w:rsidP="00B7036B">
      <w:pPr>
        <w:spacing w:after="0" w:line="240" w:lineRule="auto"/>
        <w:rPr>
          <w:rFonts w:ascii="Calibri" w:eastAsia="MS Mincho" w:hAnsi="Calibri" w:cs="Calibri"/>
          <w:b/>
          <w:sz w:val="28"/>
          <w:szCs w:val="28"/>
        </w:rPr>
      </w:pPr>
    </w:p>
    <w:p w:rsidR="00B7036B" w:rsidRPr="00B7036B" w:rsidRDefault="00B7036B" w:rsidP="00F40231">
      <w:pPr>
        <w:shd w:val="clear" w:color="auto" w:fill="F2F2F2" w:themeFill="background1" w:themeFillShade="F2"/>
        <w:spacing w:after="0" w:line="240" w:lineRule="auto"/>
        <w:rPr>
          <w:rFonts w:ascii="Calibri" w:eastAsia="MS Mincho" w:hAnsi="Calibri" w:cs="Calibri"/>
          <w:b/>
          <w:bCs/>
        </w:rPr>
      </w:pPr>
      <w:r w:rsidRPr="00B7036B">
        <w:rPr>
          <w:rFonts w:ascii="Calibri" w:eastAsia="MS Mincho" w:hAnsi="Calibri" w:cs="Calibri"/>
          <w:b/>
          <w:bCs/>
        </w:rPr>
        <w:t>Facilitator notes</w:t>
      </w:r>
    </w:p>
    <w:p w:rsidR="00B7036B" w:rsidRPr="00B7036B" w:rsidRDefault="00303692" w:rsidP="00A45E0C">
      <w:pPr>
        <w:numPr>
          <w:ilvl w:val="0"/>
          <w:numId w:val="3"/>
        </w:numPr>
        <w:spacing w:after="0" w:line="240" w:lineRule="auto"/>
        <w:textAlignment w:val="baseline"/>
        <w:rPr>
          <w:rFonts w:ascii="Calibri" w:eastAsia="MS Mincho" w:hAnsi="Calibri" w:cs="Calibri"/>
        </w:rPr>
      </w:pPr>
      <w:r w:rsidRPr="00A45E0C">
        <w:rPr>
          <w:rFonts w:ascii="Calibri" w:eastAsia="MS Mincho" w:hAnsi="Calibri" w:cs="Calibri"/>
        </w:rPr>
        <w:t xml:space="preserve">There are three suggested modules in this training package as outlined above. The 1 </w:t>
      </w:r>
      <w:r w:rsidR="00A45E0C">
        <w:rPr>
          <w:rFonts w:ascii="Calibri" w:eastAsia="MS Mincho" w:hAnsi="Calibri" w:cs="Calibri"/>
        </w:rPr>
        <w:t>-</w:t>
      </w:r>
      <w:r w:rsidRPr="00A45E0C">
        <w:rPr>
          <w:rFonts w:ascii="Calibri" w:eastAsia="MS Mincho" w:hAnsi="Calibri" w:cs="Calibri"/>
        </w:rPr>
        <w:t xml:space="preserve">day workshop module is aimed towards nutrition staff that strictly work in coordination and the </w:t>
      </w:r>
      <w:r w:rsidRPr="00A45E0C">
        <w:rPr>
          <w:rFonts w:ascii="Calibri" w:eastAsia="MS Mincho" w:hAnsi="Calibri" w:cs="Calibri"/>
        </w:rPr>
        <w:lastRenderedPageBreak/>
        <w:t xml:space="preserve">material is designed based on their role and needs. The 2 </w:t>
      </w:r>
      <w:r w:rsidR="00A45E0C" w:rsidRPr="00A45E0C">
        <w:rPr>
          <w:rFonts w:ascii="Calibri" w:eastAsia="MS Mincho" w:hAnsi="Calibri" w:cs="Calibri"/>
        </w:rPr>
        <w:t>-</w:t>
      </w:r>
      <w:r w:rsidRPr="00A45E0C">
        <w:rPr>
          <w:rFonts w:ascii="Calibri" w:eastAsia="MS Mincho" w:hAnsi="Calibri" w:cs="Calibri"/>
        </w:rPr>
        <w:t>day workshop module is aimed towards nutrition staff who work in</w:t>
      </w:r>
      <w:r w:rsidR="00A45E0C" w:rsidRPr="00A45E0C">
        <w:rPr>
          <w:rFonts w:ascii="Calibri" w:eastAsia="MS Mincho" w:hAnsi="Calibri" w:cs="Calibri"/>
        </w:rPr>
        <w:t xml:space="preserve"> programs and are responsible of developing and overseeing nutrition projects, in addition this module is designed for staff that have basic knowledge on GBV whether this has been achieved through a formal training, online resourcing or experience. Lastly, the 3</w:t>
      </w:r>
      <w:r w:rsidR="00A45E0C">
        <w:rPr>
          <w:rFonts w:ascii="Calibri" w:eastAsia="MS Mincho" w:hAnsi="Calibri" w:cs="Calibri"/>
        </w:rPr>
        <w:t>-</w:t>
      </w:r>
      <w:r w:rsidR="00A45E0C" w:rsidRPr="00A45E0C">
        <w:rPr>
          <w:rFonts w:ascii="Calibri" w:eastAsia="MS Mincho" w:hAnsi="Calibri" w:cs="Calibri"/>
        </w:rPr>
        <w:t xml:space="preserve"> day workshop module is aimed towards</w:t>
      </w:r>
      <w:r w:rsidR="00A45E0C" w:rsidRPr="00A45E0C">
        <w:t xml:space="preserve"> </w:t>
      </w:r>
      <w:r w:rsidR="00A45E0C" w:rsidRPr="00A45E0C">
        <w:rPr>
          <w:rFonts w:ascii="Calibri" w:eastAsia="MS Mincho" w:hAnsi="Calibri" w:cs="Calibri"/>
        </w:rPr>
        <w:t>nutrition staff who work in programs and are responsible of developing and overseeing nutrition projects and who do not have any prior knowledge about GBV. It is recommended that the facilitator conducts a brief review of the profile of the participants to decide on either using the 2 or 3</w:t>
      </w:r>
      <w:r w:rsidR="00A45E0C">
        <w:rPr>
          <w:rFonts w:ascii="Calibri" w:eastAsia="MS Mincho" w:hAnsi="Calibri" w:cs="Calibri"/>
        </w:rPr>
        <w:t>-</w:t>
      </w:r>
      <w:r w:rsidR="00A45E0C" w:rsidRPr="00A45E0C">
        <w:rPr>
          <w:rFonts w:ascii="Calibri" w:eastAsia="MS Mincho" w:hAnsi="Calibri" w:cs="Calibri"/>
        </w:rPr>
        <w:t xml:space="preserve"> day module. In the 3- day module a full day on GBV core concepts is added to ensure </w:t>
      </w:r>
      <w:r w:rsidR="001633F2" w:rsidRPr="00A45E0C">
        <w:rPr>
          <w:rFonts w:ascii="Calibri" w:eastAsia="MS Mincho" w:hAnsi="Calibri" w:cs="Calibri"/>
        </w:rPr>
        <w:t>that</w:t>
      </w:r>
      <w:r w:rsidR="00B7036B" w:rsidRPr="00A45E0C">
        <w:rPr>
          <w:rFonts w:ascii="Calibri" w:eastAsia="MS Mincho" w:hAnsi="Calibri" w:cs="Calibri"/>
        </w:rPr>
        <w:t xml:space="preserve"> all participants have the same base level of information and allows the workshop to start at an intermediate level of the GBV core concepts; the focus becomes on understanding and operationalizing the GBV core concepts versus starting from scratch</w:t>
      </w:r>
      <w:r w:rsidR="00D20D02">
        <w:rPr>
          <w:rFonts w:ascii="Calibri" w:eastAsia="MS Mincho" w:hAnsi="Calibri" w:cs="Calibri"/>
        </w:rPr>
        <w:t xml:space="preserve">. The training </w:t>
      </w:r>
      <w:r w:rsidR="00B7036B" w:rsidRPr="00B7036B">
        <w:rPr>
          <w:rFonts w:ascii="Calibri" w:eastAsia="MS Mincho" w:hAnsi="Calibri" w:cs="Calibri"/>
        </w:rPr>
        <w:t xml:space="preserve"> </w:t>
      </w:r>
    </w:p>
    <w:p w:rsidR="00B7036B" w:rsidRPr="008330EA" w:rsidRDefault="00B7036B" w:rsidP="007A086D">
      <w:pPr>
        <w:numPr>
          <w:ilvl w:val="0"/>
          <w:numId w:val="3"/>
        </w:numPr>
        <w:spacing w:after="0" w:line="240" w:lineRule="auto"/>
        <w:textAlignment w:val="baseline"/>
        <w:rPr>
          <w:rFonts w:ascii="Calibri" w:eastAsia="MS Mincho" w:hAnsi="Calibri" w:cs="Calibri"/>
          <w:b/>
          <w:bCs/>
        </w:rPr>
      </w:pPr>
      <w:r w:rsidRPr="00B7036B">
        <w:rPr>
          <w:rFonts w:ascii="Calibri" w:eastAsia="MS Mincho" w:hAnsi="Calibri" w:cs="Calibri"/>
        </w:rPr>
        <w:t xml:space="preserve">The </w:t>
      </w:r>
      <w:r w:rsidR="007A086D">
        <w:rPr>
          <w:rFonts w:ascii="Calibri" w:eastAsia="MS Mincho" w:hAnsi="Calibri" w:cs="Calibri"/>
        </w:rPr>
        <w:t>facilitator of this module should be a gender and/or GBV specialist with preferably knowledge working in GBV and gender mainstreaming</w:t>
      </w:r>
      <w:r w:rsidR="00E84C25">
        <w:rPr>
          <w:rFonts w:ascii="Calibri" w:eastAsia="MS Mincho" w:hAnsi="Calibri" w:cs="Calibri"/>
        </w:rPr>
        <w:t xml:space="preserve">. </w:t>
      </w:r>
    </w:p>
    <w:p w:rsidR="00DB0206" w:rsidRPr="00E84C25" w:rsidRDefault="008330EA" w:rsidP="00E84C25">
      <w:pPr>
        <w:numPr>
          <w:ilvl w:val="0"/>
          <w:numId w:val="3"/>
        </w:numPr>
        <w:spacing w:after="0" w:line="240" w:lineRule="auto"/>
        <w:textAlignment w:val="baseline"/>
        <w:rPr>
          <w:rFonts w:ascii="Calibri" w:eastAsia="MS Mincho" w:hAnsi="Calibri" w:cs="Calibri"/>
          <w:b/>
          <w:bCs/>
        </w:rPr>
      </w:pPr>
      <w:r>
        <w:rPr>
          <w:rFonts w:ascii="Calibri" w:eastAsia="MS Mincho" w:hAnsi="Calibri" w:cs="Calibri"/>
        </w:rPr>
        <w:t xml:space="preserve">The facilitator is </w:t>
      </w:r>
      <w:r w:rsidR="00DD7093">
        <w:rPr>
          <w:rFonts w:ascii="Calibri" w:eastAsia="MS Mincho" w:hAnsi="Calibri" w:cs="Calibri"/>
        </w:rPr>
        <w:t xml:space="preserve">advised </w:t>
      </w:r>
      <w:r>
        <w:rPr>
          <w:rFonts w:ascii="Calibri" w:eastAsia="MS Mincho" w:hAnsi="Calibri" w:cs="Calibri"/>
        </w:rPr>
        <w:t>to familiarize her/himself with the GBV guidelines/Nutrition TAG and the gender handbook prior to the workshop</w:t>
      </w:r>
      <w:r w:rsidR="00E84C25" w:rsidRPr="00E84C25">
        <w:rPr>
          <w:rFonts w:ascii="Calibri" w:eastAsia="MS Mincho" w:hAnsi="Calibri" w:cs="Calibri"/>
        </w:rPr>
        <w:t xml:space="preserve"> </w:t>
      </w:r>
    </w:p>
    <w:p w:rsidR="008330EA" w:rsidRPr="008330EA" w:rsidRDefault="008330EA" w:rsidP="008330EA">
      <w:pPr>
        <w:numPr>
          <w:ilvl w:val="0"/>
          <w:numId w:val="3"/>
        </w:numPr>
        <w:spacing w:after="0" w:line="240" w:lineRule="auto"/>
        <w:textAlignment w:val="baseline"/>
        <w:rPr>
          <w:rFonts w:ascii="Calibri" w:eastAsia="MS Mincho" w:hAnsi="Calibri" w:cs="Calibri"/>
        </w:rPr>
      </w:pPr>
      <w:r w:rsidRPr="008330EA">
        <w:rPr>
          <w:rFonts w:ascii="Calibri" w:eastAsia="MS Mincho" w:hAnsi="Calibri" w:cs="Calibri"/>
        </w:rPr>
        <w:t xml:space="preserve">The exercise on </w:t>
      </w:r>
      <w:r w:rsidR="00DD7093">
        <w:rPr>
          <w:rFonts w:ascii="Calibri" w:eastAsia="MS Mincho" w:hAnsi="Calibri" w:cs="Calibri"/>
        </w:rPr>
        <w:t xml:space="preserve">the </w:t>
      </w:r>
      <w:r w:rsidRPr="008330EA">
        <w:rPr>
          <w:rFonts w:ascii="Calibri" w:eastAsia="MS Mincho" w:hAnsi="Calibri" w:cs="Calibri"/>
        </w:rPr>
        <w:t>Integration of gender/GBV questions into routine assessments</w:t>
      </w:r>
      <w:r>
        <w:rPr>
          <w:rFonts w:ascii="Calibri" w:eastAsia="MS Mincho" w:hAnsi="Calibri" w:cs="Calibri"/>
        </w:rPr>
        <w:t xml:space="preserve"> requires the facilitator to use </w:t>
      </w:r>
      <w:r w:rsidR="00545330">
        <w:rPr>
          <w:rFonts w:ascii="Calibri" w:eastAsia="MS Mincho" w:hAnsi="Calibri" w:cs="Calibri"/>
        </w:rPr>
        <w:t>a</w:t>
      </w:r>
      <w:r>
        <w:rPr>
          <w:rFonts w:ascii="Calibri" w:eastAsia="MS Mincho" w:hAnsi="Calibri" w:cs="Calibri"/>
        </w:rPr>
        <w:t xml:space="preserve"> </w:t>
      </w:r>
      <w:r w:rsidR="00AC7676">
        <w:rPr>
          <w:rFonts w:ascii="Calibri" w:eastAsia="MS Mincho" w:hAnsi="Calibri" w:cs="Calibri"/>
        </w:rPr>
        <w:t>sample</w:t>
      </w:r>
      <w:r>
        <w:rPr>
          <w:rFonts w:ascii="Calibri" w:eastAsia="MS Mincho" w:hAnsi="Calibri" w:cs="Calibri"/>
        </w:rPr>
        <w:t xml:space="preserve"> of a real nutrition assessment or questionnaire. There is a sample in the handouts that can be used, however it is recommended to look for </w:t>
      </w:r>
      <w:r w:rsidR="00A3176D">
        <w:rPr>
          <w:rFonts w:ascii="Calibri" w:eastAsia="MS Mincho" w:hAnsi="Calibri" w:cs="Calibri"/>
        </w:rPr>
        <w:t xml:space="preserve">context specific assessments that the participants are familiar with and use them for this exercise. </w:t>
      </w:r>
    </w:p>
    <w:p w:rsidR="008330EA" w:rsidRPr="001B599F" w:rsidRDefault="001B599F" w:rsidP="001B599F">
      <w:pPr>
        <w:numPr>
          <w:ilvl w:val="0"/>
          <w:numId w:val="3"/>
        </w:numPr>
        <w:spacing w:after="0" w:line="240" w:lineRule="auto"/>
        <w:textAlignment w:val="baseline"/>
        <w:rPr>
          <w:rFonts w:ascii="Calibri" w:eastAsia="MS Mincho" w:hAnsi="Calibri" w:cs="Calibri"/>
        </w:rPr>
      </w:pPr>
      <w:r w:rsidRPr="001B599F">
        <w:rPr>
          <w:rFonts w:ascii="Calibri" w:eastAsia="MS Mincho" w:hAnsi="Calibri" w:cs="Calibri"/>
        </w:rPr>
        <w:t>The exercise on drafting gender and GBV responsive proposals</w:t>
      </w:r>
      <w:r>
        <w:rPr>
          <w:rFonts w:ascii="Calibri" w:eastAsia="MS Mincho" w:hAnsi="Calibri" w:cs="Calibri"/>
        </w:rPr>
        <w:t xml:space="preserve"> requires </w:t>
      </w:r>
      <w:r w:rsidRPr="001B599F">
        <w:rPr>
          <w:rFonts w:ascii="Calibri" w:eastAsia="MS Mincho" w:hAnsi="Calibri" w:cs="Calibri"/>
        </w:rPr>
        <w:t xml:space="preserve">the facilitator to use </w:t>
      </w:r>
      <w:r w:rsidR="00545330" w:rsidRPr="001B599F">
        <w:rPr>
          <w:rFonts w:ascii="Calibri" w:eastAsia="MS Mincho" w:hAnsi="Calibri" w:cs="Calibri"/>
        </w:rPr>
        <w:t>a</w:t>
      </w:r>
      <w:r w:rsidRPr="001B599F">
        <w:rPr>
          <w:rFonts w:ascii="Calibri" w:eastAsia="MS Mincho" w:hAnsi="Calibri" w:cs="Calibri"/>
        </w:rPr>
        <w:t xml:space="preserve"> </w:t>
      </w:r>
      <w:bookmarkStart w:id="0" w:name="_GoBack"/>
      <w:bookmarkEnd w:id="0"/>
      <w:r w:rsidR="00AC7676">
        <w:rPr>
          <w:rFonts w:ascii="Calibri" w:eastAsia="MS Mincho" w:hAnsi="Calibri" w:cs="Calibri"/>
        </w:rPr>
        <w:t>sample</w:t>
      </w:r>
      <w:r w:rsidRPr="001B599F">
        <w:rPr>
          <w:rFonts w:ascii="Calibri" w:eastAsia="MS Mincho" w:hAnsi="Calibri" w:cs="Calibri"/>
        </w:rPr>
        <w:t xml:space="preserve"> of a real nutri</w:t>
      </w:r>
      <w:r>
        <w:rPr>
          <w:rFonts w:ascii="Calibri" w:eastAsia="MS Mincho" w:hAnsi="Calibri" w:cs="Calibri"/>
        </w:rPr>
        <w:t>tion proposal</w:t>
      </w:r>
      <w:r w:rsidRPr="001B599F">
        <w:rPr>
          <w:rFonts w:ascii="Calibri" w:eastAsia="MS Mincho" w:hAnsi="Calibri" w:cs="Calibri"/>
        </w:rPr>
        <w:t xml:space="preserve">. There is a sample in the handouts that can be used, however it is recommended </w:t>
      </w:r>
      <w:r>
        <w:rPr>
          <w:rFonts w:ascii="Calibri" w:eastAsia="MS Mincho" w:hAnsi="Calibri" w:cs="Calibri"/>
        </w:rPr>
        <w:t>to find a new context related proposal</w:t>
      </w:r>
      <w:r w:rsidRPr="001B599F">
        <w:rPr>
          <w:rFonts w:ascii="Calibri" w:eastAsia="MS Mincho" w:hAnsi="Calibri" w:cs="Calibri"/>
        </w:rPr>
        <w:t xml:space="preserve"> that</w:t>
      </w:r>
      <w:r>
        <w:rPr>
          <w:rFonts w:ascii="Calibri" w:eastAsia="MS Mincho" w:hAnsi="Calibri" w:cs="Calibri"/>
        </w:rPr>
        <w:t xml:space="preserve"> can be used during this exercise. The </w:t>
      </w:r>
      <w:r w:rsidR="00AC7676">
        <w:rPr>
          <w:rFonts w:ascii="Calibri" w:eastAsia="MS Mincho" w:hAnsi="Calibri" w:cs="Calibri"/>
        </w:rPr>
        <w:t>Sample</w:t>
      </w:r>
      <w:r>
        <w:rPr>
          <w:rFonts w:ascii="Calibri" w:eastAsia="MS Mincho" w:hAnsi="Calibri" w:cs="Calibri"/>
        </w:rPr>
        <w:t xml:space="preserve"> should be containing all the sections of a proposal including the implementation and M&amp;E since the same proposal is going to be used for the rest of the exercises</w:t>
      </w:r>
      <w:r w:rsidR="00E27BD3">
        <w:rPr>
          <w:rFonts w:ascii="Calibri" w:eastAsia="MS Mincho" w:hAnsi="Calibri" w:cs="Calibri"/>
        </w:rPr>
        <w:t>.</w:t>
      </w:r>
    </w:p>
    <w:p w:rsidR="008330EA" w:rsidRPr="007A086D" w:rsidRDefault="00E27BD3" w:rsidP="007A086D">
      <w:pPr>
        <w:numPr>
          <w:ilvl w:val="0"/>
          <w:numId w:val="3"/>
        </w:numPr>
        <w:spacing w:after="0" w:line="240" w:lineRule="auto"/>
        <w:textAlignment w:val="baseline"/>
        <w:rPr>
          <w:rFonts w:ascii="Calibri" w:eastAsia="MS Mincho" w:hAnsi="Calibri" w:cs="Calibri"/>
          <w:b/>
          <w:bCs/>
        </w:rPr>
      </w:pPr>
      <w:r>
        <w:rPr>
          <w:rFonts w:ascii="Calibri" w:eastAsia="MS Mincho" w:hAnsi="Calibri" w:cs="Calibri"/>
        </w:rPr>
        <w:t>In this training package</w:t>
      </w:r>
      <w:r w:rsidR="00DD7093">
        <w:rPr>
          <w:rFonts w:ascii="Calibri" w:eastAsia="MS Mincho" w:hAnsi="Calibri" w:cs="Calibri"/>
        </w:rPr>
        <w:t>,</w:t>
      </w:r>
      <w:r>
        <w:rPr>
          <w:rFonts w:ascii="Calibri" w:eastAsia="MS Mincho" w:hAnsi="Calibri" w:cs="Calibri"/>
        </w:rPr>
        <w:t xml:space="preserve"> there are a lot of examples and success stories that you can refer to throughout the workshop, however it is highly recommended to look up for other examples that are context specific. This can be done through either a consultation with the nutrition cluster in your country or with the participants themselves prior to the training. </w:t>
      </w:r>
    </w:p>
    <w:p w:rsidR="007A086D" w:rsidRPr="00B7036B" w:rsidRDefault="007A086D" w:rsidP="007A086D">
      <w:pPr>
        <w:spacing w:after="0" w:line="240" w:lineRule="auto"/>
        <w:textAlignment w:val="baseline"/>
        <w:rPr>
          <w:rFonts w:ascii="Calibri" w:eastAsia="MS Mincho" w:hAnsi="Calibri" w:cs="Calibri"/>
          <w:b/>
          <w:bCs/>
        </w:rPr>
      </w:pPr>
    </w:p>
    <w:p w:rsidR="00B7036B" w:rsidRPr="00B7036B" w:rsidRDefault="00B14A03" w:rsidP="00F40231">
      <w:pPr>
        <w:shd w:val="clear" w:color="auto" w:fill="F2F2F2" w:themeFill="background1" w:themeFillShade="F2"/>
        <w:spacing w:after="0" w:line="240" w:lineRule="auto"/>
        <w:rPr>
          <w:rFonts w:ascii="Calibri" w:eastAsia="MS Mincho" w:hAnsi="Calibri" w:cs="Calibri"/>
          <w:b/>
          <w:bCs/>
          <w:lang w:val="en-CA"/>
        </w:rPr>
      </w:pPr>
      <w:r>
        <w:rPr>
          <w:rFonts w:ascii="Calibri" w:eastAsia="MS Mincho" w:hAnsi="Calibri" w:cs="Calibri"/>
          <w:b/>
          <w:bCs/>
          <w:lang w:val="en-CA"/>
        </w:rPr>
        <w:t>Introductory definitions</w:t>
      </w:r>
    </w:p>
    <w:p w:rsidR="00B7036B" w:rsidRPr="00B7036B" w:rsidRDefault="00B7036B" w:rsidP="00B14A03">
      <w:pPr>
        <w:spacing w:after="0" w:line="240" w:lineRule="auto"/>
        <w:rPr>
          <w:rFonts w:ascii="Calibri" w:eastAsia="MS Mincho" w:hAnsi="Calibri" w:cs="Calibri"/>
          <w:lang w:val="en-CA"/>
        </w:rPr>
      </w:pPr>
      <w:r w:rsidRPr="00B7036B">
        <w:rPr>
          <w:rFonts w:ascii="Calibri" w:eastAsia="MS Mincho" w:hAnsi="Calibri" w:cs="Calibri"/>
          <w:lang w:val="en-CA"/>
        </w:rPr>
        <w:t>This p</w:t>
      </w:r>
      <w:r w:rsidR="00B14A03">
        <w:rPr>
          <w:rFonts w:ascii="Calibri" w:eastAsia="MS Mincho" w:hAnsi="Calibri" w:cs="Calibri"/>
          <w:lang w:val="en-CA"/>
        </w:rPr>
        <w:t>art of the session focuses on explaining the definition</w:t>
      </w:r>
      <w:r w:rsidR="00E87D30">
        <w:rPr>
          <w:rFonts w:ascii="Calibri" w:eastAsia="MS Mincho" w:hAnsi="Calibri" w:cs="Calibri"/>
          <w:lang w:val="en-CA"/>
        </w:rPr>
        <w:t xml:space="preserve"> of Gender, Gender equality, </w:t>
      </w:r>
      <w:r w:rsidR="00B14A03">
        <w:rPr>
          <w:rFonts w:ascii="Calibri" w:eastAsia="MS Mincho" w:hAnsi="Calibri" w:cs="Calibri"/>
          <w:lang w:val="en-CA"/>
        </w:rPr>
        <w:t>GBV</w:t>
      </w:r>
      <w:r w:rsidR="00E87D30">
        <w:rPr>
          <w:rFonts w:ascii="Calibri" w:eastAsia="MS Mincho" w:hAnsi="Calibri" w:cs="Calibri"/>
          <w:lang w:val="en-CA"/>
        </w:rPr>
        <w:t xml:space="preserve"> and the types of GBV interventions</w:t>
      </w:r>
      <w:r w:rsidR="00B14A03">
        <w:rPr>
          <w:rFonts w:ascii="Calibri" w:eastAsia="MS Mincho" w:hAnsi="Calibri" w:cs="Calibri"/>
          <w:lang w:val="en-CA"/>
        </w:rPr>
        <w:t xml:space="preserve"> as well as presenting UNICEF conceptual framework for the causes for malnutrition at the aim of linking the introductory definitions to nutrition</w:t>
      </w:r>
      <w:r w:rsidR="00AA3AFF">
        <w:rPr>
          <w:rFonts w:ascii="Calibri" w:eastAsia="MS Mincho" w:hAnsi="Calibri" w:cs="Calibri"/>
          <w:lang w:val="en-CA"/>
        </w:rPr>
        <w:t xml:space="preserve"> programs</w:t>
      </w:r>
      <w:r w:rsidR="00AA7B3C">
        <w:rPr>
          <w:rFonts w:ascii="Calibri" w:eastAsia="MS Mincho" w:hAnsi="Calibri" w:cs="Calibri"/>
          <w:lang w:val="en-CA"/>
        </w:rPr>
        <w:t>.</w:t>
      </w:r>
      <w:r w:rsidR="004C1896">
        <w:rPr>
          <w:rFonts w:ascii="Calibri" w:eastAsia="MS Mincho" w:hAnsi="Calibri" w:cs="Calibri"/>
          <w:lang w:val="en-CA"/>
        </w:rPr>
        <w:t xml:space="preserve"> In addition, there is a group exercise that highlights the different vulnerabilities to accessing nutrition services</w:t>
      </w:r>
      <w:r w:rsidR="00202EEA">
        <w:rPr>
          <w:rFonts w:ascii="Calibri" w:eastAsia="MS Mincho" w:hAnsi="Calibri" w:cs="Calibri"/>
          <w:lang w:val="en-CA"/>
        </w:rPr>
        <w:t>.</w:t>
      </w:r>
    </w:p>
    <w:p w:rsidR="008A27A4" w:rsidRDefault="00E23FD6" w:rsidP="00E23FD6">
      <w:pPr>
        <w:spacing w:after="0" w:line="240" w:lineRule="auto"/>
        <w:contextualSpacing/>
        <w:rPr>
          <w:rFonts w:ascii="Calibri" w:eastAsia="MS Mincho" w:hAnsi="Calibri" w:cs="Calibri"/>
          <w:lang w:val="en-CA"/>
        </w:rPr>
      </w:pPr>
      <w:r>
        <w:rPr>
          <w:rFonts w:ascii="Calibri" w:eastAsia="MS Mincho" w:hAnsi="Calibri" w:cs="Calibri"/>
          <w:lang w:val="en-CA"/>
        </w:rPr>
        <w:t>Definition of Gender:</w:t>
      </w:r>
    </w:p>
    <w:p w:rsidR="00E23FD6" w:rsidRDefault="00E23FD6" w:rsidP="00187C77">
      <w:pPr>
        <w:pStyle w:val="ListParagraph"/>
        <w:numPr>
          <w:ilvl w:val="0"/>
          <w:numId w:val="6"/>
        </w:numPr>
        <w:spacing w:after="0" w:line="240" w:lineRule="auto"/>
        <w:rPr>
          <w:lang w:val="en-CA"/>
        </w:rPr>
      </w:pPr>
      <w:r>
        <w:rPr>
          <w:lang w:val="en-CA"/>
        </w:rPr>
        <w:t xml:space="preserve">Ask participants to define gender </w:t>
      </w:r>
      <w:r w:rsidR="00AA3AFF">
        <w:rPr>
          <w:lang w:val="en-CA"/>
        </w:rPr>
        <w:t xml:space="preserve">and </w:t>
      </w:r>
      <w:r>
        <w:rPr>
          <w:lang w:val="en-CA"/>
        </w:rPr>
        <w:t>to identify the difference between gender and sex.</w:t>
      </w:r>
    </w:p>
    <w:p w:rsidR="00E23FD6" w:rsidRDefault="00E23FD6" w:rsidP="00187C77">
      <w:pPr>
        <w:pStyle w:val="ListParagraph"/>
        <w:numPr>
          <w:ilvl w:val="0"/>
          <w:numId w:val="6"/>
        </w:numPr>
        <w:spacing w:after="0" w:line="240" w:lineRule="auto"/>
        <w:rPr>
          <w:lang w:val="en-CA"/>
        </w:rPr>
      </w:pPr>
      <w:r>
        <w:rPr>
          <w:lang w:val="en-CA"/>
        </w:rPr>
        <w:t>Explain</w:t>
      </w:r>
      <w:r w:rsidR="009916E9">
        <w:rPr>
          <w:lang w:val="en-CA"/>
        </w:rPr>
        <w:t xml:space="preserve"> from slide 3</w:t>
      </w:r>
      <w:r>
        <w:rPr>
          <w:lang w:val="en-CA"/>
        </w:rPr>
        <w:t xml:space="preserve"> that the formal WHO definition</w:t>
      </w:r>
      <w:r w:rsidRPr="00E23FD6">
        <w:rPr>
          <w:lang w:val="en-CA"/>
        </w:rPr>
        <w:t xml:space="preserve"> is the socially constructed characteristics of women and men – such as norms, roles and relationships of and between groups of women and men</w:t>
      </w:r>
      <w:r>
        <w:rPr>
          <w:lang w:val="en-CA"/>
        </w:rPr>
        <w:t xml:space="preserve">. </w:t>
      </w:r>
    </w:p>
    <w:p w:rsidR="00E23FD6" w:rsidRDefault="00E23FD6" w:rsidP="00187C77">
      <w:pPr>
        <w:pStyle w:val="ListParagraph"/>
        <w:numPr>
          <w:ilvl w:val="0"/>
          <w:numId w:val="6"/>
        </w:numPr>
        <w:spacing w:after="0" w:line="240" w:lineRule="auto"/>
        <w:rPr>
          <w:lang w:val="en-CA"/>
        </w:rPr>
      </w:pPr>
      <w:r>
        <w:rPr>
          <w:lang w:val="en-CA"/>
        </w:rPr>
        <w:t>It varies from society to society and across time. Provide examples such as the change of women’s role in the family over time and through</w:t>
      </w:r>
      <w:r w:rsidR="00AA3AFF">
        <w:rPr>
          <w:lang w:val="en-CA"/>
        </w:rPr>
        <w:t>out</w:t>
      </w:r>
      <w:r>
        <w:rPr>
          <w:lang w:val="en-CA"/>
        </w:rPr>
        <w:t xml:space="preserve"> different locations/cultures.</w:t>
      </w:r>
    </w:p>
    <w:p w:rsidR="00E23FD6" w:rsidRDefault="00E23FD6" w:rsidP="00187C77">
      <w:pPr>
        <w:pStyle w:val="ListParagraph"/>
        <w:numPr>
          <w:ilvl w:val="0"/>
          <w:numId w:val="6"/>
        </w:numPr>
        <w:spacing w:after="0" w:line="240" w:lineRule="auto"/>
        <w:rPr>
          <w:lang w:val="en-CA"/>
        </w:rPr>
      </w:pPr>
      <w:r>
        <w:rPr>
          <w:lang w:val="en-CA"/>
        </w:rPr>
        <w:t>It is used interchangeably with sex, however sex refers to the biological characteristic that people are born with and ca</w:t>
      </w:r>
      <w:r w:rsidR="00AA3AFF">
        <w:rPr>
          <w:lang w:val="en-CA"/>
        </w:rPr>
        <w:t>n</w:t>
      </w:r>
      <w:r>
        <w:rPr>
          <w:lang w:val="en-CA"/>
        </w:rPr>
        <w:t xml:space="preserve"> not be changed. (male and female)</w:t>
      </w:r>
    </w:p>
    <w:p w:rsidR="000F4996" w:rsidRDefault="000F4996" w:rsidP="00E23FD6">
      <w:pPr>
        <w:spacing w:after="0" w:line="240" w:lineRule="auto"/>
        <w:rPr>
          <w:lang w:val="en-CA"/>
        </w:rPr>
      </w:pPr>
    </w:p>
    <w:p w:rsidR="000F4996" w:rsidRDefault="000F4996" w:rsidP="00E23FD6">
      <w:pPr>
        <w:spacing w:after="0" w:line="240" w:lineRule="auto"/>
        <w:rPr>
          <w:lang w:val="en-CA"/>
        </w:rPr>
      </w:pPr>
    </w:p>
    <w:p w:rsidR="00E23FD6" w:rsidRDefault="00E23FD6" w:rsidP="00E23FD6">
      <w:pPr>
        <w:spacing w:after="0" w:line="240" w:lineRule="auto"/>
        <w:rPr>
          <w:lang w:val="en-CA"/>
        </w:rPr>
      </w:pPr>
      <w:r>
        <w:rPr>
          <w:lang w:val="en-CA"/>
        </w:rPr>
        <w:lastRenderedPageBreak/>
        <w:t>Definition of Gender equality</w:t>
      </w:r>
    </w:p>
    <w:p w:rsidR="00E23FD6" w:rsidRDefault="00AB4274" w:rsidP="00187C77">
      <w:pPr>
        <w:pStyle w:val="ListParagraph"/>
        <w:numPr>
          <w:ilvl w:val="0"/>
          <w:numId w:val="7"/>
        </w:numPr>
        <w:spacing w:after="0" w:line="240" w:lineRule="auto"/>
        <w:rPr>
          <w:lang w:val="en-CA"/>
        </w:rPr>
      </w:pPr>
      <w:r>
        <w:rPr>
          <w:lang w:val="en-CA"/>
        </w:rPr>
        <w:t>Explain</w:t>
      </w:r>
      <w:r w:rsidR="009916E9">
        <w:rPr>
          <w:lang w:val="en-CA"/>
        </w:rPr>
        <w:t xml:space="preserve"> from slide 4</w:t>
      </w:r>
      <w:r>
        <w:rPr>
          <w:lang w:val="en-CA"/>
        </w:rPr>
        <w:t xml:space="preserve"> that gender equality refers to the </w:t>
      </w:r>
      <w:r w:rsidRPr="00AB4274">
        <w:rPr>
          <w:lang w:val="en-CA"/>
        </w:rPr>
        <w:t>equali</w:t>
      </w:r>
      <w:r>
        <w:rPr>
          <w:lang w:val="en-CA"/>
        </w:rPr>
        <w:t>ty between women and men which includes</w:t>
      </w:r>
      <w:r w:rsidRPr="00AB4274">
        <w:rPr>
          <w:lang w:val="en-CA"/>
        </w:rPr>
        <w:t xml:space="preserve"> the equal enjoyment by women, girls, men and boys — of</w:t>
      </w:r>
      <w:r>
        <w:rPr>
          <w:lang w:val="en-CA"/>
        </w:rPr>
        <w:t xml:space="preserve"> </w:t>
      </w:r>
      <w:r w:rsidRPr="00AB4274">
        <w:rPr>
          <w:lang w:val="en-CA"/>
        </w:rPr>
        <w:t>all ages, sexual orientations and gender identities — of rights,</w:t>
      </w:r>
      <w:r>
        <w:rPr>
          <w:lang w:val="en-CA"/>
        </w:rPr>
        <w:t xml:space="preserve"> </w:t>
      </w:r>
      <w:r w:rsidRPr="00AB4274">
        <w:rPr>
          <w:lang w:val="en-CA"/>
        </w:rPr>
        <w:t xml:space="preserve">goods, opportunities, resources, rewards and quality </w:t>
      </w:r>
      <w:r>
        <w:rPr>
          <w:lang w:val="en-CA"/>
        </w:rPr>
        <w:t>of life.</w:t>
      </w:r>
    </w:p>
    <w:p w:rsidR="00AB4274" w:rsidRDefault="00AB4274" w:rsidP="00187C77">
      <w:pPr>
        <w:pStyle w:val="ListParagraph"/>
        <w:numPr>
          <w:ilvl w:val="0"/>
          <w:numId w:val="7"/>
        </w:numPr>
        <w:spacing w:after="0" w:line="240" w:lineRule="auto"/>
        <w:rPr>
          <w:lang w:val="en-CA"/>
        </w:rPr>
      </w:pPr>
      <w:r>
        <w:rPr>
          <w:lang w:val="en-CA"/>
        </w:rPr>
        <w:t xml:space="preserve">Ask participants to reflect on the definition by asking them to agree or disagree if there is a gender inequality </w:t>
      </w:r>
      <w:r w:rsidR="00583DDE">
        <w:rPr>
          <w:lang w:val="en-CA"/>
        </w:rPr>
        <w:t>across different cultures</w:t>
      </w:r>
    </w:p>
    <w:p w:rsidR="00583DDE" w:rsidRDefault="00583DDE" w:rsidP="00187C77">
      <w:pPr>
        <w:pStyle w:val="ListParagraph"/>
        <w:numPr>
          <w:ilvl w:val="0"/>
          <w:numId w:val="7"/>
        </w:numPr>
        <w:spacing w:after="0" w:line="240" w:lineRule="auto"/>
        <w:rPr>
          <w:lang w:val="en-CA"/>
        </w:rPr>
      </w:pPr>
      <w:r>
        <w:rPr>
          <w:lang w:val="en-CA"/>
        </w:rPr>
        <w:t>Conclude that gender inequality is present almost everywhere and it is of great importance to consider when designing programs</w:t>
      </w:r>
    </w:p>
    <w:p w:rsidR="00583DDE" w:rsidRPr="00583DDE" w:rsidRDefault="00583DDE" w:rsidP="00583DDE">
      <w:pPr>
        <w:spacing w:after="0" w:line="240" w:lineRule="auto"/>
        <w:rPr>
          <w:lang w:val="en-CA"/>
        </w:rPr>
      </w:pPr>
      <w:r>
        <w:rPr>
          <w:lang w:val="en-CA"/>
        </w:rPr>
        <w:t>Definition of Gender based Violence (GBV)</w:t>
      </w:r>
    </w:p>
    <w:p w:rsidR="00C53208" w:rsidRPr="006175B4" w:rsidRDefault="00C53208" w:rsidP="00187C77">
      <w:pPr>
        <w:pStyle w:val="ListParagraph"/>
        <w:numPr>
          <w:ilvl w:val="0"/>
          <w:numId w:val="4"/>
        </w:numPr>
        <w:spacing w:after="0" w:line="240" w:lineRule="auto"/>
        <w:rPr>
          <w:rFonts w:eastAsia="MS Mincho" w:cstheme="minorHAnsi"/>
          <w:lang w:val="en-CA"/>
        </w:rPr>
      </w:pPr>
      <w:r w:rsidRPr="006175B4">
        <w:rPr>
          <w:rFonts w:eastAsia="MS Mincho" w:cstheme="minorHAnsi"/>
          <w:lang w:val="en-CA"/>
        </w:rPr>
        <w:t>Ask volunteers to define GBV in their own words. After a couple minutes of discussion, introduce and use the following terms to describe GBV:</w:t>
      </w:r>
    </w:p>
    <w:p w:rsidR="00C53208" w:rsidRPr="006175B4" w:rsidRDefault="00C53208" w:rsidP="00C53208">
      <w:pPr>
        <w:pStyle w:val="ListParagraph"/>
        <w:rPr>
          <w:rFonts w:eastAsia="MS Mincho" w:cstheme="minorHAnsi"/>
          <w:lang w:val="en-CA"/>
        </w:rPr>
      </w:pPr>
      <w:r w:rsidRPr="006175B4">
        <w:rPr>
          <w:rFonts w:eastAsia="MS Mincho" w:cstheme="minorHAnsi"/>
          <w:lang w:val="en-CA"/>
        </w:rPr>
        <w:t>Gender, Power, Violence, Informed consent, Human rights</w:t>
      </w:r>
    </w:p>
    <w:p w:rsidR="00C53208" w:rsidRPr="006175B4" w:rsidRDefault="00C53208" w:rsidP="00187C77">
      <w:pPr>
        <w:pStyle w:val="ListParagraph"/>
        <w:numPr>
          <w:ilvl w:val="0"/>
          <w:numId w:val="4"/>
        </w:numPr>
        <w:spacing w:after="0" w:line="240" w:lineRule="auto"/>
        <w:rPr>
          <w:rFonts w:eastAsia="MS Mincho" w:cstheme="minorHAnsi"/>
          <w:lang w:val="en-CA"/>
        </w:rPr>
      </w:pPr>
      <w:r w:rsidRPr="006175B4">
        <w:rPr>
          <w:rFonts w:eastAsia="MS Mincho" w:cstheme="minorHAnsi"/>
          <w:lang w:val="en-CA"/>
        </w:rPr>
        <w:t>Show and read the official definition of GBV</w:t>
      </w:r>
      <w:r w:rsidR="009916E9">
        <w:rPr>
          <w:rFonts w:eastAsia="MS Mincho" w:cstheme="minorHAnsi"/>
          <w:lang w:val="en-CA"/>
        </w:rPr>
        <w:t xml:space="preserve"> from slide 5 and refer the participants to the GBV guidelines Nutrition TAG</w:t>
      </w:r>
    </w:p>
    <w:p w:rsidR="00C53208" w:rsidRDefault="00C53208" w:rsidP="00187C77">
      <w:pPr>
        <w:pStyle w:val="ListParagraph"/>
        <w:numPr>
          <w:ilvl w:val="0"/>
          <w:numId w:val="4"/>
        </w:numPr>
        <w:spacing w:after="0" w:line="240" w:lineRule="auto"/>
        <w:rPr>
          <w:rFonts w:eastAsia="MS Mincho" w:cstheme="minorHAnsi"/>
          <w:lang w:val="en-CA"/>
        </w:rPr>
      </w:pPr>
      <w:r w:rsidRPr="006175B4">
        <w:rPr>
          <w:rFonts w:eastAsia="MS Mincho" w:cstheme="minorHAnsi"/>
          <w:lang w:val="en-CA"/>
        </w:rPr>
        <w:t>Explain: Rape and sexual violence are the most immediate and widely recognized type of GBV and it is a serious, life-threatening protection issue, primarily affecting women and girls. However, all forms of GBV can increase in humanitarian contexts, including but not limited to intimate partner violence, trafficking for the purpose of sexual exploitation, early and forced marriage, harmful traditional practices, sexual exploitation and forced prostitution.</w:t>
      </w:r>
    </w:p>
    <w:p w:rsidR="00F2029A" w:rsidRDefault="00F2029A" w:rsidP="00F2029A">
      <w:pPr>
        <w:spacing w:after="0" w:line="240" w:lineRule="auto"/>
        <w:rPr>
          <w:rFonts w:eastAsia="MS Mincho" w:cstheme="minorHAnsi"/>
          <w:lang w:val="en-CA"/>
        </w:rPr>
      </w:pPr>
      <w:r>
        <w:rPr>
          <w:rFonts w:eastAsia="MS Mincho" w:cstheme="minorHAnsi"/>
          <w:lang w:val="en-CA"/>
        </w:rPr>
        <w:t>GBV Prevention, response and risk mitigation</w:t>
      </w:r>
    </w:p>
    <w:p w:rsidR="00F2029A" w:rsidRDefault="00F2029A" w:rsidP="00695308">
      <w:pPr>
        <w:pStyle w:val="ListParagraph"/>
        <w:numPr>
          <w:ilvl w:val="0"/>
          <w:numId w:val="62"/>
        </w:numPr>
        <w:spacing w:after="0" w:line="240" w:lineRule="auto"/>
        <w:rPr>
          <w:rFonts w:eastAsia="MS Mincho" w:cstheme="minorHAnsi"/>
          <w:lang w:val="en-CA"/>
        </w:rPr>
      </w:pPr>
      <w:r>
        <w:rPr>
          <w:rFonts w:eastAsia="MS Mincho" w:cstheme="minorHAnsi"/>
          <w:lang w:val="en-CA"/>
        </w:rPr>
        <w:t>Show slides 6 &amp; 7 and explain the following while allowing participants to provide examples:</w:t>
      </w:r>
    </w:p>
    <w:p w:rsidR="00F2029A" w:rsidRPr="00F2029A" w:rsidRDefault="00F2029A" w:rsidP="00695308">
      <w:pPr>
        <w:pStyle w:val="ListParagraph"/>
        <w:numPr>
          <w:ilvl w:val="0"/>
          <w:numId w:val="62"/>
        </w:numPr>
        <w:spacing w:after="0" w:line="240" w:lineRule="auto"/>
        <w:rPr>
          <w:rFonts w:eastAsia="MS Mincho" w:cstheme="minorHAnsi"/>
          <w:lang w:val="en-CA"/>
        </w:rPr>
      </w:pPr>
      <w:r w:rsidRPr="00F2029A">
        <w:rPr>
          <w:rFonts w:eastAsia="MS Mincho" w:cstheme="minorHAnsi"/>
          <w:lang w:val="en-CA"/>
        </w:rPr>
        <w:t xml:space="preserve">Addressing GBV in emergencies requires working across the following 3 areas: prevention, risk mitigation and response. </w:t>
      </w:r>
    </w:p>
    <w:p w:rsidR="00F2029A" w:rsidRDefault="00F2029A" w:rsidP="00695308">
      <w:pPr>
        <w:pStyle w:val="ListParagraph"/>
        <w:numPr>
          <w:ilvl w:val="0"/>
          <w:numId w:val="63"/>
        </w:numPr>
        <w:spacing w:after="0" w:line="240" w:lineRule="auto"/>
        <w:rPr>
          <w:rFonts w:eastAsia="MS Mincho" w:cstheme="minorHAnsi"/>
          <w:lang w:val="en-CA"/>
        </w:rPr>
      </w:pPr>
      <w:r w:rsidRPr="00F2029A">
        <w:rPr>
          <w:rFonts w:eastAsia="MS Mincho" w:cstheme="minorHAnsi"/>
          <w:lang w:val="en-CA"/>
        </w:rPr>
        <w:t xml:space="preserve">Prevention means preventing GBV from occurring in the first place, and is often focused on promoting positive gender norms and equal power dynamics (i.e.: addressing root causes of GBV). For example, if an individual believes men and women are equal and have similar levels of power, regardless of the emergency dynamics, there will be no reason for GBV. This transformational change takes time, however, supportive actions can be incorporated into humanitarian programming - for example, actively promoting women and girls’ participation. </w:t>
      </w:r>
    </w:p>
    <w:p w:rsidR="00F2029A" w:rsidRDefault="00F2029A" w:rsidP="00695308">
      <w:pPr>
        <w:pStyle w:val="ListParagraph"/>
        <w:numPr>
          <w:ilvl w:val="0"/>
          <w:numId w:val="63"/>
        </w:numPr>
        <w:spacing w:after="0" w:line="240" w:lineRule="auto"/>
        <w:rPr>
          <w:rFonts w:eastAsia="MS Mincho" w:cstheme="minorHAnsi"/>
          <w:lang w:val="en-CA"/>
        </w:rPr>
      </w:pPr>
      <w:r w:rsidRPr="00F2029A">
        <w:rPr>
          <w:rFonts w:eastAsia="MS Mincho" w:cstheme="minorHAnsi"/>
          <w:lang w:val="en-CA"/>
        </w:rPr>
        <w:t xml:space="preserve">Risk mitigation means reducing the immediate risk of exposure to GBV. This is a critical area of focus for ALL humanitarian actors, providing great opportunity to reduce risk and improve sectoral practices. Here the focus is on addressing contributing factors – such as overcrowding, safety of access points (NFI, water, health services), representation of at-risk groups – and how they may mediate immediate risk - for example, ensuring appropriate shelter division according to family structure; providing safe livelihood options; ensuring educational/recreational access for at-risk groups. </w:t>
      </w:r>
    </w:p>
    <w:p w:rsidR="00F2029A" w:rsidRPr="00F2029A" w:rsidRDefault="00F2029A" w:rsidP="00695308">
      <w:pPr>
        <w:pStyle w:val="ListParagraph"/>
        <w:numPr>
          <w:ilvl w:val="0"/>
          <w:numId w:val="63"/>
        </w:numPr>
        <w:spacing w:after="0" w:line="240" w:lineRule="auto"/>
        <w:rPr>
          <w:rFonts w:eastAsia="MS Mincho" w:cstheme="minorHAnsi"/>
          <w:lang w:val="en-CA"/>
        </w:rPr>
      </w:pPr>
      <w:r w:rsidRPr="00F2029A">
        <w:rPr>
          <w:rFonts w:eastAsia="MS Mincho" w:cstheme="minorHAnsi"/>
          <w:lang w:val="en-CA"/>
        </w:rPr>
        <w:t xml:space="preserve">Response means putting in place specialized services to respond to incidents of GBV after they have occurred, in a survivor-centred manner (meaning that survivors are informed, safe, are non discriminated against and are referred to appropriate services). The actors in this area of GBV work are specialized - for example, health, legal, psychosocial, security – and therefore received specialized training. However, each and every humanitarian actor has a role to play in the response to an incident of GBV and the support of a survivor, inclusive of basic psychological first aid and knowing how to safely provide referrals. </w:t>
      </w:r>
    </w:p>
    <w:p w:rsidR="00F2029A" w:rsidRPr="00F2029A" w:rsidRDefault="00F2029A" w:rsidP="00695308">
      <w:pPr>
        <w:pStyle w:val="ListParagraph"/>
        <w:numPr>
          <w:ilvl w:val="0"/>
          <w:numId w:val="62"/>
        </w:numPr>
        <w:spacing w:after="0" w:line="240" w:lineRule="auto"/>
        <w:rPr>
          <w:rFonts w:eastAsia="MS Mincho" w:cstheme="minorHAnsi"/>
          <w:lang w:val="en-CA"/>
        </w:rPr>
      </w:pPr>
      <w:r w:rsidRPr="00F2029A">
        <w:rPr>
          <w:rFonts w:eastAsia="MS Mincho" w:cstheme="minorHAnsi"/>
          <w:lang w:val="en-CA"/>
        </w:rPr>
        <w:lastRenderedPageBreak/>
        <w:t>Ensure that participants understand that the focus of this workshop and non-GBV specialists more broadly is GBV risk mitigation. Prevention and response activities are the responsibility of GBV specialists with specialized training.</w:t>
      </w:r>
    </w:p>
    <w:p w:rsidR="00F2029A" w:rsidRPr="00F2029A" w:rsidRDefault="00F2029A" w:rsidP="00A45E0C">
      <w:pPr>
        <w:pStyle w:val="ListParagraph"/>
        <w:spacing w:after="0" w:line="240" w:lineRule="auto"/>
        <w:rPr>
          <w:rFonts w:eastAsia="MS Mincho" w:cstheme="minorHAnsi"/>
          <w:lang w:val="en-CA"/>
        </w:rPr>
      </w:pPr>
    </w:p>
    <w:p w:rsidR="00E23FD6" w:rsidRDefault="004A0FA3" w:rsidP="004A0FA3">
      <w:pPr>
        <w:spacing w:after="0" w:line="240" w:lineRule="auto"/>
        <w:contextualSpacing/>
        <w:rPr>
          <w:lang w:val="en-CA"/>
        </w:rPr>
      </w:pPr>
      <w:r>
        <w:rPr>
          <w:lang w:val="en-CA"/>
        </w:rPr>
        <w:t>The UNICEF conceptual framework of causes of malnutrition</w:t>
      </w:r>
    </w:p>
    <w:p w:rsidR="001D1542" w:rsidRDefault="001D1542" w:rsidP="00187C77">
      <w:pPr>
        <w:pStyle w:val="NormalWeb"/>
        <w:numPr>
          <w:ilvl w:val="0"/>
          <w:numId w:val="9"/>
        </w:numPr>
        <w:spacing w:before="0" w:beforeAutospacing="0" w:after="0" w:afterAutospacing="0"/>
        <w:rPr>
          <w:rFonts w:asciiTheme="minorHAnsi" w:eastAsia="MS Mincho" w:hAnsiTheme="minorHAnsi" w:cstheme="minorHAnsi"/>
          <w:sz w:val="22"/>
          <w:szCs w:val="22"/>
          <w:lang w:val="en-CA"/>
        </w:rPr>
      </w:pPr>
      <w:r>
        <w:rPr>
          <w:rFonts w:asciiTheme="minorHAnsi" w:eastAsia="MS Mincho" w:hAnsiTheme="minorHAnsi" w:cstheme="minorHAnsi"/>
          <w:sz w:val="22"/>
          <w:szCs w:val="22"/>
          <w:lang w:val="en-CA"/>
        </w:rPr>
        <w:t>S</w:t>
      </w:r>
      <w:r w:rsidRPr="001D1542">
        <w:rPr>
          <w:rFonts w:asciiTheme="minorHAnsi" w:eastAsia="MS Mincho" w:hAnsiTheme="minorHAnsi" w:cstheme="minorHAnsi"/>
          <w:sz w:val="22"/>
          <w:szCs w:val="22"/>
          <w:lang w:val="en-CA"/>
        </w:rPr>
        <w:t>how the Framework</w:t>
      </w:r>
      <w:r w:rsidR="000F4996">
        <w:rPr>
          <w:rFonts w:asciiTheme="minorHAnsi" w:eastAsia="MS Mincho" w:hAnsiTheme="minorHAnsi" w:cstheme="minorHAnsi"/>
          <w:sz w:val="22"/>
          <w:szCs w:val="22"/>
          <w:lang w:val="en-CA"/>
        </w:rPr>
        <w:t xml:space="preserve"> on slide 8</w:t>
      </w:r>
      <w:r w:rsidRPr="001D1542">
        <w:rPr>
          <w:rFonts w:asciiTheme="minorHAnsi" w:eastAsia="MS Mincho" w:hAnsiTheme="minorHAnsi" w:cstheme="minorHAnsi"/>
          <w:sz w:val="22"/>
          <w:szCs w:val="22"/>
          <w:lang w:val="en-CA"/>
        </w:rPr>
        <w:t xml:space="preserve"> and ask </w:t>
      </w:r>
      <w:r>
        <w:rPr>
          <w:rFonts w:asciiTheme="minorHAnsi" w:eastAsia="MS Mincho" w:hAnsiTheme="minorHAnsi" w:cstheme="minorHAnsi"/>
          <w:sz w:val="22"/>
          <w:szCs w:val="22"/>
          <w:lang w:val="en-CA"/>
        </w:rPr>
        <w:t xml:space="preserve">one of </w:t>
      </w:r>
      <w:r w:rsidRPr="001D1542">
        <w:rPr>
          <w:rFonts w:asciiTheme="minorHAnsi" w:eastAsia="MS Mincho" w:hAnsiTheme="minorHAnsi" w:cstheme="minorHAnsi"/>
          <w:sz w:val="22"/>
          <w:szCs w:val="22"/>
          <w:lang w:val="en-CA"/>
        </w:rPr>
        <w:t>the participants</w:t>
      </w:r>
      <w:r>
        <w:rPr>
          <w:rFonts w:asciiTheme="minorHAnsi" w:eastAsia="MS Mincho" w:hAnsiTheme="minorHAnsi" w:cstheme="minorHAnsi"/>
          <w:sz w:val="22"/>
          <w:szCs w:val="22"/>
          <w:lang w:val="en-CA"/>
        </w:rPr>
        <w:t xml:space="preserve"> to explain it</w:t>
      </w:r>
    </w:p>
    <w:p w:rsidR="001D1542" w:rsidRPr="001D1542" w:rsidRDefault="001D1542" w:rsidP="00187C77">
      <w:pPr>
        <w:pStyle w:val="ListParagraph"/>
        <w:numPr>
          <w:ilvl w:val="0"/>
          <w:numId w:val="4"/>
        </w:numPr>
        <w:spacing w:after="0" w:line="240" w:lineRule="auto"/>
        <w:rPr>
          <w:rFonts w:eastAsia="MS Mincho" w:cstheme="minorHAnsi"/>
          <w:lang w:val="en-CA"/>
        </w:rPr>
      </w:pPr>
      <w:r>
        <w:rPr>
          <w:rFonts w:eastAsia="MS Mincho" w:cstheme="minorHAnsi"/>
          <w:lang w:val="en-CA"/>
        </w:rPr>
        <w:t xml:space="preserve">Ask participants to reflect on the framework and </w:t>
      </w:r>
      <w:r w:rsidRPr="001D1542">
        <w:rPr>
          <w:rFonts w:eastAsia="MS Mincho" w:cstheme="minorHAnsi"/>
          <w:lang w:val="en-CA"/>
        </w:rPr>
        <w:t xml:space="preserve">relate </w:t>
      </w:r>
      <w:r>
        <w:rPr>
          <w:rFonts w:eastAsia="MS Mincho" w:cstheme="minorHAnsi"/>
          <w:lang w:val="en-CA"/>
        </w:rPr>
        <w:t xml:space="preserve">to </w:t>
      </w:r>
      <w:r w:rsidRPr="001D1542">
        <w:rPr>
          <w:rFonts w:eastAsia="MS Mincho" w:cstheme="minorHAnsi"/>
          <w:lang w:val="en-CA"/>
        </w:rPr>
        <w:t>it by identifying the root causes of ‘lack of nutrition’ for certain groups, particularly women.</w:t>
      </w:r>
    </w:p>
    <w:p w:rsidR="004C1896" w:rsidRDefault="001D1542" w:rsidP="004C1896">
      <w:pPr>
        <w:pStyle w:val="ListParagraph"/>
        <w:numPr>
          <w:ilvl w:val="0"/>
          <w:numId w:val="8"/>
        </w:numPr>
        <w:spacing w:after="0" w:line="240" w:lineRule="auto"/>
        <w:rPr>
          <w:rFonts w:eastAsia="MS Mincho" w:cstheme="minorHAnsi"/>
          <w:lang w:val="en-CA"/>
        </w:rPr>
      </w:pPr>
      <w:r>
        <w:rPr>
          <w:rFonts w:eastAsia="MS Mincho" w:cstheme="minorHAnsi"/>
          <w:lang w:val="en-CA"/>
        </w:rPr>
        <w:t xml:space="preserve">Ensure that participants identify gender inequality and GBV as potential causes </w:t>
      </w:r>
      <w:r w:rsidR="00FE6AF7">
        <w:rPr>
          <w:rFonts w:eastAsia="MS Mincho" w:cstheme="minorHAnsi"/>
          <w:lang w:val="en-CA"/>
        </w:rPr>
        <w:t>of malnutrition.</w:t>
      </w:r>
    </w:p>
    <w:p w:rsidR="00A45E0C" w:rsidRDefault="00A45E0C" w:rsidP="00202EEA">
      <w:pPr>
        <w:spacing w:after="0" w:line="240" w:lineRule="auto"/>
        <w:rPr>
          <w:rFonts w:eastAsia="MS Mincho" w:cstheme="minorHAnsi"/>
          <w:lang w:val="en-CA"/>
        </w:rPr>
      </w:pPr>
    </w:p>
    <w:p w:rsidR="00202EEA" w:rsidRPr="00202EEA" w:rsidRDefault="004C1896" w:rsidP="00202EEA">
      <w:pPr>
        <w:spacing w:after="0" w:line="240" w:lineRule="auto"/>
        <w:rPr>
          <w:rFonts w:eastAsia="MS Mincho" w:cstheme="minorHAnsi"/>
          <w:lang w:val="en-CA"/>
        </w:rPr>
      </w:pPr>
      <w:r>
        <w:rPr>
          <w:rFonts w:eastAsia="MS Mincho" w:cstheme="minorHAnsi"/>
          <w:lang w:val="en-CA"/>
        </w:rPr>
        <w:t>The power walk exercise</w:t>
      </w:r>
      <w:r w:rsidR="000F4996">
        <w:rPr>
          <w:rFonts w:eastAsia="MS Mincho" w:cstheme="minorHAnsi"/>
          <w:lang w:val="en-CA"/>
        </w:rPr>
        <w:t>- slide 9</w:t>
      </w:r>
    </w:p>
    <w:p w:rsidR="006B6191" w:rsidRDefault="006B6191" w:rsidP="006B6191">
      <w:pPr>
        <w:pStyle w:val="ListParagraph"/>
        <w:numPr>
          <w:ilvl w:val="0"/>
          <w:numId w:val="8"/>
        </w:numPr>
        <w:spacing w:after="0" w:line="240" w:lineRule="auto"/>
        <w:rPr>
          <w:rFonts w:eastAsia="MS Mincho" w:cstheme="minorHAnsi"/>
          <w:lang w:val="en-CA"/>
        </w:rPr>
      </w:pPr>
      <w:r>
        <w:rPr>
          <w:rFonts w:eastAsia="MS Mincho" w:cstheme="minorHAnsi"/>
          <w:lang w:val="en-CA"/>
        </w:rPr>
        <w:t xml:space="preserve">Explain the exercise briefly to participants: We are going to do an exercise about how different vulnerabilities contribute to the nutrition status. I am going to give each one of you a paper that outlines a specific character and than based on what you know about your </w:t>
      </w:r>
      <w:r w:rsidR="009C3160">
        <w:rPr>
          <w:rFonts w:eastAsia="MS Mincho" w:cstheme="minorHAnsi"/>
          <w:lang w:val="en-CA"/>
        </w:rPr>
        <w:t>character</w:t>
      </w:r>
      <w:r>
        <w:rPr>
          <w:rFonts w:eastAsia="MS Mincho" w:cstheme="minorHAnsi"/>
          <w:lang w:val="en-CA"/>
        </w:rPr>
        <w:t xml:space="preserve"> I will ask you to step forward or backward</w:t>
      </w:r>
    </w:p>
    <w:p w:rsidR="00202EEA" w:rsidRPr="00202EEA" w:rsidRDefault="00202EEA" w:rsidP="00202EEA">
      <w:pPr>
        <w:pStyle w:val="ListParagraph"/>
        <w:numPr>
          <w:ilvl w:val="0"/>
          <w:numId w:val="8"/>
        </w:numPr>
        <w:spacing w:after="0" w:line="240" w:lineRule="auto"/>
        <w:rPr>
          <w:rFonts w:eastAsia="MS Mincho" w:cstheme="minorHAnsi"/>
          <w:lang w:val="en-CA"/>
        </w:rPr>
      </w:pPr>
      <w:r w:rsidRPr="00202EEA">
        <w:rPr>
          <w:rFonts w:eastAsia="MS Mincho" w:cstheme="minorHAnsi"/>
          <w:lang w:val="en-CA"/>
        </w:rPr>
        <w:t>Give each of the participants a piece of paper with a ch</w:t>
      </w:r>
      <w:r>
        <w:rPr>
          <w:rFonts w:eastAsia="MS Mincho" w:cstheme="minorHAnsi"/>
          <w:lang w:val="en-CA"/>
        </w:rPr>
        <w:t xml:space="preserve">aracter written on it. If there are more than 15 participants, ask the rest of the participants to act as an observant to this exercise </w:t>
      </w:r>
    </w:p>
    <w:p w:rsidR="00202EEA" w:rsidRPr="00202EEA" w:rsidRDefault="00202EEA" w:rsidP="00202EEA">
      <w:pPr>
        <w:pStyle w:val="ListParagraph"/>
        <w:numPr>
          <w:ilvl w:val="0"/>
          <w:numId w:val="8"/>
        </w:numPr>
        <w:spacing w:after="0" w:line="240" w:lineRule="auto"/>
        <w:rPr>
          <w:rFonts w:eastAsia="MS Mincho" w:cstheme="minorHAnsi"/>
          <w:lang w:val="en-CA"/>
        </w:rPr>
      </w:pPr>
      <w:r w:rsidRPr="00202EEA">
        <w:rPr>
          <w:rFonts w:eastAsia="MS Mincho" w:cstheme="minorHAnsi"/>
          <w:lang w:val="en-CA"/>
        </w:rPr>
        <w:t>Request the participants to join at an open space for the exercise</w:t>
      </w:r>
    </w:p>
    <w:p w:rsidR="00202EEA" w:rsidRPr="00202EEA" w:rsidRDefault="00202EEA" w:rsidP="00202EEA">
      <w:pPr>
        <w:pStyle w:val="ListParagraph"/>
        <w:numPr>
          <w:ilvl w:val="0"/>
          <w:numId w:val="8"/>
        </w:numPr>
        <w:spacing w:after="0" w:line="240" w:lineRule="auto"/>
        <w:rPr>
          <w:rFonts w:eastAsia="MS Mincho" w:cstheme="minorHAnsi"/>
          <w:lang w:val="en-CA"/>
        </w:rPr>
      </w:pPr>
      <w:r w:rsidRPr="00202EEA">
        <w:rPr>
          <w:rFonts w:eastAsia="MS Mincho" w:cstheme="minorHAnsi"/>
          <w:lang w:val="en-CA"/>
        </w:rPr>
        <w:t>Ask participants to stand in a row</w:t>
      </w:r>
    </w:p>
    <w:p w:rsidR="00202EEA" w:rsidRDefault="00202EEA" w:rsidP="00202EEA">
      <w:pPr>
        <w:pStyle w:val="ListParagraph"/>
        <w:numPr>
          <w:ilvl w:val="0"/>
          <w:numId w:val="8"/>
        </w:numPr>
        <w:spacing w:after="0" w:line="240" w:lineRule="auto"/>
        <w:rPr>
          <w:rFonts w:eastAsia="MS Mincho" w:cstheme="minorHAnsi"/>
          <w:lang w:val="en-CA"/>
        </w:rPr>
      </w:pPr>
      <w:r w:rsidRPr="00202EEA">
        <w:rPr>
          <w:rFonts w:eastAsia="MS Mincho" w:cstheme="minorHAnsi"/>
          <w:lang w:val="en-CA"/>
        </w:rPr>
        <w:t>Give an instruction to participants to take one step forward</w:t>
      </w:r>
      <w:r>
        <w:rPr>
          <w:rFonts w:eastAsia="MS Mincho" w:cstheme="minorHAnsi"/>
          <w:lang w:val="en-CA"/>
        </w:rPr>
        <w:t>/backward</w:t>
      </w:r>
      <w:r w:rsidRPr="00202EEA">
        <w:rPr>
          <w:rFonts w:eastAsia="MS Mincho" w:cstheme="minorHAnsi"/>
          <w:lang w:val="en-CA"/>
        </w:rPr>
        <w:t xml:space="preserve"> if the statement applies to his/her given character. </w:t>
      </w:r>
    </w:p>
    <w:p w:rsidR="00202EEA" w:rsidRPr="00202EEA" w:rsidRDefault="00202EEA" w:rsidP="00202EEA">
      <w:pPr>
        <w:pStyle w:val="ListParagraph"/>
        <w:numPr>
          <w:ilvl w:val="0"/>
          <w:numId w:val="8"/>
        </w:numPr>
        <w:spacing w:after="0" w:line="240" w:lineRule="auto"/>
        <w:rPr>
          <w:rFonts w:eastAsia="MS Mincho" w:cstheme="minorHAnsi"/>
          <w:lang w:val="en-CA"/>
        </w:rPr>
      </w:pPr>
      <w:r>
        <w:rPr>
          <w:rFonts w:eastAsia="MS Mincho" w:cstheme="minorHAnsi"/>
          <w:lang w:val="en-CA"/>
        </w:rPr>
        <w:t xml:space="preserve">Read the </w:t>
      </w:r>
      <w:r w:rsidRPr="00202EEA">
        <w:rPr>
          <w:rFonts w:eastAsia="MS Mincho" w:cstheme="minorHAnsi"/>
          <w:lang w:val="en-CA"/>
        </w:rPr>
        <w:t>following statements:</w:t>
      </w:r>
    </w:p>
    <w:p w:rsidR="00202EEA" w:rsidRPr="00202EEA" w:rsidRDefault="00202EEA" w:rsidP="00695308">
      <w:pPr>
        <w:pStyle w:val="ListParagraph"/>
        <w:numPr>
          <w:ilvl w:val="0"/>
          <w:numId w:val="61"/>
        </w:numPr>
        <w:spacing w:after="0" w:line="240" w:lineRule="auto"/>
        <w:rPr>
          <w:rFonts w:eastAsia="MS Mincho" w:cstheme="minorHAnsi"/>
          <w:lang w:val="en-CA"/>
        </w:rPr>
      </w:pPr>
      <w:r w:rsidRPr="00202EEA">
        <w:rPr>
          <w:rFonts w:eastAsia="MS Mincho" w:cstheme="minorHAnsi"/>
          <w:lang w:val="en-CA"/>
        </w:rPr>
        <w:t>Take one step forward if you or your family fled with enough money to buy food</w:t>
      </w:r>
    </w:p>
    <w:p w:rsidR="00202EEA" w:rsidRPr="00202EEA" w:rsidRDefault="00202EEA" w:rsidP="00695308">
      <w:pPr>
        <w:pStyle w:val="ListParagraph"/>
        <w:numPr>
          <w:ilvl w:val="0"/>
          <w:numId w:val="61"/>
        </w:numPr>
        <w:spacing w:after="0" w:line="240" w:lineRule="auto"/>
        <w:rPr>
          <w:rFonts w:eastAsia="MS Mincho" w:cstheme="minorHAnsi"/>
          <w:lang w:val="en-CA"/>
        </w:rPr>
      </w:pPr>
      <w:r w:rsidRPr="00202EEA">
        <w:rPr>
          <w:rFonts w:eastAsia="MS Mincho" w:cstheme="minorHAnsi"/>
          <w:lang w:val="en-CA"/>
        </w:rPr>
        <w:t>Take one step backward if you have a disability or chronic disease that may compromise your access to nutrition services</w:t>
      </w:r>
    </w:p>
    <w:p w:rsidR="00202EEA" w:rsidRPr="00202EEA" w:rsidRDefault="00202EEA" w:rsidP="00695308">
      <w:pPr>
        <w:pStyle w:val="ListParagraph"/>
        <w:numPr>
          <w:ilvl w:val="0"/>
          <w:numId w:val="61"/>
        </w:numPr>
        <w:spacing w:after="0" w:line="240" w:lineRule="auto"/>
        <w:rPr>
          <w:rFonts w:eastAsia="MS Mincho" w:cstheme="minorHAnsi"/>
          <w:lang w:val="en-CA"/>
        </w:rPr>
      </w:pPr>
      <w:r w:rsidRPr="00202EEA">
        <w:rPr>
          <w:rFonts w:eastAsia="MS Mincho" w:cstheme="minorHAnsi"/>
          <w:lang w:val="en-CA"/>
        </w:rPr>
        <w:t>Take one step forward if you can reach the nutrition services on your own</w:t>
      </w:r>
    </w:p>
    <w:p w:rsidR="00202EEA" w:rsidRPr="00202EEA" w:rsidRDefault="00202EEA" w:rsidP="00695308">
      <w:pPr>
        <w:pStyle w:val="ListParagraph"/>
        <w:numPr>
          <w:ilvl w:val="0"/>
          <w:numId w:val="61"/>
        </w:numPr>
        <w:spacing w:after="0" w:line="240" w:lineRule="auto"/>
        <w:rPr>
          <w:rFonts w:eastAsia="MS Mincho" w:cstheme="minorHAnsi"/>
          <w:lang w:val="en-CA"/>
        </w:rPr>
      </w:pPr>
      <w:r w:rsidRPr="00202EEA">
        <w:rPr>
          <w:rFonts w:eastAsia="MS Mincho" w:cstheme="minorHAnsi"/>
          <w:lang w:val="en-CA"/>
        </w:rPr>
        <w:t>Take one step forward if you are able to seek information about the nutrition services</w:t>
      </w:r>
    </w:p>
    <w:p w:rsidR="00202EEA" w:rsidRPr="00202EEA" w:rsidRDefault="00202EEA" w:rsidP="00695308">
      <w:pPr>
        <w:pStyle w:val="ListParagraph"/>
        <w:numPr>
          <w:ilvl w:val="0"/>
          <w:numId w:val="61"/>
        </w:numPr>
        <w:spacing w:after="0" w:line="240" w:lineRule="auto"/>
        <w:rPr>
          <w:rFonts w:eastAsia="MS Mincho" w:cstheme="minorHAnsi"/>
          <w:lang w:val="en-CA"/>
        </w:rPr>
      </w:pPr>
      <w:r w:rsidRPr="00202EEA">
        <w:rPr>
          <w:rFonts w:eastAsia="MS Mincho" w:cstheme="minorHAnsi"/>
          <w:lang w:val="en-CA"/>
        </w:rPr>
        <w:t>Take one step forward if you are not at a risk of malnutrition</w:t>
      </w:r>
    </w:p>
    <w:p w:rsidR="00202EEA" w:rsidRPr="00202EEA" w:rsidRDefault="00202EEA" w:rsidP="00695308">
      <w:pPr>
        <w:pStyle w:val="ListParagraph"/>
        <w:numPr>
          <w:ilvl w:val="0"/>
          <w:numId w:val="61"/>
        </w:numPr>
        <w:spacing w:after="0" w:line="240" w:lineRule="auto"/>
        <w:rPr>
          <w:rFonts w:eastAsia="MS Mincho" w:cstheme="minorHAnsi"/>
          <w:lang w:val="en-CA"/>
        </w:rPr>
      </w:pPr>
      <w:r w:rsidRPr="00202EEA">
        <w:rPr>
          <w:rFonts w:eastAsia="MS Mincho" w:cstheme="minorHAnsi"/>
          <w:lang w:val="en-CA"/>
        </w:rPr>
        <w:t>Take one step backward if you do not want to access nutrition services because you are worried about experiencing sexual violence</w:t>
      </w:r>
    </w:p>
    <w:p w:rsidR="00202EEA" w:rsidRPr="00202EEA" w:rsidRDefault="00202EEA" w:rsidP="00695308">
      <w:pPr>
        <w:pStyle w:val="ListParagraph"/>
        <w:numPr>
          <w:ilvl w:val="0"/>
          <w:numId w:val="61"/>
        </w:numPr>
        <w:spacing w:after="0" w:line="240" w:lineRule="auto"/>
        <w:rPr>
          <w:rFonts w:eastAsia="MS Mincho" w:cstheme="minorHAnsi"/>
          <w:lang w:val="en-CA"/>
        </w:rPr>
      </w:pPr>
      <w:r w:rsidRPr="00202EEA">
        <w:rPr>
          <w:rFonts w:eastAsia="MS Mincho" w:cstheme="minorHAnsi"/>
          <w:lang w:val="en-CA"/>
        </w:rPr>
        <w:t>Take one step forward if you have enough time during the day to go to the nutrition centers</w:t>
      </w:r>
    </w:p>
    <w:p w:rsidR="00202EEA" w:rsidRPr="00202EEA" w:rsidRDefault="00202EEA" w:rsidP="00695308">
      <w:pPr>
        <w:pStyle w:val="ListParagraph"/>
        <w:numPr>
          <w:ilvl w:val="0"/>
          <w:numId w:val="61"/>
        </w:numPr>
        <w:spacing w:after="0" w:line="240" w:lineRule="auto"/>
        <w:rPr>
          <w:rFonts w:eastAsia="MS Mincho" w:cstheme="minorHAnsi"/>
          <w:lang w:val="en-CA"/>
        </w:rPr>
      </w:pPr>
      <w:r w:rsidRPr="00202EEA">
        <w:rPr>
          <w:rFonts w:eastAsia="MS Mincho" w:cstheme="minorHAnsi"/>
          <w:lang w:val="en-CA"/>
        </w:rPr>
        <w:t>Take one step backward if you are at an increased risk of sexual exploitation in return of food</w:t>
      </w:r>
    </w:p>
    <w:p w:rsidR="00202EEA" w:rsidRPr="00202EEA" w:rsidRDefault="00202EEA" w:rsidP="00695308">
      <w:pPr>
        <w:pStyle w:val="ListParagraph"/>
        <w:numPr>
          <w:ilvl w:val="0"/>
          <w:numId w:val="61"/>
        </w:numPr>
        <w:spacing w:after="0" w:line="240" w:lineRule="auto"/>
        <w:rPr>
          <w:rFonts w:eastAsia="MS Mincho" w:cstheme="minorHAnsi"/>
          <w:lang w:val="en-CA"/>
        </w:rPr>
      </w:pPr>
      <w:r w:rsidRPr="00202EEA">
        <w:rPr>
          <w:rFonts w:eastAsia="MS Mincho" w:cstheme="minorHAnsi"/>
          <w:lang w:val="en-CA"/>
        </w:rPr>
        <w:t xml:space="preserve">Take one step backward if you cannot access the location of the nutrition centers </w:t>
      </w:r>
    </w:p>
    <w:p w:rsidR="00202EEA" w:rsidRPr="00202EEA" w:rsidRDefault="00202EEA" w:rsidP="00695308">
      <w:pPr>
        <w:pStyle w:val="ListParagraph"/>
        <w:numPr>
          <w:ilvl w:val="0"/>
          <w:numId w:val="61"/>
        </w:numPr>
        <w:spacing w:after="0" w:line="240" w:lineRule="auto"/>
        <w:rPr>
          <w:rFonts w:eastAsia="MS Mincho" w:cstheme="minorHAnsi"/>
          <w:lang w:val="en-CA"/>
        </w:rPr>
      </w:pPr>
      <w:r w:rsidRPr="00202EEA">
        <w:rPr>
          <w:rFonts w:eastAsia="MS Mincho" w:cstheme="minorHAnsi"/>
          <w:lang w:val="en-CA"/>
        </w:rPr>
        <w:t>Take one step backward if you are not able to read the information about the nutrition services in the language in your host country.</w:t>
      </w:r>
    </w:p>
    <w:p w:rsidR="00202EEA" w:rsidRPr="00202EEA" w:rsidRDefault="00202EEA" w:rsidP="00695308">
      <w:pPr>
        <w:pStyle w:val="ListParagraph"/>
        <w:numPr>
          <w:ilvl w:val="0"/>
          <w:numId w:val="61"/>
        </w:numPr>
        <w:spacing w:after="0" w:line="240" w:lineRule="auto"/>
        <w:rPr>
          <w:rFonts w:eastAsia="MS Mincho" w:cstheme="minorHAnsi"/>
          <w:lang w:val="en-CA"/>
        </w:rPr>
      </w:pPr>
      <w:r w:rsidRPr="00202EEA">
        <w:rPr>
          <w:rFonts w:eastAsia="MS Mincho" w:cstheme="minorHAnsi"/>
          <w:lang w:val="en-CA"/>
        </w:rPr>
        <w:t>Take one step backwards if you are not able to decide what food items to buy</w:t>
      </w:r>
    </w:p>
    <w:p w:rsidR="004C1896" w:rsidRDefault="00202EEA" w:rsidP="00695308">
      <w:pPr>
        <w:pStyle w:val="ListParagraph"/>
        <w:numPr>
          <w:ilvl w:val="0"/>
          <w:numId w:val="61"/>
        </w:numPr>
        <w:spacing w:after="0" w:line="240" w:lineRule="auto"/>
        <w:rPr>
          <w:rFonts w:eastAsia="MS Mincho" w:cstheme="minorHAnsi"/>
          <w:lang w:val="en-CA"/>
        </w:rPr>
      </w:pPr>
      <w:r w:rsidRPr="00202EEA">
        <w:rPr>
          <w:rFonts w:eastAsia="MS Mincho" w:cstheme="minorHAnsi"/>
          <w:lang w:val="en-CA"/>
        </w:rPr>
        <w:t>Take a step forward if you can take your children to nutrition services</w:t>
      </w:r>
    </w:p>
    <w:p w:rsidR="009C3160" w:rsidRDefault="00CC6E5C" w:rsidP="00695308">
      <w:pPr>
        <w:pStyle w:val="ListParagraph"/>
        <w:numPr>
          <w:ilvl w:val="0"/>
          <w:numId w:val="65"/>
        </w:numPr>
        <w:spacing w:after="0" w:line="240" w:lineRule="auto"/>
        <w:ind w:left="810"/>
        <w:rPr>
          <w:rFonts w:eastAsia="MS Mincho" w:cstheme="minorHAnsi"/>
          <w:lang w:val="en-CA"/>
        </w:rPr>
      </w:pPr>
      <w:r>
        <w:rPr>
          <w:rFonts w:eastAsia="MS Mincho" w:cstheme="minorHAnsi"/>
          <w:lang w:val="en-CA"/>
        </w:rPr>
        <w:t>While the participants are still standing open a discussion with them using the following key questions:</w:t>
      </w:r>
    </w:p>
    <w:p w:rsidR="00CC6E5C" w:rsidRDefault="00CC6E5C" w:rsidP="00695308">
      <w:pPr>
        <w:pStyle w:val="ListParagraph"/>
        <w:numPr>
          <w:ilvl w:val="0"/>
          <w:numId w:val="66"/>
        </w:numPr>
        <w:spacing w:after="0" w:line="240" w:lineRule="auto"/>
        <w:rPr>
          <w:rFonts w:eastAsia="MS Mincho" w:cstheme="minorHAnsi"/>
          <w:lang w:val="en-CA"/>
        </w:rPr>
      </w:pPr>
      <w:r>
        <w:rPr>
          <w:rFonts w:eastAsia="MS Mincho" w:cstheme="minorHAnsi"/>
          <w:lang w:val="en-CA"/>
        </w:rPr>
        <w:t>What do you think are the factors that could contribute to lower nutrition status?</w:t>
      </w:r>
    </w:p>
    <w:p w:rsidR="00CC6E5C" w:rsidRDefault="00CC6E5C" w:rsidP="00695308">
      <w:pPr>
        <w:pStyle w:val="ListParagraph"/>
        <w:numPr>
          <w:ilvl w:val="0"/>
          <w:numId w:val="66"/>
        </w:numPr>
        <w:spacing w:after="0" w:line="240" w:lineRule="auto"/>
        <w:rPr>
          <w:rFonts w:eastAsia="MS Mincho" w:cstheme="minorHAnsi"/>
          <w:lang w:val="en-CA"/>
        </w:rPr>
      </w:pPr>
      <w:r>
        <w:rPr>
          <w:rFonts w:eastAsia="MS Mincho" w:cstheme="minorHAnsi"/>
          <w:lang w:val="en-CA"/>
        </w:rPr>
        <w:t>How do you think the different vulnerabilities are linked to poor nutrition status?</w:t>
      </w:r>
    </w:p>
    <w:p w:rsidR="00CC6E5C" w:rsidRDefault="00CC6E5C" w:rsidP="00695308">
      <w:pPr>
        <w:pStyle w:val="ListParagraph"/>
        <w:numPr>
          <w:ilvl w:val="0"/>
          <w:numId w:val="66"/>
        </w:numPr>
        <w:spacing w:after="0" w:line="240" w:lineRule="auto"/>
        <w:rPr>
          <w:rFonts w:eastAsia="MS Mincho" w:cstheme="minorHAnsi"/>
          <w:lang w:val="en-CA"/>
        </w:rPr>
      </w:pPr>
      <w:r>
        <w:rPr>
          <w:rFonts w:eastAsia="MS Mincho" w:cstheme="minorHAnsi"/>
          <w:lang w:val="en-CA"/>
        </w:rPr>
        <w:t>What did you learn from this exercise?</w:t>
      </w:r>
    </w:p>
    <w:p w:rsidR="00190951" w:rsidRDefault="00190951" w:rsidP="00190951">
      <w:pPr>
        <w:spacing w:after="0" w:line="240" w:lineRule="auto"/>
        <w:rPr>
          <w:rFonts w:eastAsia="MS Mincho" w:cstheme="minorHAnsi"/>
          <w:lang w:val="en-CA"/>
        </w:rPr>
      </w:pPr>
    </w:p>
    <w:p w:rsidR="00190951" w:rsidRPr="00190951" w:rsidRDefault="00190951" w:rsidP="00190951">
      <w:pPr>
        <w:spacing w:after="0" w:line="240" w:lineRule="auto"/>
        <w:rPr>
          <w:rFonts w:eastAsia="MS Mincho" w:cstheme="minorHAnsi"/>
          <w:lang w:val="en-CA"/>
        </w:rPr>
      </w:pPr>
    </w:p>
    <w:p w:rsidR="00FE6AF7" w:rsidRDefault="00FE6AF7" w:rsidP="00FE6AF7">
      <w:pPr>
        <w:spacing w:after="0" w:line="240" w:lineRule="auto"/>
        <w:rPr>
          <w:rFonts w:eastAsia="MS Mincho" w:cstheme="minorHAnsi"/>
          <w:lang w:val="en-CA"/>
        </w:rPr>
      </w:pPr>
    </w:p>
    <w:p w:rsidR="003426DA" w:rsidRDefault="00FE6AF7" w:rsidP="00F40231">
      <w:pPr>
        <w:shd w:val="clear" w:color="auto" w:fill="F2F2F2" w:themeFill="background1" w:themeFillShade="F2"/>
        <w:spacing w:after="0" w:line="240" w:lineRule="auto"/>
        <w:rPr>
          <w:rFonts w:eastAsia="MS Mincho" w:cstheme="minorHAnsi"/>
          <w:b/>
          <w:bCs/>
          <w:lang w:val="en-CA"/>
        </w:rPr>
      </w:pPr>
      <w:r w:rsidRPr="00FE6AF7">
        <w:rPr>
          <w:rFonts w:eastAsia="MS Mincho" w:cstheme="minorHAnsi"/>
          <w:b/>
          <w:bCs/>
          <w:lang w:val="en-CA"/>
        </w:rPr>
        <w:lastRenderedPageBreak/>
        <w:t>Linkages be</w:t>
      </w:r>
      <w:r w:rsidR="009A7E46">
        <w:rPr>
          <w:rFonts w:eastAsia="MS Mincho" w:cstheme="minorHAnsi"/>
          <w:b/>
          <w:bCs/>
          <w:lang w:val="en-CA"/>
        </w:rPr>
        <w:t>tween gender, GBV and nutrition</w:t>
      </w:r>
    </w:p>
    <w:p w:rsidR="009A7E46" w:rsidRPr="009A7E46" w:rsidRDefault="009A7E46" w:rsidP="003426DA">
      <w:pPr>
        <w:spacing w:after="0" w:line="240" w:lineRule="auto"/>
        <w:rPr>
          <w:rFonts w:eastAsia="MS Mincho" w:cstheme="minorHAnsi"/>
          <w:lang w:val="en-CA"/>
        </w:rPr>
      </w:pPr>
      <w:r>
        <w:rPr>
          <w:rFonts w:eastAsia="MS Mincho" w:cstheme="minorHAnsi"/>
          <w:lang w:val="en-CA"/>
        </w:rPr>
        <w:t xml:space="preserve">This part of the session focuses on </w:t>
      </w:r>
      <w:r w:rsidR="00F50D56">
        <w:rPr>
          <w:rFonts w:eastAsia="MS Mincho" w:cstheme="minorHAnsi"/>
          <w:lang w:val="en-CA"/>
        </w:rPr>
        <w:t>helping the participants to identify the linkages between gender, GBV and nutrition outcomes through case studies and examples and providing them with</w:t>
      </w:r>
      <w:r w:rsidR="00AA3AFF">
        <w:rPr>
          <w:rFonts w:eastAsia="MS Mincho" w:cstheme="minorHAnsi"/>
          <w:lang w:val="en-CA"/>
        </w:rPr>
        <w:t xml:space="preserve"> brief literature review about</w:t>
      </w:r>
      <w:r>
        <w:rPr>
          <w:rFonts w:eastAsia="MS Mincho" w:cstheme="minorHAnsi"/>
          <w:lang w:val="en-CA"/>
        </w:rPr>
        <w:t xml:space="preserve"> the impact of GBV experience on nutrition outcomes. It also serves as a solid introduction to the importance of gender and GBV responsive nutrition programming</w:t>
      </w:r>
    </w:p>
    <w:p w:rsidR="00F50D56" w:rsidRPr="00F50D56" w:rsidRDefault="00F50D56" w:rsidP="00187C77">
      <w:pPr>
        <w:pStyle w:val="ListParagraph"/>
        <w:numPr>
          <w:ilvl w:val="0"/>
          <w:numId w:val="8"/>
        </w:numPr>
        <w:spacing w:after="0" w:line="240" w:lineRule="auto"/>
        <w:rPr>
          <w:rFonts w:eastAsia="MS Mincho" w:cstheme="minorHAnsi"/>
          <w:b/>
          <w:bCs/>
          <w:lang w:val="en-CA"/>
        </w:rPr>
      </w:pPr>
      <w:r>
        <w:rPr>
          <w:rFonts w:eastAsia="MS Mincho" w:cstheme="minorHAnsi"/>
          <w:lang w:val="en-CA"/>
        </w:rPr>
        <w:t>Case studies: linkages between gender, GBV and nutrition</w:t>
      </w:r>
      <w:r w:rsidR="00190951">
        <w:rPr>
          <w:rFonts w:eastAsia="MS Mincho" w:cstheme="minorHAnsi"/>
          <w:lang w:val="en-CA"/>
        </w:rPr>
        <w:t>- slide 10</w:t>
      </w:r>
    </w:p>
    <w:p w:rsidR="00F50D56" w:rsidRPr="00190951" w:rsidRDefault="00190951" w:rsidP="00695308">
      <w:pPr>
        <w:pStyle w:val="ListParagraph"/>
        <w:numPr>
          <w:ilvl w:val="0"/>
          <w:numId w:val="53"/>
        </w:numPr>
        <w:spacing w:after="0" w:line="240" w:lineRule="auto"/>
        <w:rPr>
          <w:rFonts w:eastAsia="MS Mincho" w:cstheme="minorHAnsi"/>
          <w:lang w:val="en-CA"/>
        </w:rPr>
      </w:pPr>
      <w:r>
        <w:rPr>
          <w:rFonts w:eastAsia="MS Mincho" w:cstheme="minorHAnsi"/>
          <w:lang w:val="en-CA"/>
        </w:rPr>
        <w:t>Do a plenary discussion of the case studies</w:t>
      </w:r>
      <w:r w:rsidRPr="00190951">
        <w:rPr>
          <w:rFonts w:eastAsia="MS Mincho" w:cstheme="minorHAnsi"/>
          <w:lang w:val="en-CA"/>
        </w:rPr>
        <w:t xml:space="preserve"> if you are doing the 1- day workshop module, otherwise do a small group exercise using the questions below to guide the discussion/exercise</w:t>
      </w:r>
    </w:p>
    <w:p w:rsidR="008E7ACE" w:rsidRPr="008E7ACE" w:rsidRDefault="008E7ACE" w:rsidP="00695308">
      <w:pPr>
        <w:pStyle w:val="ListParagraph"/>
        <w:numPr>
          <w:ilvl w:val="0"/>
          <w:numId w:val="53"/>
        </w:numPr>
        <w:spacing w:after="0" w:line="240" w:lineRule="auto"/>
        <w:rPr>
          <w:rFonts w:eastAsia="MS Mincho" w:cstheme="minorHAnsi"/>
          <w:lang w:val="en-CA"/>
        </w:rPr>
      </w:pPr>
      <w:r w:rsidRPr="008E7ACE">
        <w:rPr>
          <w:rFonts w:eastAsia="MS Mincho" w:cstheme="minorHAnsi"/>
          <w:lang w:val="en-CA"/>
        </w:rPr>
        <w:t>Ensure that the participants identify gender inequality and gender norms (case studies 1, 2 and 3) and risk of GBV (case study 4) as contributing factors to poor nutrition outcomes</w:t>
      </w:r>
    </w:p>
    <w:p w:rsidR="00F50D56" w:rsidRPr="008E7ACE" w:rsidRDefault="00F50D56" w:rsidP="00695308">
      <w:pPr>
        <w:pStyle w:val="ListParagraph"/>
        <w:numPr>
          <w:ilvl w:val="0"/>
          <w:numId w:val="53"/>
        </w:numPr>
        <w:spacing w:after="0" w:line="240" w:lineRule="auto"/>
        <w:rPr>
          <w:rFonts w:eastAsia="MS Mincho" w:cstheme="minorHAnsi"/>
          <w:lang w:val="en-CA"/>
        </w:rPr>
      </w:pPr>
      <w:r w:rsidRPr="008E7ACE">
        <w:rPr>
          <w:rFonts w:eastAsia="MS Mincho" w:cstheme="minorHAnsi"/>
          <w:lang w:val="en-CA"/>
        </w:rPr>
        <w:t>Case study 1- In some contexts, if a woman who eats before the husband, she is not “a good wife”.</w:t>
      </w:r>
    </w:p>
    <w:p w:rsidR="00F50D56" w:rsidRPr="008E7ACE" w:rsidRDefault="00F50D56" w:rsidP="00695308">
      <w:pPr>
        <w:pStyle w:val="ListParagraph"/>
        <w:numPr>
          <w:ilvl w:val="0"/>
          <w:numId w:val="54"/>
        </w:numPr>
        <w:spacing w:after="0" w:line="240" w:lineRule="auto"/>
        <w:rPr>
          <w:rFonts w:eastAsia="MS Mincho" w:cstheme="minorHAnsi"/>
          <w:lang w:val="en-CA"/>
        </w:rPr>
      </w:pPr>
      <w:r w:rsidRPr="008E7ACE">
        <w:rPr>
          <w:rFonts w:eastAsia="MS Mincho" w:cstheme="minorHAnsi"/>
          <w:lang w:val="en-CA"/>
        </w:rPr>
        <w:t>What is the reason behind this tradition?</w:t>
      </w:r>
    </w:p>
    <w:p w:rsidR="00F50D56" w:rsidRPr="008E7ACE" w:rsidRDefault="00345EFC" w:rsidP="00695308">
      <w:pPr>
        <w:pStyle w:val="ListParagraph"/>
        <w:numPr>
          <w:ilvl w:val="0"/>
          <w:numId w:val="54"/>
        </w:numPr>
        <w:spacing w:after="0" w:line="240" w:lineRule="auto"/>
        <w:rPr>
          <w:rFonts w:eastAsia="MS Mincho" w:cstheme="minorHAnsi"/>
          <w:lang w:val="en-CA"/>
        </w:rPr>
      </w:pPr>
      <w:r>
        <w:rPr>
          <w:rFonts w:eastAsia="MS Mincho" w:cstheme="minorHAnsi"/>
          <w:lang w:val="en-CA"/>
        </w:rPr>
        <w:t>How does this tradition affect of the</w:t>
      </w:r>
      <w:r w:rsidR="0012057C" w:rsidRPr="008E7ACE">
        <w:rPr>
          <w:rFonts w:eastAsia="MS Mincho" w:cstheme="minorHAnsi"/>
          <w:lang w:val="en-CA"/>
        </w:rPr>
        <w:t xml:space="preserve"> nutrition outcomes</w:t>
      </w:r>
      <w:r>
        <w:rPr>
          <w:rFonts w:eastAsia="MS Mincho" w:cstheme="minorHAnsi"/>
          <w:lang w:val="en-CA"/>
        </w:rPr>
        <w:t xml:space="preserve"> for women</w:t>
      </w:r>
      <w:r w:rsidR="0012057C" w:rsidRPr="008E7ACE">
        <w:rPr>
          <w:rFonts w:eastAsia="MS Mincho" w:cstheme="minorHAnsi"/>
          <w:lang w:val="en-CA"/>
        </w:rPr>
        <w:t xml:space="preserve"> during humanitarian crisis, when food supply is limited?</w:t>
      </w:r>
    </w:p>
    <w:p w:rsidR="0012057C" w:rsidRPr="008E7ACE" w:rsidRDefault="0012057C" w:rsidP="00695308">
      <w:pPr>
        <w:pStyle w:val="ListParagraph"/>
        <w:numPr>
          <w:ilvl w:val="0"/>
          <w:numId w:val="55"/>
        </w:numPr>
        <w:spacing w:after="0" w:line="240" w:lineRule="auto"/>
        <w:ind w:left="1440"/>
        <w:rPr>
          <w:rFonts w:eastAsia="MS Mincho" w:cstheme="minorHAnsi"/>
          <w:lang w:val="en-CA"/>
        </w:rPr>
      </w:pPr>
      <w:r w:rsidRPr="008E7ACE">
        <w:rPr>
          <w:rFonts w:eastAsia="MS Mincho" w:cstheme="minorHAnsi"/>
          <w:lang w:val="en-CA"/>
        </w:rPr>
        <w:t>Case study 2- In some contexts, women are expected to take care of their children, husband and do the housework, in addition to farming and being responsible for fetching water and firewood.</w:t>
      </w:r>
    </w:p>
    <w:p w:rsidR="0012057C" w:rsidRPr="008E7ACE" w:rsidRDefault="0012057C" w:rsidP="00695308">
      <w:pPr>
        <w:pStyle w:val="ListParagraph"/>
        <w:numPr>
          <w:ilvl w:val="0"/>
          <w:numId w:val="56"/>
        </w:numPr>
        <w:spacing w:after="0" w:line="240" w:lineRule="auto"/>
        <w:rPr>
          <w:rFonts w:eastAsia="MS Mincho" w:cstheme="minorHAnsi"/>
          <w:lang w:val="en-CA"/>
        </w:rPr>
      </w:pPr>
      <w:r w:rsidRPr="008E7ACE">
        <w:rPr>
          <w:rFonts w:eastAsia="MS Mincho" w:cstheme="minorHAnsi"/>
          <w:lang w:val="en-CA"/>
        </w:rPr>
        <w:t>What is the reason behind the women’s heavy workload?</w:t>
      </w:r>
    </w:p>
    <w:p w:rsidR="0012057C" w:rsidRPr="008E7ACE" w:rsidRDefault="0012057C" w:rsidP="00695308">
      <w:pPr>
        <w:pStyle w:val="ListParagraph"/>
        <w:numPr>
          <w:ilvl w:val="0"/>
          <w:numId w:val="56"/>
        </w:numPr>
        <w:spacing w:after="0" w:line="240" w:lineRule="auto"/>
        <w:rPr>
          <w:rFonts w:eastAsia="MS Mincho" w:cstheme="minorHAnsi"/>
          <w:lang w:val="en-CA"/>
        </w:rPr>
      </w:pPr>
      <w:r w:rsidRPr="008E7ACE">
        <w:rPr>
          <w:rFonts w:eastAsia="MS Mincho" w:cstheme="minorHAnsi"/>
          <w:lang w:val="en-CA"/>
        </w:rPr>
        <w:t>How does the heavy workload affect the nutrition related outcomes for the women</w:t>
      </w:r>
      <w:r w:rsidR="0046213E" w:rsidRPr="008E7ACE">
        <w:rPr>
          <w:rFonts w:eastAsia="MS Mincho" w:cstheme="minorHAnsi"/>
          <w:lang w:val="en-CA"/>
        </w:rPr>
        <w:t xml:space="preserve"> and children</w:t>
      </w:r>
      <w:r w:rsidRPr="008E7ACE">
        <w:rPr>
          <w:rFonts w:eastAsia="MS Mincho" w:cstheme="minorHAnsi"/>
          <w:lang w:val="en-CA"/>
        </w:rPr>
        <w:t>? And why?</w:t>
      </w:r>
    </w:p>
    <w:p w:rsidR="0012057C" w:rsidRPr="008E7ACE" w:rsidRDefault="0012057C" w:rsidP="00695308">
      <w:pPr>
        <w:pStyle w:val="ListParagraph"/>
        <w:numPr>
          <w:ilvl w:val="0"/>
          <w:numId w:val="55"/>
        </w:numPr>
        <w:spacing w:after="0" w:line="240" w:lineRule="auto"/>
        <w:ind w:left="1530"/>
        <w:rPr>
          <w:rFonts w:eastAsia="MS Mincho" w:cstheme="minorHAnsi"/>
          <w:lang w:val="en-CA"/>
        </w:rPr>
      </w:pPr>
      <w:r w:rsidRPr="008E7ACE">
        <w:rPr>
          <w:rFonts w:eastAsia="MS Mincho" w:cstheme="minorHAnsi"/>
          <w:lang w:val="en-CA"/>
        </w:rPr>
        <w:t>Case study 3- In some contexts, women are not allowed to go out alone to access services.</w:t>
      </w:r>
    </w:p>
    <w:p w:rsidR="0012057C" w:rsidRPr="008E7ACE" w:rsidRDefault="0012057C" w:rsidP="00695308">
      <w:pPr>
        <w:pStyle w:val="ListParagraph"/>
        <w:numPr>
          <w:ilvl w:val="0"/>
          <w:numId w:val="57"/>
        </w:numPr>
        <w:spacing w:after="0" w:line="240" w:lineRule="auto"/>
        <w:rPr>
          <w:rFonts w:eastAsia="MS Mincho" w:cstheme="minorHAnsi"/>
          <w:lang w:val="en-CA"/>
        </w:rPr>
      </w:pPr>
      <w:r w:rsidRPr="008E7ACE">
        <w:rPr>
          <w:rFonts w:eastAsia="MS Mincho" w:cstheme="minorHAnsi"/>
          <w:lang w:val="en-CA"/>
        </w:rPr>
        <w:t xml:space="preserve">What is the reason behind </w:t>
      </w:r>
      <w:r w:rsidR="0046213E" w:rsidRPr="008E7ACE">
        <w:rPr>
          <w:rFonts w:eastAsia="MS Mincho" w:cstheme="minorHAnsi"/>
          <w:lang w:val="en-CA"/>
        </w:rPr>
        <w:t>it?</w:t>
      </w:r>
    </w:p>
    <w:p w:rsidR="0046213E" w:rsidRPr="008E7ACE" w:rsidRDefault="0046213E" w:rsidP="00695308">
      <w:pPr>
        <w:pStyle w:val="ListParagraph"/>
        <w:numPr>
          <w:ilvl w:val="0"/>
          <w:numId w:val="57"/>
        </w:numPr>
        <w:spacing w:after="0" w:line="240" w:lineRule="auto"/>
        <w:rPr>
          <w:rFonts w:eastAsia="MS Mincho" w:cstheme="minorHAnsi"/>
          <w:lang w:val="en-CA"/>
        </w:rPr>
      </w:pPr>
      <w:r w:rsidRPr="008E7ACE">
        <w:rPr>
          <w:rFonts w:eastAsia="MS Mincho" w:cstheme="minorHAnsi"/>
          <w:lang w:val="en-CA"/>
        </w:rPr>
        <w:t>How does it affect nutrition outcomes</w:t>
      </w:r>
      <w:r w:rsidR="00345EFC">
        <w:rPr>
          <w:rFonts w:eastAsia="MS Mincho" w:cstheme="minorHAnsi"/>
          <w:lang w:val="en-CA"/>
        </w:rPr>
        <w:t xml:space="preserve"> for </w:t>
      </w:r>
      <w:r w:rsidRPr="008E7ACE">
        <w:rPr>
          <w:rFonts w:eastAsia="MS Mincho" w:cstheme="minorHAnsi"/>
          <w:lang w:val="en-CA"/>
        </w:rPr>
        <w:t>the women, girls and their children?</w:t>
      </w:r>
    </w:p>
    <w:p w:rsidR="0046213E" w:rsidRPr="008E7ACE" w:rsidRDefault="0046213E" w:rsidP="00695308">
      <w:pPr>
        <w:pStyle w:val="ListParagraph"/>
        <w:numPr>
          <w:ilvl w:val="0"/>
          <w:numId w:val="55"/>
        </w:numPr>
        <w:spacing w:after="0" w:line="240" w:lineRule="auto"/>
        <w:ind w:left="1530"/>
        <w:rPr>
          <w:rFonts w:eastAsia="MS Mincho" w:cstheme="minorHAnsi"/>
          <w:lang w:val="en-CA"/>
        </w:rPr>
      </w:pPr>
      <w:r w:rsidRPr="008E7ACE">
        <w:rPr>
          <w:rFonts w:eastAsia="MS Mincho" w:cstheme="minorHAnsi"/>
          <w:lang w:val="en-CA"/>
        </w:rPr>
        <w:t>Case study 4- When nutrition centered are located in remote areas and near check points, women and girls might not feel safe to access the services</w:t>
      </w:r>
    </w:p>
    <w:p w:rsidR="0046213E" w:rsidRPr="008E7ACE" w:rsidRDefault="0046213E" w:rsidP="00695308">
      <w:pPr>
        <w:pStyle w:val="ListParagraph"/>
        <w:numPr>
          <w:ilvl w:val="0"/>
          <w:numId w:val="58"/>
        </w:numPr>
        <w:spacing w:after="0" w:line="240" w:lineRule="auto"/>
        <w:rPr>
          <w:rFonts w:eastAsia="MS Mincho" w:cstheme="minorHAnsi"/>
          <w:lang w:val="en-CA"/>
        </w:rPr>
      </w:pPr>
      <w:r w:rsidRPr="008E7ACE">
        <w:rPr>
          <w:rFonts w:eastAsia="MS Mincho" w:cstheme="minorHAnsi"/>
          <w:lang w:val="en-CA"/>
        </w:rPr>
        <w:t>How does the safety perceptions of women and girls affect the nutrition outcomes?</w:t>
      </w:r>
    </w:p>
    <w:p w:rsidR="0046213E" w:rsidRPr="0046213E" w:rsidRDefault="0046213E" w:rsidP="00695308">
      <w:pPr>
        <w:pStyle w:val="ListParagraph"/>
        <w:numPr>
          <w:ilvl w:val="0"/>
          <w:numId w:val="58"/>
        </w:numPr>
        <w:spacing w:after="0" w:line="240" w:lineRule="auto"/>
        <w:rPr>
          <w:rFonts w:eastAsia="MS Mincho" w:cstheme="minorHAnsi"/>
          <w:b/>
          <w:bCs/>
          <w:lang w:val="en-CA"/>
        </w:rPr>
      </w:pPr>
      <w:r w:rsidRPr="008E7ACE">
        <w:rPr>
          <w:rFonts w:eastAsia="MS Mincho" w:cstheme="minorHAnsi"/>
          <w:lang w:val="en-CA"/>
        </w:rPr>
        <w:t>What are the</w:t>
      </w:r>
      <w:r w:rsidR="007C662A">
        <w:rPr>
          <w:rFonts w:eastAsia="MS Mincho" w:cstheme="minorHAnsi"/>
          <w:lang w:val="en-CA"/>
        </w:rPr>
        <w:t xml:space="preserve"> safety</w:t>
      </w:r>
      <w:r w:rsidRPr="008E7ACE">
        <w:rPr>
          <w:rFonts w:eastAsia="MS Mincho" w:cstheme="minorHAnsi"/>
          <w:lang w:val="en-CA"/>
        </w:rPr>
        <w:t xml:space="preserve"> risks on women and girls that are associated with locating the centers in unsafe areas? </w:t>
      </w:r>
    </w:p>
    <w:p w:rsidR="003426DA" w:rsidRPr="003426DA" w:rsidRDefault="003426DA" w:rsidP="00187C77">
      <w:pPr>
        <w:pStyle w:val="ListParagraph"/>
        <w:numPr>
          <w:ilvl w:val="0"/>
          <w:numId w:val="8"/>
        </w:numPr>
        <w:spacing w:after="0" w:line="240" w:lineRule="auto"/>
        <w:rPr>
          <w:rFonts w:eastAsia="MS Mincho" w:cstheme="minorHAnsi"/>
          <w:b/>
          <w:bCs/>
          <w:lang w:val="en-CA"/>
        </w:rPr>
      </w:pPr>
      <w:r>
        <w:rPr>
          <w:rFonts w:eastAsia="MS Mincho" w:cstheme="minorHAnsi"/>
          <w:lang w:val="en-CA"/>
        </w:rPr>
        <w:t xml:space="preserve">Explain </w:t>
      </w:r>
      <w:r w:rsidR="00995D82">
        <w:rPr>
          <w:rFonts w:eastAsia="MS Mincho" w:cstheme="minorHAnsi"/>
          <w:lang w:val="en-CA"/>
        </w:rPr>
        <w:t>using slide 11</w:t>
      </w:r>
      <w:r w:rsidR="00B53915">
        <w:rPr>
          <w:rFonts w:eastAsia="MS Mincho" w:cstheme="minorHAnsi"/>
          <w:lang w:val="en-CA"/>
        </w:rPr>
        <w:t xml:space="preserve"> </w:t>
      </w:r>
      <w:r>
        <w:rPr>
          <w:rFonts w:eastAsia="MS Mincho" w:cstheme="minorHAnsi"/>
          <w:lang w:val="en-CA"/>
        </w:rPr>
        <w:t>that GBV, gender and nutrition are interlinked</w:t>
      </w:r>
    </w:p>
    <w:p w:rsidR="003426DA" w:rsidRDefault="003426DA" w:rsidP="00187C77">
      <w:pPr>
        <w:pStyle w:val="ListParagraph"/>
        <w:numPr>
          <w:ilvl w:val="0"/>
          <w:numId w:val="8"/>
        </w:numPr>
        <w:spacing w:after="0" w:line="240" w:lineRule="auto"/>
        <w:rPr>
          <w:rFonts w:eastAsia="MS Mincho" w:cstheme="minorHAnsi"/>
          <w:lang w:val="en-CA"/>
        </w:rPr>
      </w:pPr>
      <w:r w:rsidRPr="003426DA">
        <w:rPr>
          <w:rFonts w:eastAsia="MS Mincho" w:cstheme="minorHAnsi"/>
          <w:lang w:val="en-CA"/>
        </w:rPr>
        <w:t>Humanitarian crises have different impacts on the levels of nutrition available to women, girls, men and boys, their feeding practices as well as their access to nutrition services</w:t>
      </w:r>
      <w:r>
        <w:rPr>
          <w:rFonts w:eastAsia="MS Mincho" w:cstheme="minorHAnsi"/>
          <w:lang w:val="en-CA"/>
        </w:rPr>
        <w:t>. This is partly due to gender inequality and GBV and or the increased risk of GBV during the humanitarian crisis.</w:t>
      </w:r>
    </w:p>
    <w:p w:rsidR="005F784C" w:rsidRDefault="005F784C" w:rsidP="00187C77">
      <w:pPr>
        <w:pStyle w:val="ListParagraph"/>
        <w:numPr>
          <w:ilvl w:val="0"/>
          <w:numId w:val="8"/>
        </w:numPr>
        <w:spacing w:after="0" w:line="240" w:lineRule="auto"/>
        <w:rPr>
          <w:rFonts w:eastAsia="MS Mincho" w:cstheme="minorHAnsi"/>
          <w:lang w:val="en-CA"/>
        </w:rPr>
      </w:pPr>
      <w:r>
        <w:rPr>
          <w:rFonts w:eastAsia="MS Mincho" w:cstheme="minorHAnsi"/>
          <w:lang w:val="en-CA"/>
        </w:rPr>
        <w:t>Using a flipchart, brainstorm with the participants about their experience by asking:</w:t>
      </w:r>
    </w:p>
    <w:p w:rsidR="005F784C" w:rsidRDefault="005F784C" w:rsidP="00187C77">
      <w:pPr>
        <w:pStyle w:val="ListParagraph"/>
        <w:numPr>
          <w:ilvl w:val="0"/>
          <w:numId w:val="10"/>
        </w:numPr>
        <w:spacing w:after="0" w:line="240" w:lineRule="auto"/>
        <w:rPr>
          <w:rFonts w:eastAsia="MS Mincho" w:cstheme="minorHAnsi"/>
          <w:lang w:val="en-CA"/>
        </w:rPr>
      </w:pPr>
      <w:r>
        <w:rPr>
          <w:rFonts w:eastAsia="MS Mincho" w:cstheme="minorHAnsi"/>
          <w:lang w:val="en-CA"/>
        </w:rPr>
        <w:t>Have you ever encountered an obstacle to achieving your programmatic outcomes due to gender norms?</w:t>
      </w:r>
    </w:p>
    <w:p w:rsidR="003426DA" w:rsidRDefault="003426DA" w:rsidP="00187C77">
      <w:pPr>
        <w:pStyle w:val="ListParagraph"/>
        <w:numPr>
          <w:ilvl w:val="0"/>
          <w:numId w:val="8"/>
        </w:numPr>
        <w:spacing w:after="0" w:line="240" w:lineRule="auto"/>
        <w:rPr>
          <w:rFonts w:eastAsia="MS Mincho" w:cstheme="minorHAnsi"/>
          <w:lang w:val="en-CA"/>
        </w:rPr>
      </w:pPr>
      <w:r>
        <w:rPr>
          <w:rFonts w:eastAsia="MS Mincho" w:cstheme="minorHAnsi"/>
          <w:lang w:val="en-CA"/>
        </w:rPr>
        <w:t>Explain</w:t>
      </w:r>
      <w:r w:rsidR="00B53915">
        <w:rPr>
          <w:rFonts w:eastAsia="MS Mincho" w:cstheme="minorHAnsi"/>
          <w:lang w:val="en-CA"/>
        </w:rPr>
        <w:t xml:space="preserve"> using sl</w:t>
      </w:r>
      <w:r w:rsidR="00995D82">
        <w:rPr>
          <w:rFonts w:eastAsia="MS Mincho" w:cstheme="minorHAnsi"/>
          <w:lang w:val="en-CA"/>
        </w:rPr>
        <w:t>ides 12 and 13</w:t>
      </w:r>
      <w:r>
        <w:rPr>
          <w:rFonts w:eastAsia="MS Mincho" w:cstheme="minorHAnsi"/>
          <w:lang w:val="en-CA"/>
        </w:rPr>
        <w:t xml:space="preserve"> that </w:t>
      </w:r>
      <w:r w:rsidRPr="003426DA">
        <w:rPr>
          <w:rFonts w:eastAsia="MS Mincho" w:cstheme="minorHAnsi"/>
          <w:lang w:val="en-CA"/>
        </w:rPr>
        <w:t>Gender social norms are detrimental in shaping food and nutrition related practices</w:t>
      </w:r>
      <w:r w:rsidR="005F784C">
        <w:rPr>
          <w:rFonts w:eastAsia="MS Mincho" w:cstheme="minorHAnsi"/>
          <w:lang w:val="en-CA"/>
        </w:rPr>
        <w:t xml:space="preserve"> and g</w:t>
      </w:r>
      <w:r w:rsidR="005F784C" w:rsidRPr="005F784C">
        <w:rPr>
          <w:rFonts w:eastAsia="MS Mincho" w:cstheme="minorHAnsi"/>
          <w:lang w:val="en-CA"/>
        </w:rPr>
        <w:t>ender/power dynamics in the home have major implications for effectiveness of nutrition interventions and uptake of the services</w:t>
      </w:r>
      <w:r w:rsidR="005F784C">
        <w:rPr>
          <w:rFonts w:eastAsia="MS Mincho" w:cstheme="minorHAnsi"/>
          <w:lang w:val="en-CA"/>
        </w:rPr>
        <w:t>. Give few examples:</w:t>
      </w:r>
    </w:p>
    <w:p w:rsidR="005F784C" w:rsidRPr="005F784C" w:rsidRDefault="005F784C" w:rsidP="00187C77">
      <w:pPr>
        <w:pStyle w:val="ListParagraph"/>
        <w:numPr>
          <w:ilvl w:val="0"/>
          <w:numId w:val="10"/>
        </w:numPr>
        <w:spacing w:after="0" w:line="240" w:lineRule="auto"/>
        <w:rPr>
          <w:rFonts w:eastAsia="MS Mincho" w:cstheme="minorHAnsi"/>
          <w:lang w:val="en-CA"/>
        </w:rPr>
      </w:pPr>
      <w:r w:rsidRPr="005F784C">
        <w:rPr>
          <w:rFonts w:eastAsia="MS Mincho" w:cstheme="minorHAnsi"/>
          <w:lang w:val="en-CA"/>
        </w:rPr>
        <w:t>In some cultures, women and girls may reduce or skip their food intake, while men and boys are favored as a coping strategy in support of other household members or when there is a tradition for women and girls to eat their meals only after men and boys do places them at an increased risk of malnutrition.</w:t>
      </w:r>
    </w:p>
    <w:p w:rsidR="005F784C" w:rsidRPr="005F784C" w:rsidRDefault="005F784C" w:rsidP="00187C77">
      <w:pPr>
        <w:pStyle w:val="ListParagraph"/>
        <w:numPr>
          <w:ilvl w:val="0"/>
          <w:numId w:val="10"/>
        </w:numPr>
        <w:spacing w:after="0" w:line="240" w:lineRule="auto"/>
        <w:rPr>
          <w:rFonts w:eastAsia="MS Mincho" w:cstheme="minorHAnsi"/>
          <w:lang w:val="en-CA"/>
        </w:rPr>
      </w:pPr>
      <w:r w:rsidRPr="005F784C">
        <w:rPr>
          <w:rFonts w:eastAsia="MS Mincho" w:cstheme="minorHAnsi"/>
          <w:lang w:val="en-CA"/>
        </w:rPr>
        <w:lastRenderedPageBreak/>
        <w:t>Single men and boys who have been separated from their families can also be at risk of undernutrition if they are unable to cook or access food distribution points. Single male caregivers may not have sufficient information to provide adequate feeding support to their children or may be overlooked by nutrition services and messaging</w:t>
      </w:r>
    </w:p>
    <w:p w:rsidR="005F784C" w:rsidRDefault="005F784C" w:rsidP="00187C77">
      <w:pPr>
        <w:pStyle w:val="ListParagraph"/>
        <w:numPr>
          <w:ilvl w:val="0"/>
          <w:numId w:val="10"/>
        </w:numPr>
        <w:spacing w:after="0" w:line="240" w:lineRule="auto"/>
        <w:rPr>
          <w:rFonts w:eastAsia="MS Mincho" w:cstheme="minorHAnsi"/>
          <w:lang w:val="en-CA"/>
        </w:rPr>
      </w:pPr>
      <w:r>
        <w:rPr>
          <w:rFonts w:eastAsia="MS Mincho" w:cstheme="minorHAnsi"/>
          <w:lang w:val="en-CA"/>
        </w:rPr>
        <w:t>I</w:t>
      </w:r>
      <w:r w:rsidRPr="005F784C">
        <w:rPr>
          <w:rFonts w:eastAsia="MS Mincho" w:cstheme="minorHAnsi"/>
          <w:lang w:val="en-CA"/>
        </w:rPr>
        <w:t>n some contexts, certain supplementation food that are socially believed to increase men sexual activity are removed from the hands of women which may contribute to the risk if women and child malnutrition.</w:t>
      </w:r>
    </w:p>
    <w:p w:rsidR="005F784C" w:rsidRDefault="005F784C" w:rsidP="00187C77">
      <w:pPr>
        <w:pStyle w:val="ListParagraph"/>
        <w:numPr>
          <w:ilvl w:val="0"/>
          <w:numId w:val="10"/>
        </w:numPr>
        <w:spacing w:after="0" w:line="240" w:lineRule="auto"/>
        <w:rPr>
          <w:rFonts w:eastAsia="MS Mincho" w:cstheme="minorHAnsi"/>
          <w:lang w:val="en-CA"/>
        </w:rPr>
      </w:pPr>
      <w:r w:rsidRPr="005F784C">
        <w:rPr>
          <w:rFonts w:eastAsia="MS Mincho" w:cstheme="minorHAnsi"/>
          <w:lang w:val="en-CA"/>
        </w:rPr>
        <w:t>Women’s aggregated work overload, often the result of gender inequality, has been strongly found to be as a major factor contributing directly to child undernutrition</w:t>
      </w:r>
    </w:p>
    <w:p w:rsidR="00382D4B" w:rsidRDefault="00382D4B" w:rsidP="00187C77">
      <w:pPr>
        <w:pStyle w:val="ListParagraph"/>
        <w:numPr>
          <w:ilvl w:val="0"/>
          <w:numId w:val="10"/>
        </w:numPr>
        <w:spacing w:after="0" w:line="240" w:lineRule="auto"/>
        <w:rPr>
          <w:rFonts w:eastAsia="MS Mincho" w:cstheme="minorHAnsi"/>
          <w:lang w:val="en-CA"/>
        </w:rPr>
      </w:pPr>
      <w:r w:rsidRPr="00382D4B">
        <w:rPr>
          <w:rFonts w:eastAsia="MS Mincho" w:cstheme="minorHAnsi"/>
          <w:lang w:val="en-CA"/>
        </w:rPr>
        <w:t>Constraints on women’s mobility can hamper their access to food distribution sites and ability to access adequate and consistent amounts of nutritious food to meet their own needs as well as those of their families</w:t>
      </w:r>
      <w:r>
        <w:rPr>
          <w:rFonts w:eastAsia="MS Mincho" w:cstheme="minorHAnsi"/>
          <w:lang w:val="en-CA"/>
        </w:rPr>
        <w:t>.</w:t>
      </w:r>
    </w:p>
    <w:p w:rsidR="00382D4B" w:rsidRDefault="00382D4B" w:rsidP="00187C77">
      <w:pPr>
        <w:pStyle w:val="ListParagraph"/>
        <w:numPr>
          <w:ilvl w:val="0"/>
          <w:numId w:val="10"/>
        </w:numPr>
        <w:spacing w:after="0" w:line="240" w:lineRule="auto"/>
        <w:rPr>
          <w:rFonts w:eastAsia="MS Mincho" w:cstheme="minorHAnsi"/>
          <w:lang w:val="en-CA"/>
        </w:rPr>
      </w:pPr>
      <w:r w:rsidRPr="00382D4B">
        <w:rPr>
          <w:rFonts w:eastAsia="MS Mincho" w:cstheme="minorHAnsi"/>
          <w:lang w:val="en-CA"/>
        </w:rPr>
        <w:t>Women and girls usually have more constraints to accessing food security than men and boys during their menstrual cycles, this may also prevent them to participate in other social activities and public gatherings like food distribution points.</w:t>
      </w:r>
    </w:p>
    <w:p w:rsidR="00382D4B" w:rsidRDefault="00382D4B" w:rsidP="00187C77">
      <w:pPr>
        <w:pStyle w:val="ListParagraph"/>
        <w:numPr>
          <w:ilvl w:val="0"/>
          <w:numId w:val="8"/>
        </w:numPr>
        <w:spacing w:after="0" w:line="240" w:lineRule="auto"/>
        <w:rPr>
          <w:rFonts w:eastAsia="MS Mincho" w:cstheme="minorHAnsi"/>
          <w:lang w:val="en-CA"/>
        </w:rPr>
      </w:pPr>
      <w:r>
        <w:rPr>
          <w:rFonts w:eastAsia="MS Mincho" w:cstheme="minorHAnsi"/>
          <w:lang w:val="en-CA"/>
        </w:rPr>
        <w:t>Explain that in addition to the above t</w:t>
      </w:r>
      <w:r w:rsidRPr="00382D4B">
        <w:rPr>
          <w:rFonts w:eastAsia="MS Mincho" w:cstheme="minorHAnsi"/>
          <w:lang w:val="en-CA"/>
        </w:rPr>
        <w:t xml:space="preserve">he links between nutrition and the risks of GBV may also become particularly pronounced where food and basic needs are in short supply for example girls, and women are at heightened risk of child marriage exchanging sex for food and or sexual exploitation and abuse. Disagreements about how to manage limited household food supplies or assign food rations may contribute to intimate partner violence and other forms of domestic violence.  </w:t>
      </w:r>
    </w:p>
    <w:p w:rsidR="000D0FB8" w:rsidRDefault="00382D4B" w:rsidP="00187C77">
      <w:pPr>
        <w:pStyle w:val="ListParagraph"/>
        <w:numPr>
          <w:ilvl w:val="0"/>
          <w:numId w:val="8"/>
        </w:numPr>
        <w:spacing w:after="0" w:line="240" w:lineRule="auto"/>
        <w:rPr>
          <w:rFonts w:eastAsia="MS Mincho" w:cstheme="minorHAnsi"/>
          <w:lang w:val="en-CA"/>
        </w:rPr>
      </w:pPr>
      <w:r w:rsidRPr="00382D4B">
        <w:rPr>
          <w:rFonts w:eastAsia="MS Mincho" w:cstheme="minorHAnsi"/>
          <w:lang w:val="en-CA"/>
        </w:rPr>
        <w:t xml:space="preserve">GBV survivors in particular— those who are socially isolated and/or have physical limitations— access to nutrition support services may be difficult. This can be especially detrimental for survivors who have physical injuries and/or need to take medication that must be </w:t>
      </w:r>
      <w:r w:rsidR="000D0FB8">
        <w:rPr>
          <w:rFonts w:eastAsia="MS Mincho" w:cstheme="minorHAnsi"/>
          <w:lang w:val="en-CA"/>
        </w:rPr>
        <w:t xml:space="preserve">accompanied by food.  </w:t>
      </w:r>
    </w:p>
    <w:p w:rsidR="000D0FB8" w:rsidRDefault="000D0FB8" w:rsidP="00187C77">
      <w:pPr>
        <w:pStyle w:val="ListParagraph"/>
        <w:numPr>
          <w:ilvl w:val="0"/>
          <w:numId w:val="8"/>
        </w:numPr>
        <w:spacing w:after="0" w:line="240" w:lineRule="auto"/>
        <w:rPr>
          <w:rFonts w:eastAsia="MS Mincho" w:cstheme="minorHAnsi"/>
          <w:lang w:val="en-CA"/>
        </w:rPr>
      </w:pPr>
      <w:r w:rsidRPr="000D0FB8">
        <w:rPr>
          <w:rFonts w:eastAsia="MS Mincho" w:cstheme="minorHAnsi"/>
          <w:lang w:val="en-CA"/>
        </w:rPr>
        <w:t>Location and timing of nutrition services/distribution points can increase GBV risk</w:t>
      </w:r>
      <w:r>
        <w:rPr>
          <w:rFonts w:eastAsia="MS Mincho" w:cstheme="minorHAnsi"/>
          <w:lang w:val="en-CA"/>
        </w:rPr>
        <w:t xml:space="preserve"> if the programs did not take into consideration the safety of women and girls in accessing the services.</w:t>
      </w:r>
    </w:p>
    <w:p w:rsidR="00382D4B" w:rsidRDefault="00382D4B" w:rsidP="00187C77">
      <w:pPr>
        <w:pStyle w:val="ListParagraph"/>
        <w:numPr>
          <w:ilvl w:val="0"/>
          <w:numId w:val="8"/>
        </w:numPr>
        <w:spacing w:after="0" w:line="240" w:lineRule="auto"/>
        <w:rPr>
          <w:rFonts w:eastAsia="MS Mincho" w:cstheme="minorHAnsi"/>
          <w:lang w:val="en-CA"/>
        </w:rPr>
      </w:pPr>
      <w:r w:rsidRPr="00382D4B">
        <w:rPr>
          <w:rFonts w:eastAsia="MS Mincho" w:cstheme="minorHAnsi"/>
          <w:lang w:val="en-CA"/>
        </w:rPr>
        <w:t>GBV has a clear positive association with child malnutrition especially stunting which is a marker of chronic malnutrition, in addition there is evidence that points at a statistically significant association between GBV, especially Intimate Partner Violence, and the initiation of breastfeeding and child mortality</w:t>
      </w:r>
    </w:p>
    <w:p w:rsidR="00F809F2" w:rsidRPr="00F809F2" w:rsidRDefault="00F809F2" w:rsidP="00187C77">
      <w:pPr>
        <w:pStyle w:val="ListParagraph"/>
        <w:numPr>
          <w:ilvl w:val="0"/>
          <w:numId w:val="8"/>
        </w:numPr>
        <w:rPr>
          <w:rFonts w:eastAsia="MS Mincho" w:cstheme="minorHAnsi"/>
          <w:lang w:val="en-CA"/>
        </w:rPr>
      </w:pPr>
      <w:r w:rsidRPr="00F809F2">
        <w:rPr>
          <w:rFonts w:eastAsia="MS Mincho" w:cstheme="minorHAnsi"/>
          <w:lang w:val="en-CA"/>
        </w:rPr>
        <w:t xml:space="preserve">Ask participants if they have other examples </w:t>
      </w:r>
    </w:p>
    <w:p w:rsidR="00F809F2" w:rsidRDefault="00B53915" w:rsidP="00187C77">
      <w:pPr>
        <w:pStyle w:val="ListParagraph"/>
        <w:numPr>
          <w:ilvl w:val="0"/>
          <w:numId w:val="8"/>
        </w:numPr>
        <w:spacing w:after="0" w:line="240" w:lineRule="auto"/>
        <w:rPr>
          <w:rFonts w:eastAsia="MS Mincho" w:cstheme="minorHAnsi"/>
          <w:lang w:val="en-CA"/>
        </w:rPr>
      </w:pPr>
      <w:r>
        <w:rPr>
          <w:rFonts w:eastAsia="MS Mincho" w:cstheme="minorHAnsi"/>
          <w:lang w:val="en-CA"/>
        </w:rPr>
        <w:t xml:space="preserve">Show </w:t>
      </w:r>
      <w:r w:rsidR="00F809F2">
        <w:rPr>
          <w:rFonts w:eastAsia="MS Mincho" w:cstheme="minorHAnsi"/>
          <w:lang w:val="en-CA"/>
        </w:rPr>
        <w:t xml:space="preserve">slide </w:t>
      </w:r>
      <w:r w:rsidR="00995D82">
        <w:rPr>
          <w:rFonts w:eastAsia="MS Mincho" w:cstheme="minorHAnsi"/>
          <w:lang w:val="en-CA"/>
        </w:rPr>
        <w:t>14</w:t>
      </w:r>
      <w:r>
        <w:rPr>
          <w:rFonts w:eastAsia="MS Mincho" w:cstheme="minorHAnsi"/>
          <w:lang w:val="en-CA"/>
        </w:rPr>
        <w:t xml:space="preserve"> </w:t>
      </w:r>
      <w:r w:rsidR="00F809F2">
        <w:rPr>
          <w:rFonts w:eastAsia="MS Mincho" w:cstheme="minorHAnsi"/>
          <w:lang w:val="en-CA"/>
        </w:rPr>
        <w:t xml:space="preserve">and explain: </w:t>
      </w:r>
      <w:r w:rsidR="00F809F2" w:rsidRPr="00F809F2">
        <w:rPr>
          <w:rFonts w:eastAsia="MS Mincho" w:cstheme="minorHAnsi"/>
          <w:lang w:val="en-CA"/>
        </w:rPr>
        <w:t>Our review finds 12 studies examining the association between GBV and child malnutrition (See table 1). Studies were from both low and high-income countries and examined the association of GBV with child underweight, stunting, wasting (moderate to severe and severe), and low BMI. Most of the studies were based on Demographic Health Surveys or National Surveys with a few studies using observational study designs. All of them show a positive association between maternal exposure to physical, sexual, verbal or emotional abuse by their partners and child nutrition indicators. Stunting – low height of age- is a well-established risk marker of poor child development and predicts poorer cognitive and educational outcomes in later childhood and adolescence. Acute Malnutrition in the form of wasting can have long-term consequences for linear growth, depending on the severity, duration and recurrence, particularly if there is insufficient nourishment to support recovery. A significant association between stunting and maternal exposure to IPV was seen in countries like Kenya, India, Bangladesh and Malawi</w:t>
      </w:r>
    </w:p>
    <w:p w:rsidR="00F809F2" w:rsidRDefault="00B53915" w:rsidP="00187C77">
      <w:pPr>
        <w:pStyle w:val="ListParagraph"/>
        <w:numPr>
          <w:ilvl w:val="0"/>
          <w:numId w:val="8"/>
        </w:numPr>
        <w:spacing w:after="0" w:line="240" w:lineRule="auto"/>
        <w:rPr>
          <w:rFonts w:eastAsia="MS Mincho" w:cstheme="minorHAnsi"/>
          <w:lang w:val="en-CA"/>
        </w:rPr>
      </w:pPr>
      <w:r>
        <w:rPr>
          <w:rFonts w:eastAsia="MS Mincho" w:cstheme="minorHAnsi"/>
          <w:lang w:val="en-CA"/>
        </w:rPr>
        <w:t xml:space="preserve">Show </w:t>
      </w:r>
      <w:r w:rsidR="00F809F2">
        <w:rPr>
          <w:rFonts w:eastAsia="MS Mincho" w:cstheme="minorHAnsi"/>
          <w:lang w:val="en-CA"/>
        </w:rPr>
        <w:t>slide</w:t>
      </w:r>
      <w:r w:rsidR="00995D82">
        <w:rPr>
          <w:rFonts w:eastAsia="MS Mincho" w:cstheme="minorHAnsi"/>
          <w:lang w:val="en-CA"/>
        </w:rPr>
        <w:t xml:space="preserve"> 15</w:t>
      </w:r>
      <w:r w:rsidR="00F809F2">
        <w:rPr>
          <w:rFonts w:eastAsia="MS Mincho" w:cstheme="minorHAnsi"/>
          <w:lang w:val="en-CA"/>
        </w:rPr>
        <w:t xml:space="preserve"> and explain: </w:t>
      </w:r>
      <w:r w:rsidR="00F809F2" w:rsidRPr="00F809F2">
        <w:rPr>
          <w:rFonts w:eastAsia="MS Mincho" w:cstheme="minorHAnsi"/>
          <w:lang w:val="en-CA"/>
        </w:rPr>
        <w:t xml:space="preserve">The review found 10 studies examining the association of LBW with exposure to IPV. Studies show that there is a positive association between LBW and the </w:t>
      </w:r>
      <w:r w:rsidR="00F809F2" w:rsidRPr="00F809F2">
        <w:rPr>
          <w:rFonts w:eastAsia="MS Mincho" w:cstheme="minorHAnsi"/>
          <w:lang w:val="en-CA"/>
        </w:rPr>
        <w:lastRenderedPageBreak/>
        <w:t>outcome. Low weight at birth (less than 2500 grams) is strongly associated with child malnutrition, neonatal mortality, cognitive and neurological impairment, and stunting as adolescents and adults. LBW is also associated with other outcomes like hypothermia, small for gestational age, low immunity and consequent morbidity. LBW may also have intergenerational effects as LBW girls who survive tend to be undernourished when pregnant with relatively high incidence of LBW children</w:t>
      </w:r>
      <w:r w:rsidR="00F809F2">
        <w:rPr>
          <w:rFonts w:eastAsia="MS Mincho" w:cstheme="minorHAnsi"/>
          <w:lang w:val="en-CA"/>
        </w:rPr>
        <w:t xml:space="preserve"> </w:t>
      </w:r>
      <w:r w:rsidR="00F809F2" w:rsidRPr="00F809F2">
        <w:rPr>
          <w:rFonts w:eastAsia="MS Mincho" w:cstheme="minorHAnsi"/>
          <w:lang w:val="en-CA"/>
        </w:rPr>
        <w:t>(Alderman &amp; Behrman, 2004).</w:t>
      </w:r>
    </w:p>
    <w:p w:rsidR="00F809F2" w:rsidRDefault="00995D82" w:rsidP="00187C77">
      <w:pPr>
        <w:pStyle w:val="ListParagraph"/>
        <w:numPr>
          <w:ilvl w:val="0"/>
          <w:numId w:val="8"/>
        </w:numPr>
        <w:spacing w:after="0" w:line="240" w:lineRule="auto"/>
        <w:rPr>
          <w:rFonts w:eastAsia="MS Mincho" w:cstheme="minorHAnsi"/>
          <w:lang w:val="en-CA"/>
        </w:rPr>
      </w:pPr>
      <w:r>
        <w:rPr>
          <w:rFonts w:eastAsia="MS Mincho" w:cstheme="minorHAnsi"/>
          <w:lang w:val="en-CA"/>
        </w:rPr>
        <w:t>Show slide 16</w:t>
      </w:r>
      <w:r w:rsidR="00B53915">
        <w:rPr>
          <w:rFonts w:eastAsia="MS Mincho" w:cstheme="minorHAnsi"/>
          <w:lang w:val="en-CA"/>
        </w:rPr>
        <w:t xml:space="preserve"> and explain: </w:t>
      </w:r>
      <w:r w:rsidR="00F809F2" w:rsidRPr="00F809F2">
        <w:rPr>
          <w:rFonts w:eastAsia="MS Mincho" w:cstheme="minorHAnsi"/>
          <w:lang w:val="en-CA"/>
        </w:rPr>
        <w:t>Interventions towards infant and young child feeding are critical for improving nutrition during emergencies. Immediate initiation of breast feeding, exclusive breast feeding for 6 months, timely initiation of complementary feeding at 6 months, minimum dietary diversity and minimum feed frequency (age appropriate) are recommended for child health and nutrition during the first 2 years of life. Our review found 11 studies that explored the impact of GBV on child feeding. Women who experienced any form of IPV during pregnancy were more likely to stop exclusive breast feeding within 6 months after birth. There was an association between IPV and immediate initiation of BF. Misch et al found that Indian mothers who were exposed to IPV had higher odds of feeding their children liquids within 24 hours of birth compared to those who were not (OR 0.74, 95% CI 0.58–0.95). The results show that psychological abuse was strongly associated with negative feeding behaviors.</w:t>
      </w:r>
    </w:p>
    <w:p w:rsidR="00F16ABE" w:rsidRDefault="00F16ABE" w:rsidP="00F16ABE">
      <w:pPr>
        <w:pStyle w:val="ListParagraph"/>
        <w:numPr>
          <w:ilvl w:val="0"/>
          <w:numId w:val="8"/>
        </w:numPr>
        <w:spacing w:after="0" w:line="240" w:lineRule="auto"/>
        <w:rPr>
          <w:rFonts w:eastAsia="MS Mincho" w:cstheme="minorHAnsi"/>
          <w:lang w:val="en-CA"/>
        </w:rPr>
      </w:pPr>
      <w:r>
        <w:rPr>
          <w:rFonts w:eastAsia="MS Mincho" w:cstheme="minorHAnsi"/>
          <w:lang w:val="en-CA"/>
        </w:rPr>
        <w:t>Explai</w:t>
      </w:r>
      <w:r w:rsidR="00995D82">
        <w:rPr>
          <w:rFonts w:eastAsia="MS Mincho" w:cstheme="minorHAnsi"/>
          <w:lang w:val="en-CA"/>
        </w:rPr>
        <w:t>n the last example from slide 17</w:t>
      </w:r>
      <w:r>
        <w:rPr>
          <w:rFonts w:eastAsia="MS Mincho" w:cstheme="minorHAnsi"/>
          <w:lang w:val="en-CA"/>
        </w:rPr>
        <w:t xml:space="preserve"> on intimate partner violence and its impact on child nutrition </w:t>
      </w:r>
    </w:p>
    <w:p w:rsidR="0026504D" w:rsidRDefault="0026504D" w:rsidP="0026504D">
      <w:pPr>
        <w:pStyle w:val="ListParagraph"/>
        <w:spacing w:after="0" w:line="240" w:lineRule="auto"/>
        <w:rPr>
          <w:rFonts w:eastAsia="MS Mincho" w:cstheme="minorHAnsi"/>
          <w:lang w:val="en-CA"/>
        </w:rPr>
      </w:pPr>
    </w:p>
    <w:p w:rsidR="00F16ABE" w:rsidRPr="00F809F2" w:rsidRDefault="00F16ABE" w:rsidP="0026504D">
      <w:pPr>
        <w:pStyle w:val="ListParagraph"/>
        <w:spacing w:after="0" w:line="240" w:lineRule="auto"/>
        <w:rPr>
          <w:rFonts w:eastAsia="MS Mincho" w:cstheme="minorHAnsi"/>
          <w:lang w:val="en-CA"/>
        </w:rPr>
      </w:pPr>
    </w:p>
    <w:p w:rsidR="00F809F2" w:rsidRDefault="009A7E46" w:rsidP="00F40231">
      <w:pPr>
        <w:shd w:val="clear" w:color="auto" w:fill="F2F2F2" w:themeFill="background1" w:themeFillShade="F2"/>
        <w:spacing w:after="0" w:line="240" w:lineRule="auto"/>
        <w:rPr>
          <w:rFonts w:eastAsia="MS Mincho" w:cstheme="minorHAnsi"/>
          <w:b/>
          <w:bCs/>
          <w:lang w:val="en-CA"/>
        </w:rPr>
      </w:pPr>
      <w:r w:rsidRPr="009A7E46">
        <w:rPr>
          <w:rFonts w:eastAsia="MS Mincho" w:cstheme="minorHAnsi"/>
          <w:b/>
          <w:bCs/>
          <w:lang w:val="en-CA"/>
        </w:rPr>
        <w:t>Gender and GBV responsive nutrition programming</w:t>
      </w:r>
    </w:p>
    <w:p w:rsidR="00D839D3" w:rsidRDefault="00D839D3" w:rsidP="00E802B6">
      <w:pPr>
        <w:spacing w:after="0" w:line="240" w:lineRule="auto"/>
        <w:rPr>
          <w:rFonts w:eastAsia="MS Mincho" w:cstheme="minorHAnsi"/>
          <w:lang w:val="en-CA"/>
        </w:rPr>
      </w:pPr>
      <w:r w:rsidRPr="00D839D3">
        <w:rPr>
          <w:rFonts w:eastAsia="MS Mincho" w:cstheme="minorHAnsi"/>
          <w:lang w:val="en-CA"/>
        </w:rPr>
        <w:t xml:space="preserve">This part of the session focuses on explaining the meaning and objectives of gender and GBV mainstreaming and briefly unpacking the </w:t>
      </w:r>
      <w:r>
        <w:rPr>
          <w:rFonts w:eastAsia="MS Mincho" w:cstheme="minorHAnsi"/>
          <w:lang w:val="en-CA"/>
        </w:rPr>
        <w:t>main entry points at the project cycle level. It also informs participants of key global tools that are useful for the integration</w:t>
      </w:r>
      <w:r w:rsidR="00E802B6">
        <w:rPr>
          <w:rFonts w:eastAsia="MS Mincho" w:cstheme="minorHAnsi"/>
          <w:lang w:val="en-CA"/>
        </w:rPr>
        <w:t>.</w:t>
      </w:r>
    </w:p>
    <w:p w:rsidR="00D839D3" w:rsidRDefault="000416F9" w:rsidP="00187C77">
      <w:pPr>
        <w:pStyle w:val="ListParagraph"/>
        <w:numPr>
          <w:ilvl w:val="0"/>
          <w:numId w:val="11"/>
        </w:numPr>
        <w:spacing w:after="0" w:line="240" w:lineRule="auto"/>
        <w:rPr>
          <w:rFonts w:eastAsia="MS Mincho" w:cstheme="minorHAnsi"/>
          <w:lang w:val="en-CA"/>
        </w:rPr>
      </w:pPr>
      <w:r>
        <w:rPr>
          <w:rFonts w:eastAsia="MS Mincho" w:cstheme="minorHAnsi"/>
          <w:lang w:val="en-CA"/>
        </w:rPr>
        <w:t>Introduce the subject</w:t>
      </w:r>
      <w:r w:rsidR="00E802B6">
        <w:rPr>
          <w:rFonts w:eastAsia="MS Mincho" w:cstheme="minorHAnsi"/>
          <w:lang w:val="en-CA"/>
        </w:rPr>
        <w:t xml:space="preserve"> from slide 18</w:t>
      </w:r>
      <w:r>
        <w:rPr>
          <w:rFonts w:eastAsia="MS Mincho" w:cstheme="minorHAnsi"/>
          <w:lang w:val="en-CA"/>
        </w:rPr>
        <w:t xml:space="preserve"> by explaining that GBV integration is different from GBV programming. Nutrition specialists are not required to develop a GBV program and interventions which is usually done by the GBV specialists. For example, they are not required to design case management services for GBV survivors or provide clinical management </w:t>
      </w:r>
      <w:r w:rsidR="00451A5E">
        <w:rPr>
          <w:rFonts w:eastAsia="MS Mincho" w:cstheme="minorHAnsi"/>
          <w:lang w:val="en-CA"/>
        </w:rPr>
        <w:t xml:space="preserve">of rape, </w:t>
      </w:r>
      <w:r w:rsidR="00545330">
        <w:rPr>
          <w:rFonts w:eastAsia="MS Mincho" w:cstheme="minorHAnsi"/>
          <w:lang w:val="en-CA"/>
        </w:rPr>
        <w:t>etc.</w:t>
      </w:r>
    </w:p>
    <w:p w:rsidR="00451A5E" w:rsidRDefault="00451A5E" w:rsidP="00187C77">
      <w:pPr>
        <w:pStyle w:val="ListParagraph"/>
        <w:numPr>
          <w:ilvl w:val="0"/>
          <w:numId w:val="11"/>
        </w:numPr>
        <w:spacing w:after="0" w:line="240" w:lineRule="auto"/>
        <w:rPr>
          <w:rFonts w:eastAsia="MS Mincho" w:cstheme="minorHAnsi"/>
          <w:lang w:val="en-CA"/>
        </w:rPr>
      </w:pPr>
      <w:r>
        <w:rPr>
          <w:rFonts w:eastAsia="MS Mincho" w:cstheme="minorHAnsi"/>
          <w:lang w:val="en-CA"/>
        </w:rPr>
        <w:t>Gender and GBV integration are about good nutrition programming</w:t>
      </w:r>
      <w:r w:rsidR="00E802B6">
        <w:rPr>
          <w:rFonts w:eastAsia="MS Mincho" w:cstheme="minorHAnsi"/>
          <w:lang w:val="en-CA"/>
        </w:rPr>
        <w:t>- slide 19</w:t>
      </w:r>
    </w:p>
    <w:p w:rsidR="00451A5E" w:rsidRPr="00451A5E" w:rsidRDefault="00451A5E" w:rsidP="00187C77">
      <w:pPr>
        <w:pStyle w:val="ListParagraph"/>
        <w:numPr>
          <w:ilvl w:val="0"/>
          <w:numId w:val="12"/>
        </w:numPr>
        <w:spacing w:after="0" w:line="240" w:lineRule="auto"/>
        <w:rPr>
          <w:rFonts w:eastAsia="MS Mincho" w:cstheme="minorHAnsi"/>
          <w:lang w:val="en-CA"/>
        </w:rPr>
      </w:pPr>
      <w:r w:rsidRPr="00451A5E">
        <w:rPr>
          <w:rFonts w:eastAsia="MS Mincho" w:cstheme="minorHAnsi"/>
          <w:lang w:val="en-CA"/>
        </w:rPr>
        <w:t>Effectively reaching all segments of the affected population with nutrition interventions.</w:t>
      </w:r>
    </w:p>
    <w:p w:rsidR="00451A5E" w:rsidRPr="00451A5E" w:rsidRDefault="00451A5E" w:rsidP="00187C77">
      <w:pPr>
        <w:pStyle w:val="ListParagraph"/>
        <w:numPr>
          <w:ilvl w:val="0"/>
          <w:numId w:val="12"/>
        </w:numPr>
        <w:spacing w:after="0" w:line="240" w:lineRule="auto"/>
        <w:rPr>
          <w:rFonts w:eastAsia="MS Mincho" w:cstheme="minorHAnsi"/>
          <w:lang w:val="en-CA"/>
        </w:rPr>
      </w:pPr>
      <w:r w:rsidRPr="00451A5E">
        <w:rPr>
          <w:rFonts w:eastAsia="MS Mincho" w:cstheme="minorHAnsi"/>
          <w:lang w:val="en-CA"/>
        </w:rPr>
        <w:t xml:space="preserve"> Better addressing the different needs of women, men, girls and boys.</w:t>
      </w:r>
    </w:p>
    <w:p w:rsidR="00382D4B" w:rsidRDefault="00451A5E" w:rsidP="00187C77">
      <w:pPr>
        <w:pStyle w:val="ListParagraph"/>
        <w:numPr>
          <w:ilvl w:val="0"/>
          <w:numId w:val="12"/>
        </w:numPr>
        <w:spacing w:after="0" w:line="240" w:lineRule="auto"/>
        <w:rPr>
          <w:rFonts w:eastAsia="MS Mincho" w:cstheme="minorHAnsi"/>
          <w:lang w:val="en-CA"/>
        </w:rPr>
      </w:pPr>
      <w:r w:rsidRPr="00451A5E">
        <w:rPr>
          <w:rFonts w:eastAsia="MS Mincho" w:cstheme="minorHAnsi"/>
          <w:lang w:val="en-CA"/>
        </w:rPr>
        <w:t>Promoting the safety of women, girls and at risk groups and mitigating GBV risks that are related to the nutrition programs.</w:t>
      </w:r>
    </w:p>
    <w:p w:rsidR="008B0BC6" w:rsidRDefault="00E802B6" w:rsidP="00695308">
      <w:pPr>
        <w:pStyle w:val="ListParagraph"/>
        <w:numPr>
          <w:ilvl w:val="0"/>
          <w:numId w:val="59"/>
        </w:numPr>
        <w:spacing w:after="0" w:line="240" w:lineRule="auto"/>
        <w:ind w:left="720"/>
        <w:rPr>
          <w:rFonts w:eastAsia="MS Mincho" w:cstheme="minorHAnsi"/>
          <w:lang w:val="en-CA"/>
        </w:rPr>
      </w:pPr>
      <w:r>
        <w:rPr>
          <w:rFonts w:eastAsia="MS Mincho" w:cstheme="minorHAnsi"/>
          <w:lang w:val="en-CA"/>
        </w:rPr>
        <w:t>Show slide 20</w:t>
      </w:r>
      <w:r w:rsidR="008B0BC6">
        <w:rPr>
          <w:rFonts w:eastAsia="MS Mincho" w:cstheme="minorHAnsi"/>
          <w:lang w:val="en-CA"/>
        </w:rPr>
        <w:t xml:space="preserve"> and explain how gender and GBV responsive nutrition programming looks like:</w:t>
      </w:r>
    </w:p>
    <w:p w:rsidR="008B0BC6" w:rsidRPr="008B0BC6" w:rsidRDefault="008B0BC6" w:rsidP="00695308">
      <w:pPr>
        <w:pStyle w:val="ListParagraph"/>
        <w:numPr>
          <w:ilvl w:val="0"/>
          <w:numId w:val="60"/>
        </w:numPr>
        <w:spacing w:after="0" w:line="240" w:lineRule="auto"/>
        <w:rPr>
          <w:rFonts w:eastAsia="MS Mincho" w:cstheme="minorHAnsi"/>
          <w:lang w:val="en-CA"/>
        </w:rPr>
      </w:pPr>
      <w:r w:rsidRPr="008B0BC6">
        <w:rPr>
          <w:rFonts w:eastAsia="MS Mincho" w:cstheme="minorHAnsi"/>
          <w:lang w:val="en-CA"/>
        </w:rPr>
        <w:t>At the right. What needs to know/analyse to do gender and GBV responsive nutrition programme (feel free to change the contents in a way that harmonized with technical note)</w:t>
      </w:r>
    </w:p>
    <w:p w:rsidR="008B0BC6" w:rsidRPr="008B0BC6" w:rsidRDefault="008B0BC6" w:rsidP="00695308">
      <w:pPr>
        <w:pStyle w:val="ListParagraph"/>
        <w:numPr>
          <w:ilvl w:val="0"/>
          <w:numId w:val="60"/>
        </w:numPr>
        <w:spacing w:after="0" w:line="240" w:lineRule="auto"/>
        <w:rPr>
          <w:rFonts w:eastAsia="MS Mincho" w:cstheme="minorHAnsi"/>
          <w:lang w:val="en-CA"/>
        </w:rPr>
      </w:pPr>
      <w:r w:rsidRPr="008B0BC6">
        <w:rPr>
          <w:rFonts w:eastAsia="MS Mincho" w:cstheme="minorHAnsi"/>
          <w:lang w:val="en-CA"/>
        </w:rPr>
        <w:t xml:space="preserve">At the middle. It’s intervention level. Nothing concrete but emphasizing that the interventions need to be designed based on the through analysis of norms and context and by participation of women. </w:t>
      </w:r>
    </w:p>
    <w:p w:rsidR="008B0BC6" w:rsidRPr="008B0BC6" w:rsidRDefault="008B0BC6" w:rsidP="00695308">
      <w:pPr>
        <w:pStyle w:val="ListParagraph"/>
        <w:numPr>
          <w:ilvl w:val="0"/>
          <w:numId w:val="60"/>
        </w:numPr>
        <w:spacing w:after="0" w:line="240" w:lineRule="auto"/>
        <w:rPr>
          <w:rFonts w:eastAsia="MS Mincho" w:cstheme="minorHAnsi"/>
          <w:lang w:val="en-CA"/>
        </w:rPr>
      </w:pPr>
      <w:r w:rsidRPr="008B0BC6">
        <w:rPr>
          <w:rFonts w:eastAsia="MS Mincho" w:cstheme="minorHAnsi"/>
          <w:lang w:val="en-CA"/>
        </w:rPr>
        <w:t>At the left: the results</w:t>
      </w:r>
    </w:p>
    <w:p w:rsidR="008B0BC6" w:rsidRPr="008B0BC6" w:rsidRDefault="008B0BC6" w:rsidP="00695308">
      <w:pPr>
        <w:pStyle w:val="ListParagraph"/>
        <w:numPr>
          <w:ilvl w:val="0"/>
          <w:numId w:val="60"/>
        </w:numPr>
        <w:spacing w:after="0" w:line="240" w:lineRule="auto"/>
        <w:rPr>
          <w:rFonts w:eastAsia="MS Mincho" w:cstheme="minorHAnsi"/>
          <w:lang w:val="en-CA"/>
        </w:rPr>
      </w:pPr>
      <w:r w:rsidRPr="008B0BC6">
        <w:rPr>
          <w:rFonts w:eastAsia="MS Mincho" w:cstheme="minorHAnsi"/>
          <w:lang w:val="en-CA"/>
        </w:rPr>
        <w:t xml:space="preserve">The circle shows different level of interventions and results. </w:t>
      </w:r>
    </w:p>
    <w:p w:rsidR="008B0BC6" w:rsidRPr="008B0BC6" w:rsidRDefault="008B0BC6" w:rsidP="00695308">
      <w:pPr>
        <w:pStyle w:val="ListParagraph"/>
        <w:numPr>
          <w:ilvl w:val="0"/>
          <w:numId w:val="60"/>
        </w:numPr>
        <w:spacing w:after="0" w:line="240" w:lineRule="auto"/>
        <w:rPr>
          <w:rFonts w:eastAsia="MS Mincho" w:cstheme="minorHAnsi"/>
          <w:lang w:val="en-CA"/>
        </w:rPr>
      </w:pPr>
      <w:r w:rsidRPr="008B0BC6">
        <w:rPr>
          <w:rFonts w:eastAsia="MS Mincho" w:cstheme="minorHAnsi"/>
          <w:lang w:val="en-CA"/>
        </w:rPr>
        <w:t>The last box of women’s access to services and GBV services are connected to the first part of women are well-taken care of. Women well-taken care of is in the nutrition causality analysis.</w:t>
      </w:r>
    </w:p>
    <w:p w:rsidR="00451A5E" w:rsidRDefault="00E802B6" w:rsidP="00187C77">
      <w:pPr>
        <w:pStyle w:val="ListParagraph"/>
        <w:numPr>
          <w:ilvl w:val="0"/>
          <w:numId w:val="13"/>
        </w:numPr>
        <w:spacing w:after="0" w:line="240" w:lineRule="auto"/>
        <w:ind w:left="720"/>
        <w:rPr>
          <w:rFonts w:eastAsia="MS Mincho" w:cstheme="minorHAnsi"/>
          <w:lang w:val="en-CA"/>
        </w:rPr>
      </w:pPr>
      <w:r>
        <w:rPr>
          <w:rFonts w:eastAsia="MS Mincho" w:cstheme="minorHAnsi"/>
          <w:lang w:val="en-CA"/>
        </w:rPr>
        <w:lastRenderedPageBreak/>
        <w:t>Show slides 21 and 22</w:t>
      </w:r>
      <w:r w:rsidR="00AF6512">
        <w:rPr>
          <w:rFonts w:eastAsia="MS Mincho" w:cstheme="minorHAnsi"/>
          <w:lang w:val="en-CA"/>
        </w:rPr>
        <w:t xml:space="preserve"> and explain that s</w:t>
      </w:r>
      <w:r w:rsidR="00451A5E">
        <w:rPr>
          <w:rFonts w:eastAsia="MS Mincho" w:cstheme="minorHAnsi"/>
          <w:lang w:val="en-CA"/>
        </w:rPr>
        <w:t xml:space="preserve">ince Gender and GBV integration are about good programming the </w:t>
      </w:r>
      <w:r w:rsidR="00451A5E" w:rsidRPr="00451A5E">
        <w:rPr>
          <w:rFonts w:eastAsia="MS Mincho" w:cstheme="minorHAnsi"/>
          <w:lang w:val="en-CA"/>
        </w:rPr>
        <w:t>Availability, Accessibility, Acceptability and Quality (AAAQ framework) is recommended to be used throughout each step of the program cycle</w:t>
      </w:r>
      <w:r w:rsidR="00FD29D0">
        <w:rPr>
          <w:rFonts w:eastAsia="MS Mincho" w:cstheme="minorHAnsi"/>
          <w:lang w:val="en-CA"/>
        </w:rPr>
        <w:t xml:space="preserve"> as it can be used for barrier analysis</w:t>
      </w:r>
    </w:p>
    <w:p w:rsidR="00451A5E" w:rsidRDefault="00451A5E" w:rsidP="00187C77">
      <w:pPr>
        <w:pStyle w:val="ListParagraph"/>
        <w:numPr>
          <w:ilvl w:val="0"/>
          <w:numId w:val="13"/>
        </w:numPr>
        <w:spacing w:after="0" w:line="240" w:lineRule="auto"/>
        <w:ind w:left="720"/>
        <w:rPr>
          <w:rFonts w:eastAsia="MS Mincho" w:cstheme="minorHAnsi"/>
          <w:lang w:val="en-CA"/>
        </w:rPr>
      </w:pPr>
      <w:r>
        <w:rPr>
          <w:rFonts w:eastAsia="MS Mincho" w:cstheme="minorHAnsi"/>
          <w:lang w:val="en-CA"/>
        </w:rPr>
        <w:t>Ask the participants if they are familiar with the AAAQ framework</w:t>
      </w:r>
    </w:p>
    <w:p w:rsidR="00451A5E" w:rsidRDefault="00451A5E" w:rsidP="00187C77">
      <w:pPr>
        <w:pStyle w:val="ListParagraph"/>
        <w:numPr>
          <w:ilvl w:val="0"/>
          <w:numId w:val="13"/>
        </w:numPr>
        <w:spacing w:after="0" w:line="240" w:lineRule="auto"/>
        <w:ind w:left="720"/>
        <w:rPr>
          <w:rFonts w:eastAsia="MS Mincho" w:cstheme="minorHAnsi"/>
          <w:lang w:val="en-CA"/>
        </w:rPr>
      </w:pPr>
      <w:r>
        <w:rPr>
          <w:rFonts w:eastAsia="MS Mincho" w:cstheme="minorHAnsi"/>
          <w:lang w:val="en-CA"/>
        </w:rPr>
        <w:t xml:space="preserve">Distribute the AAAQ framework handout and allow few minutes for reading and familiarizing </w:t>
      </w:r>
    </w:p>
    <w:p w:rsidR="00482187" w:rsidRDefault="00482187" w:rsidP="00187C77">
      <w:pPr>
        <w:pStyle w:val="ListParagraph"/>
        <w:numPr>
          <w:ilvl w:val="0"/>
          <w:numId w:val="13"/>
        </w:numPr>
        <w:spacing w:after="0" w:line="240" w:lineRule="auto"/>
        <w:ind w:left="720"/>
        <w:rPr>
          <w:rFonts w:eastAsia="MS Mincho" w:cstheme="minorHAnsi"/>
          <w:lang w:val="en-CA"/>
        </w:rPr>
      </w:pPr>
      <w:r>
        <w:rPr>
          <w:rFonts w:eastAsia="MS Mincho" w:cstheme="minorHAnsi"/>
          <w:lang w:val="en-CA"/>
        </w:rPr>
        <w:t>Ask volunteers who are comfortable to explain the AAAQ framework and show the slide</w:t>
      </w:r>
    </w:p>
    <w:p w:rsidR="00482187" w:rsidRDefault="00482187" w:rsidP="00187C77">
      <w:pPr>
        <w:pStyle w:val="ListParagraph"/>
        <w:numPr>
          <w:ilvl w:val="0"/>
          <w:numId w:val="13"/>
        </w:numPr>
        <w:spacing w:after="0" w:line="240" w:lineRule="auto"/>
        <w:ind w:left="720"/>
        <w:rPr>
          <w:rFonts w:eastAsia="MS Mincho" w:cstheme="minorHAnsi"/>
          <w:lang w:val="en-CA"/>
        </w:rPr>
      </w:pPr>
      <w:r>
        <w:rPr>
          <w:rFonts w:eastAsia="MS Mincho" w:cstheme="minorHAnsi"/>
          <w:lang w:val="en-CA"/>
        </w:rPr>
        <w:t>Ensure that the following have been explained about the AAAQ framework:</w:t>
      </w:r>
    </w:p>
    <w:p w:rsidR="00482187" w:rsidRPr="00482187" w:rsidRDefault="00482187" w:rsidP="00187C77">
      <w:pPr>
        <w:pStyle w:val="ListParagraph"/>
        <w:numPr>
          <w:ilvl w:val="0"/>
          <w:numId w:val="14"/>
        </w:numPr>
        <w:spacing w:after="0" w:line="240" w:lineRule="auto"/>
        <w:rPr>
          <w:rFonts w:eastAsia="MS Mincho" w:cstheme="minorHAnsi"/>
          <w:lang w:val="en-CA"/>
        </w:rPr>
      </w:pPr>
      <w:r w:rsidRPr="00482187">
        <w:rPr>
          <w:rFonts w:eastAsia="MS Mincho" w:cstheme="minorHAnsi"/>
          <w:lang w:val="en-CA"/>
        </w:rPr>
        <w:t xml:space="preserve">Availability: Whether the service in question is available? For instance, is the health service available? </w:t>
      </w:r>
    </w:p>
    <w:p w:rsidR="00482187" w:rsidRPr="00482187" w:rsidRDefault="00482187" w:rsidP="00187C77">
      <w:pPr>
        <w:pStyle w:val="ListParagraph"/>
        <w:numPr>
          <w:ilvl w:val="0"/>
          <w:numId w:val="14"/>
        </w:numPr>
        <w:spacing w:after="0" w:line="240" w:lineRule="auto"/>
        <w:rPr>
          <w:rFonts w:eastAsia="MS Mincho" w:cstheme="minorHAnsi"/>
          <w:lang w:val="en-CA"/>
        </w:rPr>
      </w:pPr>
      <w:r w:rsidRPr="00482187">
        <w:rPr>
          <w:rFonts w:eastAsia="MS Mincho" w:cstheme="minorHAnsi"/>
          <w:lang w:val="en-CA"/>
        </w:rPr>
        <w:t xml:space="preserve">Accessibility: Whether the service is accessible i.e. women and girls? Are there any groups of people who cannot access to the service due to the accessibility barriers (physical, financial, admin, social, </w:t>
      </w:r>
      <w:r w:rsidR="00E52C57" w:rsidRPr="00482187">
        <w:rPr>
          <w:rFonts w:eastAsia="MS Mincho" w:cstheme="minorHAnsi"/>
          <w:lang w:val="en-CA"/>
        </w:rPr>
        <w:t>information)?</w:t>
      </w:r>
      <w:r w:rsidRPr="00482187">
        <w:rPr>
          <w:rFonts w:eastAsia="MS Mincho" w:cstheme="minorHAnsi"/>
          <w:lang w:val="en-CA"/>
        </w:rPr>
        <w:t xml:space="preserve"> For example, a refugee woman from conservative countries may not be able to access health service where there are no female health staff and may not have enough money to pay the health services, may not have an insurance to access the health service and her husband may not allow her to access to the health service provided by male doctors, and may not have any information about the service or cannot read the information she received. </w:t>
      </w:r>
    </w:p>
    <w:p w:rsidR="00482187" w:rsidRPr="00482187" w:rsidRDefault="00482187" w:rsidP="00187C77">
      <w:pPr>
        <w:pStyle w:val="ListParagraph"/>
        <w:numPr>
          <w:ilvl w:val="0"/>
          <w:numId w:val="14"/>
        </w:numPr>
        <w:spacing w:after="0" w:line="240" w:lineRule="auto"/>
        <w:rPr>
          <w:rFonts w:eastAsia="MS Mincho" w:cstheme="minorHAnsi"/>
          <w:lang w:val="en-CA"/>
        </w:rPr>
      </w:pPr>
      <w:r w:rsidRPr="00482187">
        <w:rPr>
          <w:rFonts w:eastAsia="MS Mincho" w:cstheme="minorHAnsi"/>
          <w:lang w:val="en-CA"/>
        </w:rPr>
        <w:t xml:space="preserve">Acceptability: Even if there are no accessibility </w:t>
      </w:r>
      <w:r w:rsidR="00450202" w:rsidRPr="00482187">
        <w:rPr>
          <w:rFonts w:eastAsia="MS Mincho" w:cstheme="minorHAnsi"/>
          <w:lang w:val="en-CA"/>
        </w:rPr>
        <w:t>barriers</w:t>
      </w:r>
      <w:r w:rsidRPr="00482187">
        <w:rPr>
          <w:rFonts w:eastAsia="MS Mincho" w:cstheme="minorHAnsi"/>
          <w:lang w:val="en-CA"/>
        </w:rPr>
        <w:t xml:space="preserve">, if the service is not acceptable to the intended user due to their culture or norms, people still cannot access to the services. </w:t>
      </w:r>
    </w:p>
    <w:p w:rsidR="00482187" w:rsidRDefault="00482187" w:rsidP="00187C77">
      <w:pPr>
        <w:pStyle w:val="ListParagraph"/>
        <w:numPr>
          <w:ilvl w:val="0"/>
          <w:numId w:val="14"/>
        </w:numPr>
        <w:spacing w:after="0" w:line="240" w:lineRule="auto"/>
        <w:rPr>
          <w:rFonts w:eastAsia="MS Mincho" w:cstheme="minorHAnsi"/>
          <w:lang w:val="en-CA"/>
        </w:rPr>
      </w:pPr>
      <w:r w:rsidRPr="00482187">
        <w:rPr>
          <w:rFonts w:eastAsia="MS Mincho" w:cstheme="minorHAnsi"/>
          <w:lang w:val="en-CA"/>
        </w:rPr>
        <w:t>Quality: Even if people access to the service, if the quality is not up to standards, the users may not receive what s/he needs to receive or have negative impact.</w:t>
      </w:r>
    </w:p>
    <w:p w:rsidR="00482187" w:rsidRDefault="00482187" w:rsidP="00187C77">
      <w:pPr>
        <w:pStyle w:val="ListParagraph"/>
        <w:numPr>
          <w:ilvl w:val="0"/>
          <w:numId w:val="15"/>
        </w:numPr>
        <w:spacing w:after="0" w:line="240" w:lineRule="auto"/>
        <w:ind w:left="630"/>
        <w:rPr>
          <w:rFonts w:eastAsia="MS Mincho" w:cstheme="minorHAnsi"/>
          <w:lang w:val="en-CA"/>
        </w:rPr>
      </w:pPr>
      <w:r>
        <w:rPr>
          <w:rFonts w:eastAsia="MS Mincho" w:cstheme="minorHAnsi"/>
          <w:lang w:val="en-CA"/>
        </w:rPr>
        <w:t>Highlight that you will get back to this framework throughout the remaining of the workshop to pinpoint its practical implementation throughout the project cycle</w:t>
      </w:r>
    </w:p>
    <w:p w:rsidR="00922E2D" w:rsidRDefault="00922E2D" w:rsidP="00187C77">
      <w:pPr>
        <w:pStyle w:val="ListParagraph"/>
        <w:numPr>
          <w:ilvl w:val="0"/>
          <w:numId w:val="15"/>
        </w:numPr>
        <w:spacing w:after="0" w:line="240" w:lineRule="auto"/>
        <w:ind w:left="630"/>
        <w:rPr>
          <w:rFonts w:eastAsia="MS Mincho" w:cstheme="minorHAnsi"/>
          <w:lang w:val="en-CA"/>
        </w:rPr>
      </w:pPr>
      <w:r>
        <w:rPr>
          <w:rFonts w:eastAsia="MS Mincho" w:cstheme="minorHAnsi"/>
          <w:lang w:val="en-CA"/>
        </w:rPr>
        <w:t xml:space="preserve">Explain </w:t>
      </w:r>
      <w:r w:rsidR="00E52C57">
        <w:rPr>
          <w:rFonts w:eastAsia="MS Mincho" w:cstheme="minorHAnsi"/>
          <w:lang w:val="en-CA"/>
        </w:rPr>
        <w:t>through slide 23</w:t>
      </w:r>
      <w:r w:rsidR="00AF6512">
        <w:rPr>
          <w:rFonts w:eastAsia="MS Mincho" w:cstheme="minorHAnsi"/>
          <w:lang w:val="en-CA"/>
        </w:rPr>
        <w:t xml:space="preserve"> </w:t>
      </w:r>
      <w:r>
        <w:rPr>
          <w:rFonts w:eastAsia="MS Mincho" w:cstheme="minorHAnsi"/>
          <w:lang w:val="en-CA"/>
        </w:rPr>
        <w:t>that the AAAQ framework is good for barrier analysis, however it is equally important to consider the different areas in which risk of GBV exists in the programming</w:t>
      </w:r>
      <w:r w:rsidR="00661571">
        <w:rPr>
          <w:rFonts w:eastAsia="MS Mincho" w:cstheme="minorHAnsi"/>
          <w:lang w:val="en-CA"/>
        </w:rPr>
        <w:t xml:space="preserve"> and take appropriate actions to mitigate these risks</w:t>
      </w:r>
    </w:p>
    <w:p w:rsidR="00482187" w:rsidRDefault="007A6DEC" w:rsidP="00187C77">
      <w:pPr>
        <w:pStyle w:val="ListParagraph"/>
        <w:numPr>
          <w:ilvl w:val="0"/>
          <w:numId w:val="15"/>
        </w:numPr>
        <w:spacing w:after="0" w:line="240" w:lineRule="auto"/>
        <w:ind w:left="630"/>
        <w:rPr>
          <w:rFonts w:eastAsia="MS Mincho" w:cstheme="minorHAnsi"/>
          <w:lang w:val="en-CA"/>
        </w:rPr>
      </w:pPr>
      <w:r>
        <w:rPr>
          <w:rFonts w:eastAsia="MS Mincho" w:cstheme="minorHAnsi"/>
          <w:lang w:val="en-CA"/>
        </w:rPr>
        <w:t>Show</w:t>
      </w:r>
      <w:r w:rsidR="00DC3E22">
        <w:rPr>
          <w:rFonts w:eastAsia="MS Mincho" w:cstheme="minorHAnsi"/>
          <w:lang w:val="en-CA"/>
        </w:rPr>
        <w:t xml:space="preserve"> slide </w:t>
      </w:r>
      <w:r w:rsidR="00E52C57">
        <w:rPr>
          <w:rFonts w:eastAsia="MS Mincho" w:cstheme="minorHAnsi"/>
          <w:lang w:val="en-CA"/>
        </w:rPr>
        <w:t>24</w:t>
      </w:r>
      <w:r w:rsidR="00AF6512">
        <w:rPr>
          <w:rFonts w:eastAsia="MS Mincho" w:cstheme="minorHAnsi"/>
          <w:lang w:val="en-CA"/>
        </w:rPr>
        <w:t xml:space="preserve"> </w:t>
      </w:r>
      <w:r w:rsidR="00DC3E22">
        <w:rPr>
          <w:rFonts w:eastAsia="MS Mincho" w:cstheme="minorHAnsi"/>
          <w:lang w:val="en-CA"/>
        </w:rPr>
        <w:t>of</w:t>
      </w:r>
      <w:r>
        <w:rPr>
          <w:rFonts w:eastAsia="MS Mincho" w:cstheme="minorHAnsi"/>
          <w:lang w:val="en-CA"/>
        </w:rPr>
        <w:t xml:space="preserve"> the project cycle and explain the following:</w:t>
      </w:r>
    </w:p>
    <w:p w:rsidR="007A6DEC" w:rsidRDefault="00450202" w:rsidP="00187C77">
      <w:pPr>
        <w:pStyle w:val="ListParagraph"/>
        <w:numPr>
          <w:ilvl w:val="0"/>
          <w:numId w:val="16"/>
        </w:numPr>
        <w:spacing w:after="0" w:line="240" w:lineRule="auto"/>
        <w:rPr>
          <w:rFonts w:eastAsia="MS Mincho" w:cstheme="minorHAnsi"/>
          <w:lang w:val="en-CA"/>
        </w:rPr>
      </w:pPr>
      <w:r w:rsidRPr="00450202">
        <w:rPr>
          <w:rFonts w:eastAsia="MS Mincho" w:cstheme="minorHAnsi"/>
          <w:lang w:val="en-CA"/>
        </w:rPr>
        <w:t>The Gender and GBV responsive nutrition programming should be addressed throughout the Humanitarian Program Cycle steps.</w:t>
      </w:r>
    </w:p>
    <w:p w:rsidR="00450202" w:rsidRDefault="00450202" w:rsidP="00187C77">
      <w:pPr>
        <w:pStyle w:val="ListParagraph"/>
        <w:numPr>
          <w:ilvl w:val="0"/>
          <w:numId w:val="16"/>
        </w:numPr>
        <w:spacing w:after="0" w:line="240" w:lineRule="auto"/>
        <w:rPr>
          <w:rFonts w:eastAsia="MS Mincho" w:cstheme="minorHAnsi"/>
          <w:lang w:val="en-CA"/>
        </w:rPr>
      </w:pPr>
      <w:r>
        <w:rPr>
          <w:rFonts w:eastAsia="MS Mincho" w:cstheme="minorHAnsi"/>
          <w:lang w:val="en-CA"/>
        </w:rPr>
        <w:t>These are the key elements for gender and GBV responsive nutrition programs</w:t>
      </w:r>
    </w:p>
    <w:p w:rsidR="008F1EA3" w:rsidRDefault="008F1EA3" w:rsidP="00187C77">
      <w:pPr>
        <w:pStyle w:val="ListParagraph"/>
        <w:numPr>
          <w:ilvl w:val="0"/>
          <w:numId w:val="16"/>
        </w:numPr>
        <w:spacing w:after="0" w:line="240" w:lineRule="auto"/>
        <w:rPr>
          <w:rFonts w:eastAsia="MS Mincho" w:cstheme="minorHAnsi"/>
          <w:lang w:val="en-CA"/>
        </w:rPr>
      </w:pPr>
      <w:r>
        <w:rPr>
          <w:rFonts w:eastAsia="MS Mincho" w:cstheme="minorHAnsi"/>
          <w:lang w:val="en-CA"/>
        </w:rPr>
        <w:t>Read from the slide the key elements of each step</w:t>
      </w:r>
    </w:p>
    <w:p w:rsidR="008F1EA3" w:rsidRDefault="008F1EA3" w:rsidP="00187C77">
      <w:pPr>
        <w:pStyle w:val="ListParagraph"/>
        <w:numPr>
          <w:ilvl w:val="0"/>
          <w:numId w:val="16"/>
        </w:numPr>
        <w:spacing w:after="0" w:line="240" w:lineRule="auto"/>
        <w:rPr>
          <w:rFonts w:eastAsia="MS Mincho" w:cstheme="minorHAnsi"/>
          <w:lang w:val="en-CA"/>
        </w:rPr>
      </w:pPr>
      <w:r>
        <w:rPr>
          <w:rFonts w:eastAsia="MS Mincho" w:cstheme="minorHAnsi"/>
          <w:lang w:val="en-CA"/>
        </w:rPr>
        <w:t>Explain that at the heart of the project cycle there should be ethical considerations, do No harm principles and safe and ethical GBV referrals, which means that these elements should be present throughout the project cycle</w:t>
      </w:r>
    </w:p>
    <w:p w:rsidR="00E7367B" w:rsidRDefault="00314F29" w:rsidP="00E7367B">
      <w:pPr>
        <w:pStyle w:val="ListParagraph"/>
        <w:numPr>
          <w:ilvl w:val="0"/>
          <w:numId w:val="16"/>
        </w:numPr>
        <w:spacing w:after="0" w:line="240" w:lineRule="auto"/>
        <w:rPr>
          <w:rFonts w:eastAsia="MS Mincho" w:cstheme="minorHAnsi"/>
          <w:lang w:val="en-CA"/>
        </w:rPr>
      </w:pPr>
      <w:r>
        <w:rPr>
          <w:rFonts w:eastAsia="MS Mincho" w:cstheme="minorHAnsi"/>
          <w:lang w:val="en-CA"/>
        </w:rPr>
        <w:t>Allow questions while highlighting that each element will be discussed thoroughly for the remaining of the workshop</w:t>
      </w:r>
    </w:p>
    <w:p w:rsidR="00E7367B" w:rsidRDefault="00E7367B" w:rsidP="00695308">
      <w:pPr>
        <w:pStyle w:val="ListParagraph"/>
        <w:numPr>
          <w:ilvl w:val="0"/>
          <w:numId w:val="68"/>
        </w:numPr>
        <w:spacing w:after="0" w:line="240" w:lineRule="auto"/>
        <w:rPr>
          <w:rFonts w:eastAsia="MS Mincho" w:cstheme="minorHAnsi"/>
          <w:lang w:val="en-CA"/>
        </w:rPr>
      </w:pPr>
      <w:r>
        <w:rPr>
          <w:rFonts w:eastAsia="MS Mincho" w:cstheme="minorHAnsi"/>
          <w:lang w:val="en-CA"/>
        </w:rPr>
        <w:t xml:space="preserve">Show </w:t>
      </w:r>
      <w:r w:rsidR="00E52C57">
        <w:rPr>
          <w:rFonts w:eastAsia="MS Mincho" w:cstheme="minorHAnsi"/>
          <w:lang w:val="en-CA"/>
        </w:rPr>
        <w:t>slides 25 &amp; 26</w:t>
      </w:r>
      <w:r>
        <w:rPr>
          <w:rFonts w:eastAsia="MS Mincho" w:cstheme="minorHAnsi"/>
          <w:lang w:val="en-CA"/>
        </w:rPr>
        <w:t xml:space="preserve"> and </w:t>
      </w:r>
      <w:r w:rsidR="003A1B1C">
        <w:rPr>
          <w:rFonts w:eastAsia="MS Mincho" w:cstheme="minorHAnsi"/>
          <w:lang w:val="en-CA"/>
        </w:rPr>
        <w:t>explain the following on the preparedness phase of an emergency</w:t>
      </w:r>
    </w:p>
    <w:p w:rsidR="003A1B1C" w:rsidRDefault="003A1B1C" w:rsidP="00695308">
      <w:pPr>
        <w:pStyle w:val="ListParagraph"/>
        <w:numPr>
          <w:ilvl w:val="0"/>
          <w:numId w:val="69"/>
        </w:numPr>
        <w:spacing w:after="0" w:line="240" w:lineRule="auto"/>
        <w:rPr>
          <w:rFonts w:eastAsia="MS Mincho" w:cstheme="minorHAnsi"/>
          <w:lang w:val="en-CA"/>
        </w:rPr>
      </w:pPr>
      <w:r>
        <w:rPr>
          <w:rFonts w:eastAsia="MS Mincho" w:cstheme="minorHAnsi"/>
          <w:lang w:val="en-CA"/>
        </w:rPr>
        <w:t>The integration of gender and GBV need to be featured in all stages of the humanitarian project cycle and in the emergency preparedness as well.</w:t>
      </w:r>
    </w:p>
    <w:p w:rsidR="003A1B1C" w:rsidRDefault="003A1B1C" w:rsidP="00695308">
      <w:pPr>
        <w:pStyle w:val="ListParagraph"/>
        <w:numPr>
          <w:ilvl w:val="0"/>
          <w:numId w:val="69"/>
        </w:numPr>
        <w:spacing w:after="0" w:line="240" w:lineRule="auto"/>
        <w:rPr>
          <w:rFonts w:eastAsia="MS Mincho" w:cstheme="minorHAnsi"/>
          <w:lang w:val="en-CA"/>
        </w:rPr>
      </w:pPr>
      <w:r>
        <w:rPr>
          <w:rFonts w:eastAsia="MS Mincho" w:cstheme="minorHAnsi"/>
          <w:lang w:val="en-CA"/>
        </w:rPr>
        <w:t>It is very important to integrate gender and GBV when you are doing contingency plans, designing interventions and mobilizing resources to secure funding for an emergency. Doing it right from the beginning saves you a lot of time and ensures that your preparedness plans are inclusive of the segments of the affected population including women and girls and other at risk groups.</w:t>
      </w:r>
    </w:p>
    <w:p w:rsidR="003A1B1C" w:rsidRDefault="003A1B1C" w:rsidP="00695308">
      <w:pPr>
        <w:pStyle w:val="ListParagraph"/>
        <w:numPr>
          <w:ilvl w:val="0"/>
          <w:numId w:val="69"/>
        </w:numPr>
        <w:spacing w:after="0" w:line="240" w:lineRule="auto"/>
        <w:rPr>
          <w:rFonts w:eastAsia="MS Mincho" w:cstheme="minorHAnsi"/>
          <w:lang w:val="en-CA"/>
        </w:rPr>
      </w:pPr>
      <w:r>
        <w:rPr>
          <w:rFonts w:eastAsia="MS Mincho" w:cstheme="minorHAnsi"/>
          <w:lang w:val="en-CA"/>
        </w:rPr>
        <w:t xml:space="preserve">There are key areas that should be tackled in any preparedness phase including: </w:t>
      </w:r>
    </w:p>
    <w:p w:rsidR="003A1B1C" w:rsidRPr="003A1B1C" w:rsidRDefault="003A1B1C" w:rsidP="00695308">
      <w:pPr>
        <w:pStyle w:val="ListParagraph"/>
        <w:numPr>
          <w:ilvl w:val="0"/>
          <w:numId w:val="70"/>
        </w:numPr>
        <w:spacing w:after="0" w:line="240" w:lineRule="auto"/>
        <w:rPr>
          <w:rFonts w:eastAsia="MS Mincho" w:cstheme="minorHAnsi"/>
          <w:lang w:val="en-CA"/>
        </w:rPr>
      </w:pPr>
      <w:r w:rsidRPr="003A1B1C">
        <w:rPr>
          <w:rFonts w:eastAsia="MS Mincho" w:cstheme="minorHAnsi"/>
          <w:lang w:val="en-CA"/>
        </w:rPr>
        <w:lastRenderedPageBreak/>
        <w:t>Include Gender and GBV risk mitigation measures in the nutrition contingency planning and preparedness actions</w:t>
      </w:r>
    </w:p>
    <w:p w:rsidR="003A1B1C" w:rsidRPr="003A1B1C" w:rsidRDefault="003A1B1C" w:rsidP="00695308">
      <w:pPr>
        <w:pStyle w:val="ListParagraph"/>
        <w:numPr>
          <w:ilvl w:val="0"/>
          <w:numId w:val="70"/>
        </w:numPr>
        <w:spacing w:after="0" w:line="240" w:lineRule="auto"/>
        <w:rPr>
          <w:rFonts w:eastAsia="MS Mincho" w:cstheme="minorHAnsi"/>
          <w:lang w:val="en-CA"/>
        </w:rPr>
      </w:pPr>
      <w:r w:rsidRPr="003A1B1C">
        <w:rPr>
          <w:rFonts w:eastAsia="MS Mincho" w:cstheme="minorHAnsi"/>
          <w:lang w:val="en-CA"/>
        </w:rPr>
        <w:t>Prepare nutrition assessments that are gender and GBV responsive at the onset of an emergency</w:t>
      </w:r>
    </w:p>
    <w:p w:rsidR="003A1B1C" w:rsidRPr="003A1B1C" w:rsidRDefault="003A1B1C" w:rsidP="00695308">
      <w:pPr>
        <w:pStyle w:val="ListParagraph"/>
        <w:numPr>
          <w:ilvl w:val="0"/>
          <w:numId w:val="70"/>
        </w:numPr>
        <w:spacing w:after="0" w:line="240" w:lineRule="auto"/>
        <w:rPr>
          <w:rFonts w:eastAsia="MS Mincho" w:cstheme="minorHAnsi"/>
          <w:lang w:val="en-CA"/>
        </w:rPr>
      </w:pPr>
      <w:r w:rsidRPr="003A1B1C">
        <w:rPr>
          <w:rFonts w:eastAsia="MS Mincho" w:cstheme="minorHAnsi"/>
          <w:lang w:val="en-CA"/>
        </w:rPr>
        <w:t>Set up a strong monitoring system that addresses the gender issues and GBV risks.</w:t>
      </w:r>
    </w:p>
    <w:p w:rsidR="003A1B1C" w:rsidRPr="003A1B1C" w:rsidRDefault="003A1B1C" w:rsidP="00695308">
      <w:pPr>
        <w:pStyle w:val="ListParagraph"/>
        <w:numPr>
          <w:ilvl w:val="0"/>
          <w:numId w:val="70"/>
        </w:numPr>
        <w:spacing w:after="0" w:line="240" w:lineRule="auto"/>
        <w:rPr>
          <w:rFonts w:eastAsia="MS Mincho" w:cstheme="minorHAnsi"/>
          <w:lang w:val="en-CA"/>
        </w:rPr>
      </w:pPr>
      <w:r w:rsidRPr="003A1B1C">
        <w:rPr>
          <w:rFonts w:eastAsia="MS Mincho" w:cstheme="minorHAnsi"/>
          <w:lang w:val="en-CA"/>
        </w:rPr>
        <w:t>Integrate GBV risk mitigation into the nutrition coordination structures, work plan and their preparedness plans. </w:t>
      </w:r>
    </w:p>
    <w:p w:rsidR="003A1B1C" w:rsidRPr="00E7367B" w:rsidRDefault="003A1B1C" w:rsidP="00695308">
      <w:pPr>
        <w:pStyle w:val="ListParagraph"/>
        <w:numPr>
          <w:ilvl w:val="0"/>
          <w:numId w:val="70"/>
        </w:numPr>
        <w:spacing w:after="0" w:line="240" w:lineRule="auto"/>
        <w:rPr>
          <w:rFonts w:eastAsia="MS Mincho" w:cstheme="minorHAnsi"/>
          <w:lang w:val="en-CA"/>
        </w:rPr>
      </w:pPr>
      <w:r w:rsidRPr="003A1B1C">
        <w:rPr>
          <w:rFonts w:eastAsia="MS Mincho" w:cstheme="minorHAnsi"/>
          <w:lang w:val="en-CA"/>
        </w:rPr>
        <w:t xml:space="preserve">Advocate funding for nutrition related GBV risk mitigation </w:t>
      </w:r>
      <w:r>
        <w:rPr>
          <w:rFonts w:eastAsia="MS Mincho" w:cstheme="minorHAnsi"/>
          <w:lang w:val="en-CA"/>
        </w:rPr>
        <w:t xml:space="preserve">and </w:t>
      </w:r>
      <w:r w:rsidRPr="003A1B1C">
        <w:rPr>
          <w:rFonts w:eastAsia="MS Mincho" w:cstheme="minorHAnsi"/>
          <w:lang w:val="en-CA"/>
        </w:rPr>
        <w:t>specific needs of women and girls and other at-risk groups. </w:t>
      </w:r>
    </w:p>
    <w:p w:rsidR="00314F29" w:rsidRDefault="00E52C57" w:rsidP="00695308">
      <w:pPr>
        <w:pStyle w:val="ListParagraph"/>
        <w:numPr>
          <w:ilvl w:val="0"/>
          <w:numId w:val="67"/>
        </w:numPr>
        <w:spacing w:after="0" w:line="240" w:lineRule="auto"/>
        <w:rPr>
          <w:rFonts w:eastAsia="MS Mincho" w:cstheme="minorHAnsi"/>
          <w:lang w:val="en-CA"/>
        </w:rPr>
      </w:pPr>
      <w:r>
        <w:rPr>
          <w:rFonts w:eastAsia="MS Mincho" w:cstheme="minorHAnsi"/>
          <w:lang w:val="en-CA"/>
        </w:rPr>
        <w:t>Show slides 27, 28 and 29</w:t>
      </w:r>
      <w:r w:rsidR="00AF6512" w:rsidRPr="00E7367B">
        <w:rPr>
          <w:rFonts w:eastAsia="MS Mincho" w:cstheme="minorHAnsi"/>
          <w:lang w:val="en-CA"/>
        </w:rPr>
        <w:t xml:space="preserve"> </w:t>
      </w:r>
      <w:r w:rsidR="00314F29" w:rsidRPr="00E7367B">
        <w:rPr>
          <w:rFonts w:eastAsia="MS Mincho" w:cstheme="minorHAnsi"/>
          <w:lang w:val="en-CA"/>
        </w:rPr>
        <w:t>and highlight that there are tools and guidance that are useful to develop a gender and GBV responsive nutrition programs</w:t>
      </w:r>
    </w:p>
    <w:p w:rsidR="009106AC" w:rsidRDefault="00314F29" w:rsidP="00695308">
      <w:pPr>
        <w:pStyle w:val="ListParagraph"/>
        <w:numPr>
          <w:ilvl w:val="0"/>
          <w:numId w:val="71"/>
        </w:numPr>
        <w:spacing w:after="0" w:line="240" w:lineRule="auto"/>
        <w:rPr>
          <w:rFonts w:eastAsia="MS Mincho" w:cstheme="minorHAnsi"/>
          <w:lang w:val="en-CA"/>
        </w:rPr>
      </w:pPr>
      <w:r w:rsidRPr="009106AC">
        <w:rPr>
          <w:rFonts w:eastAsia="MS Mincho" w:cstheme="minorHAnsi"/>
          <w:lang w:val="en-CA"/>
        </w:rPr>
        <w:t>The gender handbook; guidance on using a gender lens throughout the project cycle. It has a dedicated chapter for the nutrition sector</w:t>
      </w:r>
    </w:p>
    <w:p w:rsidR="009106AC" w:rsidRDefault="00314F29" w:rsidP="00695308">
      <w:pPr>
        <w:pStyle w:val="ListParagraph"/>
        <w:numPr>
          <w:ilvl w:val="0"/>
          <w:numId w:val="71"/>
        </w:numPr>
        <w:spacing w:after="0" w:line="240" w:lineRule="auto"/>
        <w:rPr>
          <w:rFonts w:eastAsia="MS Mincho" w:cstheme="minorHAnsi"/>
          <w:lang w:val="en-CA"/>
        </w:rPr>
      </w:pPr>
      <w:r w:rsidRPr="009106AC">
        <w:rPr>
          <w:rFonts w:eastAsia="MS Mincho" w:cstheme="minorHAnsi"/>
          <w:lang w:val="en-CA"/>
        </w:rPr>
        <w:t>The GBV guidelines; nutrition specific chapter on GBV integration throughout the project cycle. Introduce participants to the website: gbvguidelines.com. They can find in the website a lot of tools and accompanied resources for GBV integration</w:t>
      </w:r>
    </w:p>
    <w:p w:rsidR="00BD6B2C" w:rsidRDefault="00314F29" w:rsidP="00695308">
      <w:pPr>
        <w:pStyle w:val="ListParagraph"/>
        <w:numPr>
          <w:ilvl w:val="0"/>
          <w:numId w:val="71"/>
        </w:numPr>
        <w:spacing w:after="0" w:line="240" w:lineRule="auto"/>
        <w:rPr>
          <w:rFonts w:eastAsia="MS Mincho" w:cstheme="minorHAnsi"/>
          <w:lang w:val="en-CA"/>
        </w:rPr>
      </w:pPr>
      <w:r w:rsidRPr="009106AC">
        <w:rPr>
          <w:rFonts w:eastAsia="MS Mincho" w:cstheme="minorHAnsi"/>
          <w:lang w:val="en-CA"/>
        </w:rPr>
        <w:t xml:space="preserve">Mainstreaming AAP and core people related issues in the humanitarian program cycle- developed by the global food security and nutrition clusters. </w:t>
      </w:r>
    </w:p>
    <w:p w:rsidR="00294BAD" w:rsidRDefault="00294BAD" w:rsidP="008A1029">
      <w:pPr>
        <w:pStyle w:val="ListParagraph"/>
        <w:spacing w:after="0" w:line="240" w:lineRule="auto"/>
        <w:ind w:left="1980"/>
        <w:rPr>
          <w:rFonts w:eastAsia="MS Mincho" w:cstheme="minorHAnsi"/>
          <w:lang w:val="en-CA"/>
        </w:rPr>
      </w:pPr>
    </w:p>
    <w:p w:rsidR="00294BAD" w:rsidRPr="00294BAD" w:rsidRDefault="00294BAD" w:rsidP="00294BAD">
      <w:pPr>
        <w:shd w:val="clear" w:color="auto" w:fill="F2F2F2" w:themeFill="background1" w:themeFillShade="F2"/>
        <w:spacing w:after="0" w:line="240" w:lineRule="auto"/>
        <w:rPr>
          <w:rFonts w:eastAsia="MS Mincho" w:cstheme="minorHAnsi"/>
          <w:lang w:val="en-CA"/>
        </w:rPr>
      </w:pPr>
      <w:r w:rsidRPr="00294BAD">
        <w:rPr>
          <w:rFonts w:eastAsia="MS Mincho" w:cstheme="minorHAnsi"/>
          <w:b/>
          <w:bCs/>
          <w:lang w:val="en-CA"/>
        </w:rPr>
        <w:t>The role of nutrition coordinators</w:t>
      </w:r>
    </w:p>
    <w:p w:rsidR="00294BAD" w:rsidRDefault="00294BAD" w:rsidP="002174AD">
      <w:pPr>
        <w:spacing w:after="0" w:line="240" w:lineRule="auto"/>
        <w:rPr>
          <w:rFonts w:eastAsia="MS Mincho" w:cstheme="minorHAnsi"/>
          <w:lang w:val="en-CA"/>
        </w:rPr>
      </w:pPr>
      <w:r>
        <w:rPr>
          <w:rFonts w:eastAsia="MS Mincho" w:cstheme="minorHAnsi"/>
          <w:lang w:val="en-CA"/>
        </w:rPr>
        <w:t>This part of the session focuses on unpacking the key role of nutrition coordinators in the integration of gender and GBV in programs.</w:t>
      </w:r>
    </w:p>
    <w:p w:rsidR="002174AD" w:rsidRDefault="00294BAD" w:rsidP="00695308">
      <w:pPr>
        <w:pStyle w:val="ListParagraph"/>
        <w:numPr>
          <w:ilvl w:val="0"/>
          <w:numId w:val="67"/>
        </w:numPr>
        <w:spacing w:after="0" w:line="240" w:lineRule="auto"/>
        <w:rPr>
          <w:rFonts w:eastAsia="MS Mincho" w:cstheme="minorHAnsi"/>
          <w:lang w:val="en-CA"/>
        </w:rPr>
      </w:pPr>
      <w:r>
        <w:rPr>
          <w:rFonts w:eastAsia="MS Mincho" w:cstheme="minorHAnsi"/>
          <w:lang w:val="en-CA"/>
        </w:rPr>
        <w:t>Read sli</w:t>
      </w:r>
      <w:r w:rsidR="00D4619E">
        <w:rPr>
          <w:rFonts w:eastAsia="MS Mincho" w:cstheme="minorHAnsi"/>
          <w:lang w:val="en-CA"/>
        </w:rPr>
        <w:t>de 30</w:t>
      </w:r>
      <w:r>
        <w:rPr>
          <w:rFonts w:eastAsia="MS Mincho" w:cstheme="minorHAnsi"/>
          <w:lang w:val="en-CA"/>
        </w:rPr>
        <w:t xml:space="preserve"> about the role of the global nutrition cluster in general</w:t>
      </w:r>
    </w:p>
    <w:p w:rsidR="00294BAD" w:rsidRDefault="00294BAD" w:rsidP="00695308">
      <w:pPr>
        <w:pStyle w:val="ListParagraph"/>
        <w:numPr>
          <w:ilvl w:val="0"/>
          <w:numId w:val="67"/>
        </w:numPr>
        <w:spacing w:after="0" w:line="240" w:lineRule="auto"/>
        <w:rPr>
          <w:rFonts w:eastAsia="MS Mincho" w:cstheme="minorHAnsi"/>
          <w:lang w:val="en-CA"/>
        </w:rPr>
      </w:pPr>
      <w:r>
        <w:rPr>
          <w:rFonts w:eastAsia="MS Mincho" w:cstheme="minorHAnsi"/>
          <w:lang w:val="en-CA"/>
        </w:rPr>
        <w:t xml:space="preserve">Ask participants to discuss in plenary how each of the 3 major roles can be unpacked </w:t>
      </w:r>
      <w:r w:rsidR="00F3595D">
        <w:rPr>
          <w:rFonts w:eastAsia="MS Mincho" w:cstheme="minorHAnsi"/>
          <w:lang w:val="en-CA"/>
        </w:rPr>
        <w:t>to support the Gender and GBV integration</w:t>
      </w:r>
    </w:p>
    <w:p w:rsidR="00F3595D" w:rsidRDefault="00D4619E" w:rsidP="00695308">
      <w:pPr>
        <w:pStyle w:val="ListParagraph"/>
        <w:numPr>
          <w:ilvl w:val="0"/>
          <w:numId w:val="67"/>
        </w:numPr>
        <w:spacing w:after="0" w:line="240" w:lineRule="auto"/>
        <w:rPr>
          <w:rFonts w:eastAsia="MS Mincho" w:cstheme="minorHAnsi"/>
          <w:lang w:val="en-CA"/>
        </w:rPr>
      </w:pPr>
      <w:r>
        <w:rPr>
          <w:rFonts w:eastAsia="MS Mincho" w:cstheme="minorHAnsi"/>
          <w:lang w:val="en-CA"/>
        </w:rPr>
        <w:t>Show slides 31,32 &amp; 33</w:t>
      </w:r>
      <w:r w:rsidR="00F3595D">
        <w:rPr>
          <w:rFonts w:eastAsia="MS Mincho" w:cstheme="minorHAnsi"/>
          <w:lang w:val="en-CA"/>
        </w:rPr>
        <w:t xml:space="preserve"> and discuss suggested roles that the nutrition cluster can play within their ToRs</w:t>
      </w:r>
    </w:p>
    <w:p w:rsidR="00D4619E" w:rsidRDefault="00D4619E" w:rsidP="00695308">
      <w:pPr>
        <w:pStyle w:val="ListParagraph"/>
        <w:numPr>
          <w:ilvl w:val="0"/>
          <w:numId w:val="67"/>
        </w:numPr>
        <w:spacing w:after="0" w:line="240" w:lineRule="auto"/>
        <w:rPr>
          <w:rFonts w:eastAsia="MS Mincho" w:cstheme="minorHAnsi"/>
          <w:lang w:val="en-CA"/>
        </w:rPr>
      </w:pPr>
      <w:r>
        <w:rPr>
          <w:rFonts w:eastAsia="MS Mincho" w:cstheme="minorHAnsi"/>
          <w:lang w:val="en-CA"/>
        </w:rPr>
        <w:t>Show examples- slides 34 &amp; 35</w:t>
      </w:r>
    </w:p>
    <w:p w:rsidR="00F3595D" w:rsidRPr="00294BAD" w:rsidRDefault="00F3595D" w:rsidP="00695308">
      <w:pPr>
        <w:pStyle w:val="ListParagraph"/>
        <w:numPr>
          <w:ilvl w:val="0"/>
          <w:numId w:val="67"/>
        </w:numPr>
        <w:spacing w:after="0" w:line="240" w:lineRule="auto"/>
        <w:rPr>
          <w:rFonts w:eastAsia="MS Mincho" w:cstheme="minorHAnsi"/>
          <w:lang w:val="en-CA"/>
        </w:rPr>
      </w:pPr>
      <w:r>
        <w:rPr>
          <w:rFonts w:eastAsia="MS Mincho" w:cstheme="minorHAnsi"/>
          <w:lang w:val="en-CA"/>
        </w:rPr>
        <w:t>Open a discussion in plenary on additional examples and suggestions</w:t>
      </w:r>
    </w:p>
    <w:p w:rsidR="00BD6B2C" w:rsidRPr="00BD6B2C" w:rsidRDefault="00BD6B2C" w:rsidP="00BD6B2C">
      <w:pPr>
        <w:spacing w:after="0" w:line="240" w:lineRule="auto"/>
        <w:rPr>
          <w:rFonts w:eastAsia="MS Mincho" w:cstheme="minorHAnsi"/>
          <w:lang w:val="en-CA"/>
        </w:rPr>
      </w:pPr>
    </w:p>
    <w:p w:rsidR="00450202" w:rsidRDefault="0077047C" w:rsidP="00F40231">
      <w:pPr>
        <w:shd w:val="clear" w:color="auto" w:fill="F2F2F2" w:themeFill="background1" w:themeFillShade="F2"/>
        <w:spacing w:after="0" w:line="240" w:lineRule="auto"/>
        <w:rPr>
          <w:rFonts w:eastAsia="MS Mincho" w:cstheme="minorHAnsi"/>
          <w:b/>
          <w:bCs/>
          <w:lang w:val="en-CA"/>
        </w:rPr>
      </w:pPr>
      <w:r w:rsidRPr="0077047C">
        <w:rPr>
          <w:rFonts w:eastAsia="MS Mincho" w:cstheme="minorHAnsi"/>
          <w:b/>
          <w:bCs/>
          <w:lang w:val="en-CA"/>
        </w:rPr>
        <w:t>Gender and GBV risk assessment and analysis</w:t>
      </w:r>
    </w:p>
    <w:p w:rsidR="0077047C" w:rsidRDefault="0077047C" w:rsidP="002174AD">
      <w:pPr>
        <w:spacing w:after="0" w:line="240" w:lineRule="auto"/>
        <w:rPr>
          <w:rFonts w:eastAsia="MS Mincho" w:cstheme="minorHAnsi"/>
          <w:lang w:val="en-CA"/>
        </w:rPr>
      </w:pPr>
      <w:r w:rsidRPr="002174AD">
        <w:rPr>
          <w:rFonts w:eastAsia="MS Mincho" w:cstheme="minorHAnsi"/>
          <w:lang w:val="en-CA"/>
        </w:rPr>
        <w:t xml:space="preserve">This part of the session focuses on explaining </w:t>
      </w:r>
      <w:r w:rsidR="00E40B61" w:rsidRPr="002174AD">
        <w:rPr>
          <w:rFonts w:eastAsia="MS Mincho" w:cstheme="minorHAnsi"/>
          <w:lang w:val="en-CA"/>
        </w:rPr>
        <w:t xml:space="preserve">and unpacking </w:t>
      </w:r>
      <w:r w:rsidRPr="002174AD">
        <w:rPr>
          <w:rFonts w:eastAsia="MS Mincho" w:cstheme="minorHAnsi"/>
          <w:lang w:val="en-CA"/>
        </w:rPr>
        <w:t>the major steps of Gender/GBV risk assessment and analysis using different techniques and methods. It also provides real examples and case studies and gives the participants an opportunity to apply what they have learned</w:t>
      </w:r>
      <w:r w:rsidR="00E40B61" w:rsidRPr="002174AD">
        <w:rPr>
          <w:rFonts w:eastAsia="MS Mincho" w:cstheme="minorHAnsi"/>
          <w:lang w:val="en-CA"/>
        </w:rPr>
        <w:t xml:space="preserve"> through interactive exercises.</w:t>
      </w:r>
    </w:p>
    <w:p w:rsidR="0077047C" w:rsidRDefault="0077047C" w:rsidP="0077047C">
      <w:pPr>
        <w:spacing w:after="0" w:line="240" w:lineRule="auto"/>
        <w:rPr>
          <w:rFonts w:eastAsia="MS Mincho" w:cstheme="minorHAnsi"/>
          <w:lang w:val="en-CA"/>
        </w:rPr>
      </w:pPr>
    </w:p>
    <w:p w:rsidR="0077047C" w:rsidRDefault="0059088D" w:rsidP="00695308">
      <w:pPr>
        <w:pStyle w:val="ListParagraph"/>
        <w:numPr>
          <w:ilvl w:val="0"/>
          <w:numId w:val="17"/>
        </w:numPr>
        <w:spacing w:after="0" w:line="240" w:lineRule="auto"/>
        <w:rPr>
          <w:rFonts w:eastAsia="MS Mincho" w:cstheme="minorHAnsi"/>
          <w:lang w:val="en-CA"/>
        </w:rPr>
      </w:pPr>
      <w:r>
        <w:rPr>
          <w:rFonts w:eastAsia="MS Mincho" w:cstheme="minorHAnsi"/>
          <w:lang w:val="en-CA"/>
        </w:rPr>
        <w:t xml:space="preserve">Show the </w:t>
      </w:r>
      <w:r w:rsidR="0077047C">
        <w:rPr>
          <w:rFonts w:eastAsia="MS Mincho" w:cstheme="minorHAnsi"/>
          <w:lang w:val="en-CA"/>
        </w:rPr>
        <w:t>introductory slide</w:t>
      </w:r>
      <w:r w:rsidR="0098173A">
        <w:rPr>
          <w:rFonts w:eastAsia="MS Mincho" w:cstheme="minorHAnsi"/>
          <w:lang w:val="en-CA"/>
        </w:rPr>
        <w:t xml:space="preserve"> number 36</w:t>
      </w:r>
      <w:r w:rsidR="0077047C">
        <w:rPr>
          <w:rFonts w:eastAsia="MS Mincho" w:cstheme="minorHAnsi"/>
          <w:lang w:val="en-CA"/>
        </w:rPr>
        <w:t xml:space="preserve"> in this section and explain:</w:t>
      </w:r>
    </w:p>
    <w:p w:rsidR="0077047C" w:rsidRPr="002174AD" w:rsidRDefault="0077047C" w:rsidP="00695308">
      <w:pPr>
        <w:pStyle w:val="ListParagraph"/>
        <w:numPr>
          <w:ilvl w:val="0"/>
          <w:numId w:val="18"/>
        </w:numPr>
        <w:spacing w:after="0" w:line="240" w:lineRule="auto"/>
        <w:rPr>
          <w:rFonts w:eastAsia="MS Mincho" w:cstheme="minorHAnsi"/>
          <w:lang w:val="en-CA"/>
        </w:rPr>
      </w:pPr>
      <w:r w:rsidRPr="002174AD">
        <w:rPr>
          <w:rFonts w:eastAsia="MS Mincho" w:cstheme="minorHAnsi"/>
          <w:lang w:val="en-CA"/>
        </w:rPr>
        <w:t>Gender and GBV risk assessment and analysis can be done using different methods. While you are not required to use all of them as standalone techniques, it is important to ensure that they are integrated and become part of each assessment and analysis that you conduct for the nutrition program.</w:t>
      </w:r>
    </w:p>
    <w:p w:rsidR="00BC6B70" w:rsidRPr="002174AD" w:rsidRDefault="00BC6B70" w:rsidP="00695308">
      <w:pPr>
        <w:pStyle w:val="ListParagraph"/>
        <w:numPr>
          <w:ilvl w:val="0"/>
          <w:numId w:val="18"/>
        </w:numPr>
        <w:spacing w:after="0" w:line="240" w:lineRule="auto"/>
        <w:rPr>
          <w:rFonts w:eastAsia="MS Mincho" w:cstheme="minorHAnsi"/>
          <w:lang w:val="en-CA"/>
        </w:rPr>
      </w:pPr>
      <w:r w:rsidRPr="002174AD">
        <w:rPr>
          <w:rFonts w:eastAsia="MS Mincho" w:cstheme="minorHAnsi"/>
          <w:lang w:val="en-CA"/>
        </w:rPr>
        <w:t>These methods yield to Sex-disaggregated data and gender-sensitive information about the population concerned and exploring when, why and how GBV-related safety issues might arise, particularly as the result of delivery or use of nutrition services</w:t>
      </w:r>
    </w:p>
    <w:p w:rsidR="00665959" w:rsidRPr="002174AD" w:rsidRDefault="00BC6B70" w:rsidP="00695308">
      <w:pPr>
        <w:pStyle w:val="ListParagraph"/>
        <w:numPr>
          <w:ilvl w:val="0"/>
          <w:numId w:val="18"/>
        </w:numPr>
        <w:spacing w:after="0" w:line="240" w:lineRule="auto"/>
        <w:rPr>
          <w:rFonts w:eastAsia="MS Mincho" w:cstheme="minorHAnsi"/>
          <w:lang w:val="en-CA"/>
        </w:rPr>
      </w:pPr>
      <w:r w:rsidRPr="002174AD">
        <w:rPr>
          <w:rFonts w:eastAsia="MS Mincho" w:cstheme="minorHAnsi"/>
          <w:lang w:val="en-CA"/>
        </w:rPr>
        <w:lastRenderedPageBreak/>
        <w:t>The ultimate goal is to have this data be analyzed and used for highlighting priorities and gaps that need to be addressed when planning new nutrition programs or adjusting existing programs</w:t>
      </w:r>
      <w:r w:rsidR="00665959" w:rsidRPr="002174AD">
        <w:rPr>
          <w:rFonts w:eastAsia="MS Mincho" w:cstheme="minorHAnsi"/>
          <w:lang w:val="en-CA"/>
        </w:rPr>
        <w:t>.</w:t>
      </w:r>
    </w:p>
    <w:p w:rsidR="00665959" w:rsidRPr="002174AD" w:rsidRDefault="00665959" w:rsidP="00695308">
      <w:pPr>
        <w:pStyle w:val="ListParagraph"/>
        <w:numPr>
          <w:ilvl w:val="0"/>
          <w:numId w:val="17"/>
        </w:numPr>
        <w:spacing w:after="0" w:line="240" w:lineRule="auto"/>
        <w:rPr>
          <w:rFonts w:eastAsia="MS Mincho" w:cstheme="minorHAnsi"/>
          <w:lang w:val="en-CA"/>
        </w:rPr>
      </w:pPr>
      <w:r w:rsidRPr="002174AD">
        <w:rPr>
          <w:rFonts w:eastAsia="MS Mincho" w:cstheme="minorHAnsi"/>
          <w:lang w:val="en-CA"/>
        </w:rPr>
        <w:t xml:space="preserve">Explain </w:t>
      </w:r>
      <w:r w:rsidR="0098173A">
        <w:rPr>
          <w:rFonts w:eastAsia="MS Mincho" w:cstheme="minorHAnsi"/>
          <w:lang w:val="en-CA"/>
        </w:rPr>
        <w:t>from slide 37</w:t>
      </w:r>
      <w:r w:rsidR="0059088D">
        <w:rPr>
          <w:rFonts w:eastAsia="MS Mincho" w:cstheme="minorHAnsi"/>
          <w:lang w:val="en-CA"/>
        </w:rPr>
        <w:t xml:space="preserve"> </w:t>
      </w:r>
      <w:r w:rsidRPr="002174AD">
        <w:rPr>
          <w:rFonts w:eastAsia="MS Mincho" w:cstheme="minorHAnsi"/>
          <w:lang w:val="en-CA"/>
        </w:rPr>
        <w:t>that the common gender and GBV related bottlenecks and barriers to nutrition services that can be anticipated are:</w:t>
      </w:r>
    </w:p>
    <w:p w:rsidR="009E3CFE" w:rsidRPr="002174AD" w:rsidRDefault="009E3CFE" w:rsidP="00695308">
      <w:pPr>
        <w:pStyle w:val="ListParagraph"/>
        <w:numPr>
          <w:ilvl w:val="0"/>
          <w:numId w:val="19"/>
        </w:numPr>
        <w:spacing w:after="0" w:line="240" w:lineRule="auto"/>
        <w:rPr>
          <w:rFonts w:eastAsia="MS Mincho" w:cstheme="minorHAnsi"/>
          <w:lang w:val="en-CA"/>
        </w:rPr>
      </w:pPr>
      <w:r w:rsidRPr="002174AD">
        <w:rPr>
          <w:rFonts w:eastAsia="MS Mincho" w:cstheme="minorHAnsi"/>
          <w:lang w:val="en-CA"/>
        </w:rPr>
        <w:t>Masculine and feminine ideals &amp; expectations</w:t>
      </w:r>
    </w:p>
    <w:p w:rsidR="009E3CFE" w:rsidRPr="009E3CFE" w:rsidRDefault="009E3CFE" w:rsidP="00695308">
      <w:pPr>
        <w:pStyle w:val="ListParagraph"/>
        <w:numPr>
          <w:ilvl w:val="0"/>
          <w:numId w:val="19"/>
        </w:numPr>
        <w:spacing w:after="0" w:line="240" w:lineRule="auto"/>
        <w:rPr>
          <w:rFonts w:eastAsia="MS Mincho" w:cstheme="minorHAnsi"/>
          <w:lang w:val="en-CA"/>
        </w:rPr>
      </w:pPr>
      <w:r w:rsidRPr="002174AD">
        <w:rPr>
          <w:rFonts w:eastAsia="MS Mincho" w:cstheme="minorHAnsi"/>
          <w:lang w:val="en-CA"/>
        </w:rPr>
        <w:t>Lack of resources</w:t>
      </w:r>
      <w:r w:rsidRPr="009E3CFE">
        <w:rPr>
          <w:rFonts w:eastAsia="MS Mincho" w:cstheme="minorHAnsi"/>
          <w:lang w:val="en-CA"/>
        </w:rPr>
        <w:t xml:space="preserve"> and decision making</w:t>
      </w:r>
    </w:p>
    <w:p w:rsidR="009E3CFE" w:rsidRPr="009E3CFE" w:rsidRDefault="009E3CFE" w:rsidP="00695308">
      <w:pPr>
        <w:pStyle w:val="ListParagraph"/>
        <w:numPr>
          <w:ilvl w:val="0"/>
          <w:numId w:val="19"/>
        </w:numPr>
        <w:spacing w:after="0" w:line="240" w:lineRule="auto"/>
        <w:rPr>
          <w:rFonts w:eastAsia="MS Mincho" w:cstheme="minorHAnsi"/>
          <w:lang w:val="en-CA"/>
        </w:rPr>
      </w:pPr>
      <w:r w:rsidRPr="009E3CFE">
        <w:rPr>
          <w:rFonts w:eastAsia="MS Mincho" w:cstheme="minorHAnsi"/>
          <w:lang w:val="en-CA"/>
        </w:rPr>
        <w:t>Limited access to knowledge, information and technology</w:t>
      </w:r>
    </w:p>
    <w:p w:rsidR="009E3CFE" w:rsidRPr="009E3CFE" w:rsidRDefault="009E3CFE" w:rsidP="00695308">
      <w:pPr>
        <w:pStyle w:val="ListParagraph"/>
        <w:numPr>
          <w:ilvl w:val="0"/>
          <w:numId w:val="19"/>
        </w:numPr>
        <w:spacing w:after="0" w:line="240" w:lineRule="auto"/>
        <w:rPr>
          <w:rFonts w:eastAsia="MS Mincho" w:cstheme="minorHAnsi"/>
          <w:lang w:val="en-CA"/>
        </w:rPr>
      </w:pPr>
      <w:r w:rsidRPr="009E3CFE">
        <w:rPr>
          <w:rFonts w:eastAsia="MS Mincho" w:cstheme="minorHAnsi"/>
          <w:lang w:val="en-CA"/>
        </w:rPr>
        <w:t>Lack of safety and mobility</w:t>
      </w:r>
    </w:p>
    <w:p w:rsidR="009E3CFE" w:rsidRPr="009E3CFE" w:rsidRDefault="009E3CFE" w:rsidP="00695308">
      <w:pPr>
        <w:pStyle w:val="ListParagraph"/>
        <w:numPr>
          <w:ilvl w:val="0"/>
          <w:numId w:val="19"/>
        </w:numPr>
        <w:spacing w:after="0" w:line="240" w:lineRule="auto"/>
        <w:rPr>
          <w:rFonts w:eastAsia="MS Mincho" w:cstheme="minorHAnsi"/>
          <w:lang w:val="en-CA"/>
        </w:rPr>
      </w:pPr>
      <w:r w:rsidRPr="009E3CFE">
        <w:rPr>
          <w:rFonts w:eastAsia="MS Mincho" w:cstheme="minorHAnsi"/>
          <w:lang w:val="en-CA"/>
        </w:rPr>
        <w:t>Excessive time burden</w:t>
      </w:r>
    </w:p>
    <w:p w:rsidR="009E3CFE" w:rsidRDefault="009E3CFE" w:rsidP="00695308">
      <w:pPr>
        <w:pStyle w:val="ListParagraph"/>
        <w:numPr>
          <w:ilvl w:val="0"/>
          <w:numId w:val="19"/>
        </w:numPr>
        <w:spacing w:after="0" w:line="240" w:lineRule="auto"/>
        <w:rPr>
          <w:rFonts w:eastAsia="MS Mincho" w:cstheme="minorHAnsi"/>
          <w:lang w:val="en-CA"/>
        </w:rPr>
      </w:pPr>
      <w:r w:rsidRPr="009E3CFE">
        <w:rPr>
          <w:rFonts w:eastAsia="MS Mincho" w:cstheme="minorHAnsi"/>
          <w:lang w:val="en-CA"/>
        </w:rPr>
        <w:t>Dual responsibilities for women and girls</w:t>
      </w:r>
    </w:p>
    <w:p w:rsidR="009E3CFE" w:rsidRDefault="009E3CFE" w:rsidP="00695308">
      <w:pPr>
        <w:pStyle w:val="ListParagraph"/>
        <w:numPr>
          <w:ilvl w:val="0"/>
          <w:numId w:val="19"/>
        </w:numPr>
        <w:spacing w:after="0" w:line="240" w:lineRule="auto"/>
        <w:rPr>
          <w:rFonts w:eastAsia="MS Mincho" w:cstheme="minorHAnsi"/>
          <w:lang w:val="en-CA"/>
        </w:rPr>
      </w:pPr>
      <w:r>
        <w:rPr>
          <w:rFonts w:eastAsia="MS Mincho" w:cstheme="minorHAnsi"/>
          <w:lang w:val="en-CA"/>
        </w:rPr>
        <w:t>Others that the participants can think of</w:t>
      </w:r>
    </w:p>
    <w:p w:rsidR="00122D9B" w:rsidRDefault="0059088D" w:rsidP="00695308">
      <w:pPr>
        <w:pStyle w:val="ListParagraph"/>
        <w:numPr>
          <w:ilvl w:val="0"/>
          <w:numId w:val="17"/>
        </w:numPr>
        <w:spacing w:after="0" w:line="240" w:lineRule="auto"/>
        <w:rPr>
          <w:rFonts w:eastAsia="MS Mincho" w:cstheme="minorHAnsi"/>
          <w:lang w:val="en-CA"/>
        </w:rPr>
      </w:pPr>
      <w:r>
        <w:rPr>
          <w:rFonts w:eastAsia="MS Mincho" w:cstheme="minorHAnsi"/>
          <w:lang w:val="en-CA"/>
        </w:rPr>
        <w:t xml:space="preserve">Show </w:t>
      </w:r>
      <w:r w:rsidR="009E3CFE" w:rsidRPr="009E3CFE">
        <w:rPr>
          <w:rFonts w:eastAsia="MS Mincho" w:cstheme="minorHAnsi"/>
          <w:lang w:val="en-CA"/>
        </w:rPr>
        <w:t xml:space="preserve">slide </w:t>
      </w:r>
      <w:r w:rsidR="0098173A">
        <w:rPr>
          <w:rFonts w:eastAsia="MS Mincho" w:cstheme="minorHAnsi"/>
          <w:lang w:val="en-CA"/>
        </w:rPr>
        <w:t>38</w:t>
      </w:r>
      <w:r>
        <w:rPr>
          <w:rFonts w:eastAsia="MS Mincho" w:cstheme="minorHAnsi"/>
          <w:lang w:val="en-CA"/>
        </w:rPr>
        <w:t xml:space="preserve"> </w:t>
      </w:r>
      <w:r w:rsidR="009E3CFE" w:rsidRPr="009E3CFE">
        <w:rPr>
          <w:rFonts w:eastAsia="MS Mincho" w:cstheme="minorHAnsi"/>
          <w:lang w:val="en-CA"/>
        </w:rPr>
        <w:t>and highlight that nutrition specialists</w:t>
      </w:r>
      <w:r w:rsidR="00122D9B">
        <w:rPr>
          <w:rFonts w:eastAsia="MS Mincho" w:cstheme="minorHAnsi"/>
          <w:lang w:val="en-CA"/>
        </w:rPr>
        <w:t xml:space="preserve"> are neither</w:t>
      </w:r>
      <w:r w:rsidR="009E3CFE" w:rsidRPr="009E3CFE">
        <w:rPr>
          <w:rFonts w:eastAsia="MS Mincho" w:cstheme="minorHAnsi"/>
          <w:lang w:val="en-CA"/>
        </w:rPr>
        <w:t xml:space="preserve"> required to do a GBV assessment </w:t>
      </w:r>
      <w:r w:rsidR="00122D9B">
        <w:rPr>
          <w:rFonts w:eastAsia="MS Mincho" w:cstheme="minorHAnsi"/>
          <w:lang w:val="en-CA"/>
        </w:rPr>
        <w:t xml:space="preserve">nor develop a standalone assessment </w:t>
      </w:r>
      <w:r w:rsidR="009E3CFE" w:rsidRPr="009E3CFE">
        <w:rPr>
          <w:rFonts w:eastAsia="MS Mincho" w:cstheme="minorHAnsi"/>
          <w:lang w:val="en-CA"/>
        </w:rPr>
        <w:t xml:space="preserve">per say. </w:t>
      </w:r>
    </w:p>
    <w:p w:rsidR="009E3CFE" w:rsidRDefault="009E3CFE" w:rsidP="00695308">
      <w:pPr>
        <w:pStyle w:val="ListParagraph"/>
        <w:numPr>
          <w:ilvl w:val="0"/>
          <w:numId w:val="17"/>
        </w:numPr>
        <w:spacing w:after="0" w:line="240" w:lineRule="auto"/>
        <w:rPr>
          <w:rFonts w:eastAsia="MS Mincho" w:cstheme="minorHAnsi"/>
          <w:lang w:val="en-CA"/>
        </w:rPr>
      </w:pPr>
      <w:r w:rsidRPr="009E3CFE">
        <w:rPr>
          <w:rFonts w:eastAsia="MS Mincho" w:cstheme="minorHAnsi"/>
          <w:lang w:val="en-CA"/>
        </w:rPr>
        <w:t>Explain the difference between GBV assessment and GBV risk assessment</w:t>
      </w:r>
    </w:p>
    <w:p w:rsidR="009E3CFE" w:rsidRDefault="009E3CFE" w:rsidP="00695308">
      <w:pPr>
        <w:pStyle w:val="ListParagraph"/>
        <w:numPr>
          <w:ilvl w:val="0"/>
          <w:numId w:val="20"/>
        </w:numPr>
        <w:spacing w:after="0" w:line="240" w:lineRule="auto"/>
        <w:rPr>
          <w:rFonts w:eastAsia="MS Mincho" w:cstheme="minorHAnsi"/>
          <w:lang w:val="en-CA"/>
        </w:rPr>
      </w:pPr>
      <w:r>
        <w:rPr>
          <w:rFonts w:eastAsia="MS Mincho" w:cstheme="minorHAnsi"/>
          <w:lang w:val="en-CA"/>
        </w:rPr>
        <w:t>A GBV assessment may look at the GBV incidents for example sexual violence or intimate partner violence, its prevalence and the response needed.</w:t>
      </w:r>
    </w:p>
    <w:p w:rsidR="009E3CFE" w:rsidRDefault="009E3CFE" w:rsidP="00695308">
      <w:pPr>
        <w:pStyle w:val="ListParagraph"/>
        <w:numPr>
          <w:ilvl w:val="0"/>
          <w:numId w:val="20"/>
        </w:numPr>
        <w:spacing w:after="0" w:line="240" w:lineRule="auto"/>
        <w:rPr>
          <w:rFonts w:eastAsia="MS Mincho" w:cstheme="minorHAnsi"/>
          <w:lang w:val="en-CA"/>
        </w:rPr>
      </w:pPr>
      <w:r>
        <w:rPr>
          <w:rFonts w:eastAsia="MS Mincho" w:cstheme="minorHAnsi"/>
          <w:lang w:val="en-CA"/>
        </w:rPr>
        <w:t>A GBV risk assessment looks at the safety of the vulnerable groups mainly women and girls in accessing nutrition services. It assesses if the services are increasing the likelihood of GBV (timing, location, etc…)</w:t>
      </w:r>
    </w:p>
    <w:p w:rsidR="00122D9B" w:rsidRPr="00122D9B" w:rsidRDefault="00122D9B" w:rsidP="00695308">
      <w:pPr>
        <w:pStyle w:val="ListParagraph"/>
        <w:numPr>
          <w:ilvl w:val="0"/>
          <w:numId w:val="20"/>
        </w:numPr>
        <w:spacing w:after="0" w:line="240" w:lineRule="auto"/>
        <w:rPr>
          <w:rFonts w:eastAsia="MS Mincho" w:cstheme="minorHAnsi"/>
          <w:lang w:val="en-CA"/>
        </w:rPr>
      </w:pPr>
      <w:r w:rsidRPr="00122D9B">
        <w:rPr>
          <w:rFonts w:eastAsia="MS Mincho" w:cstheme="minorHAnsi"/>
          <w:lang w:val="en-CA"/>
        </w:rPr>
        <w:t xml:space="preserve">GBV-specific assessments are conducted by GBV actors. However, non-GBV specialized sectors can integrate a GBV lens in assessments, to make their programme </w:t>
      </w:r>
      <w:r>
        <w:rPr>
          <w:rFonts w:eastAsia="MS Mincho" w:cstheme="minorHAnsi"/>
          <w:lang w:val="en-CA"/>
        </w:rPr>
        <w:t>safer and accessible to all.</w:t>
      </w:r>
    </w:p>
    <w:p w:rsidR="00122D9B" w:rsidRDefault="00122D9B" w:rsidP="00695308">
      <w:pPr>
        <w:pStyle w:val="ListParagraph"/>
        <w:numPr>
          <w:ilvl w:val="0"/>
          <w:numId w:val="21"/>
        </w:numPr>
        <w:spacing w:after="0" w:line="240" w:lineRule="auto"/>
        <w:rPr>
          <w:rFonts w:eastAsia="MS Mincho" w:cstheme="minorHAnsi"/>
          <w:lang w:val="en-CA"/>
        </w:rPr>
      </w:pPr>
      <w:r>
        <w:rPr>
          <w:rFonts w:eastAsia="MS Mincho" w:cstheme="minorHAnsi"/>
          <w:lang w:val="en-CA"/>
        </w:rPr>
        <w:t>Highlight that t</w:t>
      </w:r>
      <w:r w:rsidRPr="00122D9B">
        <w:rPr>
          <w:rFonts w:eastAsia="MS Mincho" w:cstheme="minorHAnsi"/>
          <w:lang w:val="en-CA"/>
        </w:rPr>
        <w:t>here are GBV risks in all settings and that is why it is necessary to ask GBV risk-related questions in any type of assessment:  it is an opportunity to identify GBV risks and to prevent/mitigate them later in the project</w:t>
      </w:r>
    </w:p>
    <w:p w:rsidR="00122D9B" w:rsidRDefault="00122D9B" w:rsidP="00695308">
      <w:pPr>
        <w:pStyle w:val="ListParagraph"/>
        <w:numPr>
          <w:ilvl w:val="0"/>
          <w:numId w:val="21"/>
        </w:numPr>
        <w:spacing w:after="0" w:line="240" w:lineRule="auto"/>
        <w:rPr>
          <w:rFonts w:eastAsia="MS Mincho" w:cstheme="minorHAnsi"/>
          <w:lang w:val="en-CA"/>
        </w:rPr>
      </w:pPr>
      <w:r w:rsidRPr="00122D9B">
        <w:rPr>
          <w:rFonts w:eastAsia="MS Mincho" w:cstheme="minorHAnsi"/>
          <w:lang w:val="en-CA"/>
        </w:rPr>
        <w:t>Needs assessment/analysis is a strategic opportunity to identify GBV risks and suitable GBV risk mitigation measures related to nutrition programs</w:t>
      </w:r>
    </w:p>
    <w:p w:rsidR="002604ED" w:rsidRDefault="002604ED" w:rsidP="00695308">
      <w:pPr>
        <w:pStyle w:val="ListParagraph"/>
        <w:numPr>
          <w:ilvl w:val="0"/>
          <w:numId w:val="21"/>
        </w:numPr>
        <w:spacing w:after="0" w:line="240" w:lineRule="auto"/>
        <w:rPr>
          <w:rFonts w:eastAsia="MS Mincho" w:cstheme="minorHAnsi"/>
          <w:lang w:val="en-CA"/>
        </w:rPr>
      </w:pPr>
      <w:r>
        <w:rPr>
          <w:rFonts w:eastAsia="MS Mincho" w:cstheme="minorHAnsi"/>
          <w:lang w:val="en-CA"/>
        </w:rPr>
        <w:t xml:space="preserve">Distribute the </w:t>
      </w:r>
      <w:r w:rsidR="00DE0152">
        <w:rPr>
          <w:rFonts w:eastAsia="MS Mincho" w:cstheme="minorHAnsi"/>
          <w:lang w:val="en-CA"/>
        </w:rPr>
        <w:t xml:space="preserve">Nutrition cluster AAP framework </w:t>
      </w:r>
      <w:r>
        <w:rPr>
          <w:rFonts w:eastAsia="MS Mincho" w:cstheme="minorHAnsi"/>
          <w:lang w:val="en-CA"/>
        </w:rPr>
        <w:t xml:space="preserve">and highlight in the document key commitments related to gender and GBV risk assessment </w:t>
      </w:r>
      <w:r w:rsidR="00DE0152">
        <w:rPr>
          <w:rFonts w:eastAsia="MS Mincho" w:cstheme="minorHAnsi"/>
          <w:lang w:val="en-CA"/>
        </w:rPr>
        <w:t>(pages 17/18)</w:t>
      </w:r>
    </w:p>
    <w:p w:rsidR="002604ED" w:rsidRPr="002604ED" w:rsidRDefault="002604ED" w:rsidP="00695308">
      <w:pPr>
        <w:pStyle w:val="ListParagraph"/>
        <w:numPr>
          <w:ilvl w:val="0"/>
          <w:numId w:val="22"/>
        </w:numPr>
        <w:spacing w:after="0" w:line="240" w:lineRule="auto"/>
        <w:rPr>
          <w:rFonts w:eastAsia="MS Mincho" w:cstheme="minorHAnsi"/>
          <w:lang w:val="en-CA"/>
        </w:rPr>
      </w:pPr>
      <w:r w:rsidRPr="002604ED">
        <w:rPr>
          <w:rFonts w:eastAsia="MS Mincho" w:cstheme="minorHAnsi"/>
          <w:lang w:val="en-CA"/>
        </w:rPr>
        <w:t xml:space="preserve">Consult with available gender, protection, age, disability, communicating with communities (CwC) and accountability specialized agencies and focal points when developing plans and designing assessments to seek expert input. </w:t>
      </w:r>
    </w:p>
    <w:p w:rsidR="002604ED" w:rsidRPr="002604ED" w:rsidRDefault="002604ED" w:rsidP="00695308">
      <w:pPr>
        <w:pStyle w:val="ListParagraph"/>
        <w:numPr>
          <w:ilvl w:val="0"/>
          <w:numId w:val="22"/>
        </w:numPr>
        <w:spacing w:after="0" w:line="240" w:lineRule="auto"/>
        <w:rPr>
          <w:rFonts w:eastAsia="MS Mincho" w:cstheme="minorHAnsi"/>
          <w:lang w:val="en-CA"/>
        </w:rPr>
      </w:pPr>
      <w:r w:rsidRPr="002604ED">
        <w:rPr>
          <w:rFonts w:eastAsia="MS Mincho" w:cstheme="minorHAnsi"/>
          <w:lang w:val="en-CA"/>
        </w:rPr>
        <w:t>Advocate for these areas in joint/interagency assessment design.</w:t>
      </w:r>
    </w:p>
    <w:p w:rsidR="002604ED" w:rsidRPr="002604ED" w:rsidRDefault="002604ED" w:rsidP="00695308">
      <w:pPr>
        <w:pStyle w:val="ListParagraph"/>
        <w:numPr>
          <w:ilvl w:val="0"/>
          <w:numId w:val="22"/>
        </w:numPr>
        <w:spacing w:after="0" w:line="240" w:lineRule="auto"/>
        <w:rPr>
          <w:rFonts w:eastAsia="MS Mincho" w:cstheme="minorHAnsi"/>
          <w:lang w:val="en-CA"/>
        </w:rPr>
      </w:pPr>
      <w:r w:rsidRPr="002604ED">
        <w:rPr>
          <w:rFonts w:eastAsia="MS Mincho" w:cstheme="minorHAnsi"/>
          <w:lang w:val="en-CA"/>
        </w:rPr>
        <w:t>Ensure Sex and Age Disaggregated Data (SADD) is routinely collected, analyzed and used to set a baseline and throughout the response, including an appropriate breakdown of older age groups. Advocate for the inclusion of data on disability.</w:t>
      </w:r>
    </w:p>
    <w:p w:rsidR="002604ED" w:rsidRPr="002604ED" w:rsidRDefault="002604ED" w:rsidP="00695308">
      <w:pPr>
        <w:pStyle w:val="ListParagraph"/>
        <w:numPr>
          <w:ilvl w:val="0"/>
          <w:numId w:val="22"/>
        </w:numPr>
        <w:spacing w:after="0" w:line="240" w:lineRule="auto"/>
        <w:rPr>
          <w:rFonts w:eastAsia="MS Mincho" w:cstheme="minorHAnsi"/>
          <w:lang w:val="en-CA"/>
        </w:rPr>
      </w:pPr>
      <w:r w:rsidRPr="002604ED">
        <w:rPr>
          <w:rFonts w:eastAsia="MS Mincho" w:cstheme="minorHAnsi"/>
          <w:lang w:val="en-CA"/>
        </w:rPr>
        <w:t xml:space="preserve">Facilitate the implementation and utilization of a context analysis of local culture, customs, beliefs, taking into account the differing needs of women, men, girls and boys, including older people, persons with disability and other vulnerable groups. </w:t>
      </w:r>
    </w:p>
    <w:p w:rsidR="002604ED" w:rsidRPr="002604ED" w:rsidRDefault="002604ED" w:rsidP="00695308">
      <w:pPr>
        <w:pStyle w:val="ListParagraph"/>
        <w:numPr>
          <w:ilvl w:val="0"/>
          <w:numId w:val="22"/>
        </w:numPr>
        <w:spacing w:after="0" w:line="240" w:lineRule="auto"/>
        <w:rPr>
          <w:rFonts w:eastAsia="MS Mincho" w:cstheme="minorHAnsi"/>
          <w:lang w:val="en-CA"/>
        </w:rPr>
      </w:pPr>
      <w:r w:rsidRPr="002604ED">
        <w:rPr>
          <w:rFonts w:eastAsia="MS Mincho" w:cstheme="minorHAnsi"/>
          <w:lang w:val="en-CA"/>
        </w:rPr>
        <w:t>Apply a protection and “Do No Harm” analysis.</w:t>
      </w:r>
    </w:p>
    <w:p w:rsidR="002604ED" w:rsidRDefault="002604ED" w:rsidP="00695308">
      <w:pPr>
        <w:pStyle w:val="ListParagraph"/>
        <w:numPr>
          <w:ilvl w:val="0"/>
          <w:numId w:val="22"/>
        </w:numPr>
        <w:spacing w:after="0" w:line="240" w:lineRule="auto"/>
        <w:rPr>
          <w:rFonts w:eastAsia="MS Mincho" w:cstheme="minorHAnsi"/>
          <w:lang w:val="en-CA"/>
        </w:rPr>
      </w:pPr>
      <w:r w:rsidRPr="002604ED">
        <w:rPr>
          <w:rFonts w:eastAsia="MS Mincho" w:cstheme="minorHAnsi"/>
          <w:lang w:val="en-CA"/>
        </w:rPr>
        <w:t>Advocate for the inclusion of key findings inclusive of AAP and core people-related issues analysis in the response framework and strategic planning.</w:t>
      </w:r>
    </w:p>
    <w:p w:rsidR="002604ED" w:rsidRDefault="002604ED" w:rsidP="00695308">
      <w:pPr>
        <w:pStyle w:val="ListParagraph"/>
        <w:numPr>
          <w:ilvl w:val="0"/>
          <w:numId w:val="23"/>
        </w:numPr>
        <w:spacing w:after="0" w:line="240" w:lineRule="auto"/>
        <w:rPr>
          <w:rFonts w:eastAsia="MS Mincho" w:cstheme="minorHAnsi"/>
          <w:lang w:val="en-CA"/>
        </w:rPr>
      </w:pPr>
      <w:r>
        <w:rPr>
          <w:rFonts w:eastAsia="MS Mincho" w:cstheme="minorHAnsi"/>
          <w:lang w:val="en-CA"/>
        </w:rPr>
        <w:t>Highlight</w:t>
      </w:r>
      <w:r w:rsidR="0098173A">
        <w:rPr>
          <w:rFonts w:eastAsia="MS Mincho" w:cstheme="minorHAnsi"/>
          <w:lang w:val="en-CA"/>
        </w:rPr>
        <w:t xml:space="preserve"> from slide 40</w:t>
      </w:r>
      <w:r>
        <w:rPr>
          <w:rFonts w:eastAsia="MS Mincho" w:cstheme="minorHAnsi"/>
          <w:lang w:val="en-CA"/>
        </w:rPr>
        <w:t xml:space="preserve"> the steps of Gender and GBV risk assessment and analysis</w:t>
      </w:r>
    </w:p>
    <w:p w:rsidR="002604ED" w:rsidRPr="002604ED" w:rsidRDefault="002604ED" w:rsidP="00695308">
      <w:pPr>
        <w:pStyle w:val="ListParagraph"/>
        <w:numPr>
          <w:ilvl w:val="0"/>
          <w:numId w:val="24"/>
        </w:numPr>
        <w:spacing w:after="0" w:line="240" w:lineRule="auto"/>
        <w:rPr>
          <w:rFonts w:eastAsia="MS Mincho" w:cstheme="minorHAnsi"/>
          <w:lang w:val="en-CA"/>
        </w:rPr>
      </w:pPr>
      <w:r w:rsidRPr="002604ED">
        <w:rPr>
          <w:rFonts w:eastAsia="MS Mincho" w:cstheme="minorHAnsi"/>
          <w:lang w:val="en-CA"/>
        </w:rPr>
        <w:t>Find existing data about Gender and GBV</w:t>
      </w:r>
      <w:r>
        <w:rPr>
          <w:rFonts w:eastAsia="MS Mincho" w:cstheme="minorHAnsi"/>
          <w:lang w:val="en-CA"/>
        </w:rPr>
        <w:t xml:space="preserve"> issues that might affect equal</w:t>
      </w:r>
      <w:r w:rsidRPr="002604ED">
        <w:rPr>
          <w:rFonts w:eastAsia="MS Mincho" w:cstheme="minorHAnsi"/>
          <w:lang w:val="en-CA"/>
        </w:rPr>
        <w:t xml:space="preserve"> and safe access to nutrition programs through a desk review</w:t>
      </w:r>
    </w:p>
    <w:p w:rsidR="002604ED" w:rsidRPr="002604ED" w:rsidRDefault="002604ED" w:rsidP="00695308">
      <w:pPr>
        <w:pStyle w:val="ListParagraph"/>
        <w:numPr>
          <w:ilvl w:val="0"/>
          <w:numId w:val="24"/>
        </w:numPr>
        <w:spacing w:after="0" w:line="240" w:lineRule="auto"/>
        <w:rPr>
          <w:rFonts w:eastAsia="MS Mincho" w:cstheme="minorHAnsi"/>
          <w:lang w:val="en-CA"/>
        </w:rPr>
      </w:pPr>
      <w:r w:rsidRPr="002604ED">
        <w:rPr>
          <w:rFonts w:eastAsia="MS Mincho" w:cstheme="minorHAnsi"/>
          <w:lang w:val="en-CA"/>
        </w:rPr>
        <w:lastRenderedPageBreak/>
        <w:t>Collect missing information through informational interviews and FGDs and analyze the findings</w:t>
      </w:r>
    </w:p>
    <w:p w:rsidR="002604ED" w:rsidRDefault="002604ED" w:rsidP="00695308">
      <w:pPr>
        <w:pStyle w:val="ListParagraph"/>
        <w:numPr>
          <w:ilvl w:val="0"/>
          <w:numId w:val="24"/>
        </w:numPr>
        <w:spacing w:after="0" w:line="240" w:lineRule="auto"/>
        <w:rPr>
          <w:rFonts w:eastAsia="MS Mincho" w:cstheme="minorHAnsi"/>
          <w:lang w:val="en-CA"/>
        </w:rPr>
      </w:pPr>
      <w:r w:rsidRPr="002604ED">
        <w:rPr>
          <w:rFonts w:eastAsia="MS Mincho" w:cstheme="minorHAnsi"/>
          <w:lang w:val="en-CA"/>
        </w:rPr>
        <w:t>Develop recommendations and action plans based on the results</w:t>
      </w:r>
    </w:p>
    <w:p w:rsidR="002174AD" w:rsidRDefault="002174AD" w:rsidP="002174AD">
      <w:pPr>
        <w:pStyle w:val="ListParagraph"/>
        <w:spacing w:after="0" w:line="240" w:lineRule="auto"/>
        <w:ind w:left="1440"/>
        <w:rPr>
          <w:rFonts w:eastAsia="MS Mincho" w:cstheme="minorHAnsi"/>
          <w:lang w:val="en-CA"/>
        </w:rPr>
      </w:pPr>
    </w:p>
    <w:p w:rsidR="002604ED" w:rsidRPr="002174AD" w:rsidRDefault="0059088D" w:rsidP="00695308">
      <w:pPr>
        <w:pStyle w:val="ListParagraph"/>
        <w:numPr>
          <w:ilvl w:val="0"/>
          <w:numId w:val="23"/>
        </w:numPr>
        <w:spacing w:after="0" w:line="240" w:lineRule="auto"/>
        <w:rPr>
          <w:rFonts w:eastAsia="MS Mincho" w:cstheme="minorHAnsi"/>
          <w:lang w:val="en-CA"/>
        </w:rPr>
      </w:pPr>
      <w:r>
        <w:rPr>
          <w:rFonts w:eastAsia="MS Mincho" w:cstheme="minorHAnsi"/>
          <w:lang w:val="en-CA"/>
        </w:rPr>
        <w:t xml:space="preserve">Explain </w:t>
      </w:r>
      <w:r w:rsidR="002604ED">
        <w:rPr>
          <w:rFonts w:eastAsia="MS Mincho" w:cstheme="minorHAnsi"/>
          <w:lang w:val="en-CA"/>
        </w:rPr>
        <w:t>Step 1: finding existing data</w:t>
      </w:r>
      <w:r w:rsidR="0098173A">
        <w:rPr>
          <w:rFonts w:eastAsia="MS Mincho" w:cstheme="minorHAnsi"/>
          <w:lang w:val="en-CA"/>
        </w:rPr>
        <w:t xml:space="preserve"> using slides 41, 42 and 43</w:t>
      </w:r>
      <w:r w:rsidR="002174AD">
        <w:rPr>
          <w:rFonts w:eastAsia="MS Mincho" w:cstheme="minorHAnsi"/>
          <w:lang w:val="en-CA"/>
        </w:rPr>
        <w:t xml:space="preserve">: </w:t>
      </w:r>
      <w:r w:rsidR="00743062" w:rsidRPr="002174AD">
        <w:rPr>
          <w:rFonts w:eastAsia="MS Mincho" w:cstheme="minorHAnsi"/>
          <w:lang w:val="en-CA"/>
        </w:rPr>
        <w:t xml:space="preserve"> </w:t>
      </w:r>
      <w:r w:rsidR="002604ED" w:rsidRPr="002174AD">
        <w:rPr>
          <w:rFonts w:eastAsia="MS Mincho" w:cstheme="minorHAnsi"/>
          <w:lang w:val="en-CA"/>
        </w:rPr>
        <w:t>Information to look for:</w:t>
      </w:r>
    </w:p>
    <w:p w:rsidR="00743062" w:rsidRPr="00156072" w:rsidRDefault="00743062" w:rsidP="00695308">
      <w:pPr>
        <w:numPr>
          <w:ilvl w:val="0"/>
          <w:numId w:val="25"/>
        </w:numPr>
        <w:spacing w:after="80"/>
        <w:jc w:val="both"/>
        <w:rPr>
          <w:rFonts w:asciiTheme="majorBidi" w:hAnsiTheme="majorBidi" w:cstheme="majorBidi"/>
          <w:color w:val="000000"/>
          <w:sz w:val="24"/>
          <w:szCs w:val="24"/>
        </w:rPr>
      </w:pPr>
      <w:r w:rsidRPr="00156072">
        <w:rPr>
          <w:rFonts w:asciiTheme="majorBidi" w:hAnsiTheme="majorBidi" w:cstheme="majorBidi"/>
          <w:b/>
          <w:color w:val="000000"/>
          <w:sz w:val="24"/>
          <w:szCs w:val="24"/>
        </w:rPr>
        <w:t xml:space="preserve">Population demographics: </w:t>
      </w:r>
      <w:r w:rsidRPr="00156072">
        <w:rPr>
          <w:rFonts w:asciiTheme="majorBidi" w:hAnsiTheme="majorBidi" w:cstheme="majorBidi"/>
          <w:color w:val="000000"/>
          <w:sz w:val="24"/>
          <w:szCs w:val="24"/>
        </w:rPr>
        <w:t xml:space="preserve">What was the demographic profile of the population disaggregated by sex and age </w:t>
      </w:r>
      <w:r w:rsidRPr="00156072">
        <w:rPr>
          <w:rFonts w:asciiTheme="majorBidi" w:hAnsiTheme="majorBidi" w:cstheme="majorBidi"/>
          <w:i/>
          <w:color w:val="000000"/>
          <w:sz w:val="24"/>
          <w:szCs w:val="24"/>
        </w:rPr>
        <w:t>before the crisis</w:t>
      </w:r>
      <w:r w:rsidRPr="00156072">
        <w:rPr>
          <w:rFonts w:asciiTheme="majorBidi" w:hAnsiTheme="majorBidi" w:cstheme="majorBidi"/>
          <w:color w:val="000000"/>
          <w:sz w:val="24"/>
          <w:szCs w:val="24"/>
        </w:rPr>
        <w:t xml:space="preserve">? What has changed since the crisis or program began? Look at the number of households and average family size, number of single- and child-headed households by sex and age, number of people by age and sex with specific needs, number of pregnant and lactating women. Are there polygamous family structures? </w:t>
      </w:r>
    </w:p>
    <w:p w:rsidR="00743062" w:rsidRPr="00156072" w:rsidRDefault="00743062" w:rsidP="00695308">
      <w:pPr>
        <w:numPr>
          <w:ilvl w:val="0"/>
          <w:numId w:val="25"/>
        </w:numPr>
        <w:spacing w:after="80"/>
        <w:jc w:val="both"/>
        <w:rPr>
          <w:rFonts w:asciiTheme="majorBidi" w:hAnsiTheme="majorBidi" w:cstheme="majorBidi"/>
          <w:color w:val="000000"/>
          <w:sz w:val="24"/>
          <w:szCs w:val="24"/>
        </w:rPr>
      </w:pPr>
      <w:r w:rsidRPr="00156072">
        <w:rPr>
          <w:rFonts w:asciiTheme="majorBidi" w:hAnsiTheme="majorBidi" w:cstheme="majorBidi"/>
          <w:b/>
          <w:color w:val="000000"/>
          <w:sz w:val="24"/>
          <w:szCs w:val="24"/>
        </w:rPr>
        <w:t xml:space="preserve">Gender roles: </w:t>
      </w:r>
      <w:r w:rsidRPr="00156072">
        <w:rPr>
          <w:rFonts w:asciiTheme="majorBidi" w:hAnsiTheme="majorBidi" w:cstheme="majorBidi"/>
          <w:color w:val="000000"/>
          <w:sz w:val="24"/>
          <w:szCs w:val="24"/>
        </w:rPr>
        <w:t xml:space="preserve">What were the roles of women, girls, men and boys relating to nutrition before the crisis? How have the roles of women, girls, men and boys relating to nutrition changed since the onset of the crisis? What are the new roles of women, girls, men and boys and how do they interact? How much time do these roles require? </w:t>
      </w:r>
    </w:p>
    <w:p w:rsidR="00743062" w:rsidRPr="00156072" w:rsidRDefault="00743062" w:rsidP="00695308">
      <w:pPr>
        <w:numPr>
          <w:ilvl w:val="0"/>
          <w:numId w:val="25"/>
        </w:numPr>
        <w:spacing w:after="80"/>
        <w:jc w:val="both"/>
        <w:rPr>
          <w:rFonts w:asciiTheme="majorBidi" w:hAnsiTheme="majorBidi" w:cstheme="majorBidi"/>
          <w:color w:val="000000"/>
          <w:sz w:val="24"/>
          <w:szCs w:val="24"/>
        </w:rPr>
      </w:pPr>
      <w:r w:rsidRPr="00156072">
        <w:rPr>
          <w:rFonts w:asciiTheme="majorBidi" w:hAnsiTheme="majorBidi" w:cstheme="majorBidi"/>
          <w:b/>
          <w:color w:val="000000"/>
          <w:sz w:val="24"/>
          <w:szCs w:val="24"/>
        </w:rPr>
        <w:t xml:space="preserve">Decision-making structures: </w:t>
      </w:r>
      <w:r w:rsidRPr="00156072">
        <w:rPr>
          <w:rFonts w:asciiTheme="majorBidi" w:hAnsiTheme="majorBidi" w:cstheme="majorBidi"/>
          <w:color w:val="000000"/>
          <w:sz w:val="24"/>
          <w:szCs w:val="24"/>
        </w:rPr>
        <w:t xml:space="preserve">What structures did the community use to make decisions relating to nutrition before the crisis and what are these now? Who participates in decision-making spaces? Do women and men have an equal voice? How do adolescent girls and boys participate? </w:t>
      </w:r>
    </w:p>
    <w:p w:rsidR="002174AD" w:rsidRDefault="00743062" w:rsidP="00695308">
      <w:pPr>
        <w:numPr>
          <w:ilvl w:val="0"/>
          <w:numId w:val="25"/>
        </w:numPr>
        <w:spacing w:after="80"/>
        <w:jc w:val="both"/>
        <w:rPr>
          <w:rFonts w:asciiTheme="majorBidi" w:hAnsiTheme="majorBidi" w:cstheme="majorBidi"/>
          <w:color w:val="000000"/>
          <w:sz w:val="24"/>
          <w:szCs w:val="24"/>
        </w:rPr>
      </w:pPr>
      <w:r w:rsidRPr="00156072">
        <w:rPr>
          <w:rFonts w:asciiTheme="majorBidi" w:hAnsiTheme="majorBidi" w:cstheme="majorBidi"/>
          <w:b/>
          <w:color w:val="000000"/>
          <w:sz w:val="24"/>
          <w:szCs w:val="24"/>
        </w:rPr>
        <w:t xml:space="preserve">Protection: </w:t>
      </w:r>
      <w:r w:rsidRPr="00156072">
        <w:rPr>
          <w:rFonts w:asciiTheme="majorBidi" w:hAnsiTheme="majorBidi" w:cstheme="majorBidi"/>
          <w:color w:val="000000"/>
          <w:sz w:val="24"/>
          <w:szCs w:val="24"/>
        </w:rPr>
        <w:t xml:space="preserve">What protection risks did specific groups of women, girls, men and boys face before the crisis? What information is available about protection risks since the crisis began or the program started? How do legal frameworks affect gender and protection needs and access to justice? </w:t>
      </w:r>
    </w:p>
    <w:p w:rsidR="00743062" w:rsidRPr="002174AD" w:rsidRDefault="00743062" w:rsidP="00695308">
      <w:pPr>
        <w:numPr>
          <w:ilvl w:val="0"/>
          <w:numId w:val="25"/>
        </w:numPr>
        <w:spacing w:after="80"/>
        <w:jc w:val="both"/>
        <w:rPr>
          <w:rFonts w:asciiTheme="majorBidi" w:hAnsiTheme="majorBidi" w:cstheme="majorBidi"/>
          <w:color w:val="000000"/>
          <w:sz w:val="24"/>
          <w:szCs w:val="24"/>
        </w:rPr>
      </w:pPr>
      <w:r w:rsidRPr="002174AD">
        <w:rPr>
          <w:rFonts w:asciiTheme="majorBidi" w:hAnsiTheme="majorBidi" w:cstheme="majorBidi"/>
          <w:b/>
          <w:color w:val="000000"/>
          <w:sz w:val="24"/>
          <w:szCs w:val="24"/>
        </w:rPr>
        <w:t xml:space="preserve">Gendered needs, capacities and aspirations: </w:t>
      </w:r>
      <w:r w:rsidRPr="002174AD">
        <w:rPr>
          <w:rFonts w:asciiTheme="majorBidi" w:hAnsiTheme="majorBidi" w:cstheme="majorBidi"/>
          <w:color w:val="000000"/>
          <w:sz w:val="24"/>
          <w:szCs w:val="24"/>
        </w:rPr>
        <w:t>What are the nutrition-related needs, capacities and aspirations of women, girls, men and boys in the affected population and/or program? This should include an assessment of whether nutritional requirements are being met for specific groups, for example, women and girls sometimes eat only after the men and boys and if there is not much food available, they reduce their consumption or go without. It should also include an assessment of breastfeeding practices. Women may fail to breastfeed due to perceptions that breast-milk substitutes are better, or not having enough nutrition or because they have neither time, space nor support.</w:t>
      </w:r>
    </w:p>
    <w:p w:rsidR="00743062" w:rsidRPr="00017862" w:rsidRDefault="00743062" w:rsidP="00695308">
      <w:pPr>
        <w:pStyle w:val="ListParagraph"/>
        <w:numPr>
          <w:ilvl w:val="0"/>
          <w:numId w:val="23"/>
        </w:numPr>
        <w:spacing w:after="0" w:line="240" w:lineRule="auto"/>
        <w:rPr>
          <w:rFonts w:asciiTheme="majorBidi" w:hAnsiTheme="majorBidi" w:cstheme="majorBidi"/>
          <w:color w:val="000000"/>
          <w:sz w:val="24"/>
          <w:szCs w:val="24"/>
        </w:rPr>
      </w:pPr>
      <w:r w:rsidRPr="002174AD">
        <w:rPr>
          <w:rFonts w:asciiTheme="majorBidi" w:hAnsiTheme="majorBidi" w:cstheme="majorBidi"/>
          <w:color w:val="000000"/>
          <w:sz w:val="24"/>
          <w:szCs w:val="24"/>
        </w:rPr>
        <w:t>Sources of information</w:t>
      </w:r>
      <w:r w:rsidR="00017862">
        <w:rPr>
          <w:rFonts w:asciiTheme="majorBidi" w:hAnsiTheme="majorBidi" w:cstheme="majorBidi"/>
          <w:color w:val="000000"/>
          <w:sz w:val="24"/>
          <w:szCs w:val="24"/>
        </w:rPr>
        <w:t>: r</w:t>
      </w:r>
      <w:r w:rsidR="0059088D">
        <w:rPr>
          <w:rFonts w:asciiTheme="majorBidi" w:hAnsiTheme="majorBidi" w:cstheme="majorBidi"/>
          <w:color w:val="000000"/>
          <w:sz w:val="24"/>
          <w:szCs w:val="24"/>
        </w:rPr>
        <w:t>ead briefly from</w:t>
      </w:r>
      <w:r w:rsidRPr="00017862">
        <w:rPr>
          <w:rFonts w:asciiTheme="majorBidi" w:hAnsiTheme="majorBidi" w:cstheme="majorBidi"/>
          <w:color w:val="000000"/>
          <w:sz w:val="24"/>
          <w:szCs w:val="24"/>
        </w:rPr>
        <w:t xml:space="preserve"> slide </w:t>
      </w:r>
      <w:r w:rsidR="0098173A">
        <w:rPr>
          <w:rFonts w:asciiTheme="majorBidi" w:hAnsiTheme="majorBidi" w:cstheme="majorBidi"/>
          <w:color w:val="000000"/>
          <w:sz w:val="24"/>
          <w:szCs w:val="24"/>
        </w:rPr>
        <w:t>42</w:t>
      </w:r>
      <w:r w:rsidR="0059088D">
        <w:rPr>
          <w:rFonts w:asciiTheme="majorBidi" w:hAnsiTheme="majorBidi" w:cstheme="majorBidi"/>
          <w:color w:val="000000"/>
          <w:sz w:val="24"/>
          <w:szCs w:val="24"/>
        </w:rPr>
        <w:t xml:space="preserve"> </w:t>
      </w:r>
      <w:r w:rsidRPr="00017862">
        <w:rPr>
          <w:rFonts w:asciiTheme="majorBidi" w:hAnsiTheme="majorBidi" w:cstheme="majorBidi"/>
          <w:color w:val="000000"/>
          <w:sz w:val="24"/>
          <w:szCs w:val="24"/>
        </w:rPr>
        <w:t>the sources of information</w:t>
      </w:r>
    </w:p>
    <w:p w:rsidR="00017862" w:rsidRDefault="00743062" w:rsidP="00695308">
      <w:pPr>
        <w:pStyle w:val="ListParagraph"/>
        <w:numPr>
          <w:ilvl w:val="0"/>
          <w:numId w:val="52"/>
        </w:numPr>
        <w:spacing w:after="0" w:line="240" w:lineRule="auto"/>
        <w:ind w:left="1440"/>
        <w:rPr>
          <w:rFonts w:asciiTheme="majorBidi" w:hAnsiTheme="majorBidi" w:cstheme="majorBidi"/>
          <w:color w:val="000000"/>
          <w:sz w:val="24"/>
          <w:szCs w:val="24"/>
        </w:rPr>
      </w:pPr>
      <w:r w:rsidRPr="00743062">
        <w:rPr>
          <w:rFonts w:asciiTheme="majorBidi" w:hAnsiTheme="majorBidi" w:cstheme="majorBidi"/>
          <w:color w:val="000000"/>
          <w:sz w:val="24"/>
          <w:szCs w:val="24"/>
        </w:rPr>
        <w:t>The latest country situation analysis for information on: 1) the status of women and girls (e.g. sex-disaggregated school enrolment, workforce and political representation, health status, gender-based violence) and 2) the roles and policies of ministries and other institutions in addressing gender-responsive development.</w:t>
      </w:r>
    </w:p>
    <w:p w:rsidR="00017862" w:rsidRDefault="00743062" w:rsidP="00695308">
      <w:pPr>
        <w:pStyle w:val="ListParagraph"/>
        <w:numPr>
          <w:ilvl w:val="0"/>
          <w:numId w:val="52"/>
        </w:numPr>
        <w:spacing w:after="0" w:line="240" w:lineRule="auto"/>
        <w:ind w:left="1440"/>
        <w:rPr>
          <w:rFonts w:asciiTheme="majorBidi" w:hAnsiTheme="majorBidi" w:cstheme="majorBidi"/>
          <w:color w:val="000000"/>
          <w:sz w:val="24"/>
          <w:szCs w:val="24"/>
        </w:rPr>
      </w:pPr>
      <w:r w:rsidRPr="00017862">
        <w:rPr>
          <w:rFonts w:asciiTheme="majorBidi" w:hAnsiTheme="majorBidi" w:cstheme="majorBidi"/>
          <w:color w:val="000000"/>
          <w:sz w:val="24"/>
          <w:szCs w:val="24"/>
        </w:rPr>
        <w:t>Gender equality goals and targets in the Country Program Document.</w:t>
      </w:r>
    </w:p>
    <w:p w:rsidR="00017862" w:rsidRDefault="00743062" w:rsidP="00695308">
      <w:pPr>
        <w:pStyle w:val="ListParagraph"/>
        <w:numPr>
          <w:ilvl w:val="0"/>
          <w:numId w:val="52"/>
        </w:numPr>
        <w:spacing w:after="0" w:line="240" w:lineRule="auto"/>
        <w:ind w:left="1440"/>
        <w:rPr>
          <w:rFonts w:asciiTheme="majorBidi" w:hAnsiTheme="majorBidi" w:cstheme="majorBidi"/>
          <w:color w:val="000000"/>
          <w:sz w:val="24"/>
          <w:szCs w:val="24"/>
        </w:rPr>
      </w:pPr>
      <w:r w:rsidRPr="00017862">
        <w:rPr>
          <w:rFonts w:asciiTheme="majorBidi" w:hAnsiTheme="majorBidi" w:cstheme="majorBidi"/>
          <w:color w:val="000000"/>
          <w:sz w:val="24"/>
          <w:szCs w:val="24"/>
        </w:rPr>
        <w:t xml:space="preserve">Country program work plan review report </w:t>
      </w:r>
    </w:p>
    <w:p w:rsidR="00017862" w:rsidRDefault="00743062" w:rsidP="00695308">
      <w:pPr>
        <w:pStyle w:val="ListParagraph"/>
        <w:numPr>
          <w:ilvl w:val="0"/>
          <w:numId w:val="52"/>
        </w:numPr>
        <w:spacing w:after="0" w:line="240" w:lineRule="auto"/>
        <w:ind w:left="1440"/>
        <w:rPr>
          <w:rFonts w:asciiTheme="majorBidi" w:hAnsiTheme="majorBidi" w:cstheme="majorBidi"/>
          <w:color w:val="000000"/>
          <w:sz w:val="24"/>
          <w:szCs w:val="24"/>
        </w:rPr>
      </w:pPr>
      <w:r w:rsidRPr="00017862">
        <w:rPr>
          <w:rFonts w:asciiTheme="majorBidi" w:hAnsiTheme="majorBidi" w:cstheme="majorBidi"/>
          <w:color w:val="000000"/>
          <w:sz w:val="24"/>
          <w:szCs w:val="24"/>
        </w:rPr>
        <w:t xml:space="preserve">Documents and assessments related to any existing gender-responsive Nutrition programs in the country or region. </w:t>
      </w:r>
    </w:p>
    <w:p w:rsidR="00017862" w:rsidRDefault="00743062" w:rsidP="00695308">
      <w:pPr>
        <w:pStyle w:val="ListParagraph"/>
        <w:numPr>
          <w:ilvl w:val="0"/>
          <w:numId w:val="52"/>
        </w:numPr>
        <w:spacing w:after="0" w:line="240" w:lineRule="auto"/>
        <w:ind w:left="1440"/>
        <w:rPr>
          <w:rFonts w:asciiTheme="majorBidi" w:hAnsiTheme="majorBidi" w:cstheme="majorBidi"/>
          <w:color w:val="000000"/>
          <w:sz w:val="24"/>
          <w:szCs w:val="24"/>
        </w:rPr>
      </w:pPr>
      <w:r w:rsidRPr="00017862">
        <w:rPr>
          <w:rFonts w:asciiTheme="majorBidi" w:hAnsiTheme="majorBidi" w:cstheme="majorBidi"/>
          <w:color w:val="000000"/>
          <w:sz w:val="24"/>
          <w:szCs w:val="24"/>
        </w:rPr>
        <w:lastRenderedPageBreak/>
        <w:t>Any evaluation of Nutrition programs that included an assessment of equity, including gender dimensions.</w:t>
      </w:r>
    </w:p>
    <w:p w:rsidR="00743062" w:rsidRPr="00017862" w:rsidRDefault="00743062" w:rsidP="00695308">
      <w:pPr>
        <w:pStyle w:val="ListParagraph"/>
        <w:numPr>
          <w:ilvl w:val="0"/>
          <w:numId w:val="52"/>
        </w:numPr>
        <w:spacing w:after="0" w:line="240" w:lineRule="auto"/>
        <w:ind w:left="1440"/>
        <w:rPr>
          <w:rFonts w:asciiTheme="majorBidi" w:hAnsiTheme="majorBidi" w:cstheme="majorBidi"/>
          <w:color w:val="000000"/>
          <w:sz w:val="24"/>
          <w:szCs w:val="24"/>
        </w:rPr>
      </w:pPr>
      <w:r w:rsidRPr="00017862">
        <w:rPr>
          <w:rFonts w:asciiTheme="majorBidi" w:hAnsiTheme="majorBidi" w:cstheme="majorBidi"/>
          <w:color w:val="000000"/>
          <w:sz w:val="24"/>
          <w:szCs w:val="24"/>
        </w:rPr>
        <w:t>Population assessments with SADD such as MICS, DHS and SMART nutrition surveys</w:t>
      </w:r>
    </w:p>
    <w:p w:rsidR="00743062" w:rsidRPr="002174AD" w:rsidRDefault="00743062" w:rsidP="00695308">
      <w:pPr>
        <w:pStyle w:val="ListParagraph"/>
        <w:numPr>
          <w:ilvl w:val="0"/>
          <w:numId w:val="23"/>
        </w:numPr>
        <w:spacing w:after="0" w:line="240" w:lineRule="auto"/>
        <w:rPr>
          <w:rFonts w:asciiTheme="majorBidi" w:hAnsiTheme="majorBidi" w:cstheme="majorBidi"/>
          <w:color w:val="000000"/>
          <w:sz w:val="24"/>
          <w:szCs w:val="24"/>
        </w:rPr>
      </w:pPr>
      <w:r w:rsidRPr="002174AD">
        <w:rPr>
          <w:rFonts w:asciiTheme="majorBidi" w:hAnsiTheme="majorBidi" w:cstheme="majorBidi"/>
          <w:color w:val="000000"/>
          <w:sz w:val="24"/>
          <w:szCs w:val="24"/>
        </w:rPr>
        <w:t>Sex and Age Desegregated Data (SADD)</w:t>
      </w:r>
      <w:r w:rsidR="0098173A">
        <w:rPr>
          <w:rFonts w:asciiTheme="majorBidi" w:hAnsiTheme="majorBidi" w:cstheme="majorBidi"/>
          <w:color w:val="000000"/>
          <w:sz w:val="24"/>
          <w:szCs w:val="24"/>
        </w:rPr>
        <w:t>- slide 43</w:t>
      </w:r>
    </w:p>
    <w:p w:rsidR="00BC5852" w:rsidRPr="00743062" w:rsidRDefault="00743062" w:rsidP="00695308">
      <w:pPr>
        <w:pStyle w:val="ListParagraph"/>
        <w:numPr>
          <w:ilvl w:val="0"/>
          <w:numId w:val="26"/>
        </w:numPr>
        <w:spacing w:after="0" w:line="240" w:lineRule="auto"/>
        <w:ind w:left="1440"/>
        <w:rPr>
          <w:rFonts w:asciiTheme="majorBidi" w:hAnsiTheme="majorBidi" w:cstheme="majorBidi"/>
          <w:color w:val="000000"/>
          <w:sz w:val="24"/>
          <w:szCs w:val="24"/>
        </w:rPr>
      </w:pPr>
      <w:r>
        <w:rPr>
          <w:rFonts w:asciiTheme="majorBidi" w:hAnsiTheme="majorBidi" w:cstheme="majorBidi"/>
          <w:color w:val="000000"/>
          <w:sz w:val="24"/>
          <w:szCs w:val="24"/>
        </w:rPr>
        <w:t>Emphasize that the value of SADD is that it can tell</w:t>
      </w:r>
      <w:r w:rsidR="00BC5852" w:rsidRPr="00743062">
        <w:rPr>
          <w:rFonts w:asciiTheme="majorBidi" w:hAnsiTheme="majorBidi" w:cstheme="majorBidi"/>
          <w:color w:val="000000"/>
          <w:sz w:val="24"/>
          <w:szCs w:val="24"/>
        </w:rPr>
        <w:t xml:space="preserve"> which population groups are more vulnerable to nutrition issues and have less access to nutrition services</w:t>
      </w:r>
    </w:p>
    <w:p w:rsidR="00743062" w:rsidRDefault="00743062" w:rsidP="00695308">
      <w:pPr>
        <w:pStyle w:val="ListParagraph"/>
        <w:numPr>
          <w:ilvl w:val="0"/>
          <w:numId w:val="26"/>
        </w:numPr>
        <w:spacing w:after="0" w:line="240" w:lineRule="auto"/>
        <w:ind w:left="1440"/>
        <w:rPr>
          <w:rFonts w:asciiTheme="majorBidi" w:hAnsiTheme="majorBidi" w:cstheme="majorBidi"/>
          <w:color w:val="000000"/>
          <w:sz w:val="24"/>
          <w:szCs w:val="24"/>
        </w:rPr>
      </w:pPr>
      <w:r w:rsidRPr="00743062">
        <w:rPr>
          <w:rFonts w:asciiTheme="majorBidi" w:hAnsiTheme="majorBidi" w:cstheme="majorBidi"/>
          <w:color w:val="000000"/>
          <w:sz w:val="24"/>
          <w:szCs w:val="24"/>
        </w:rPr>
        <w:t xml:space="preserve">Sex- and Age- Disaggregated Data (SADD) are a core component of any gender analysis and essential for monitoring and measuring outcomes. </w:t>
      </w:r>
    </w:p>
    <w:p w:rsidR="00743062" w:rsidRDefault="00743062" w:rsidP="00695308">
      <w:pPr>
        <w:pStyle w:val="ListParagraph"/>
        <w:numPr>
          <w:ilvl w:val="0"/>
          <w:numId w:val="26"/>
        </w:numPr>
        <w:spacing w:after="0" w:line="240" w:lineRule="auto"/>
        <w:ind w:left="1440"/>
        <w:rPr>
          <w:rFonts w:asciiTheme="majorBidi" w:hAnsiTheme="majorBidi" w:cstheme="majorBidi"/>
          <w:color w:val="000000"/>
          <w:sz w:val="24"/>
          <w:szCs w:val="24"/>
        </w:rPr>
      </w:pPr>
      <w:r w:rsidRPr="00743062">
        <w:rPr>
          <w:rFonts w:asciiTheme="majorBidi" w:hAnsiTheme="majorBidi" w:cstheme="majorBidi"/>
          <w:color w:val="000000"/>
          <w:sz w:val="24"/>
          <w:szCs w:val="24"/>
        </w:rPr>
        <w:t xml:space="preserve">To be effective, SADD must be both collected and analyzed to inform programming. </w:t>
      </w:r>
    </w:p>
    <w:p w:rsidR="00743062" w:rsidRDefault="00743062" w:rsidP="00695308">
      <w:pPr>
        <w:pStyle w:val="ListParagraph"/>
        <w:numPr>
          <w:ilvl w:val="0"/>
          <w:numId w:val="26"/>
        </w:numPr>
        <w:spacing w:after="0" w:line="240" w:lineRule="auto"/>
        <w:ind w:left="1440"/>
        <w:rPr>
          <w:rFonts w:asciiTheme="majorBidi" w:hAnsiTheme="majorBidi" w:cstheme="majorBidi"/>
          <w:color w:val="000000"/>
          <w:sz w:val="24"/>
          <w:szCs w:val="24"/>
        </w:rPr>
      </w:pPr>
      <w:r w:rsidRPr="00743062">
        <w:rPr>
          <w:rFonts w:asciiTheme="majorBidi" w:hAnsiTheme="majorBidi" w:cstheme="majorBidi"/>
          <w:color w:val="000000"/>
          <w:sz w:val="24"/>
          <w:szCs w:val="24"/>
        </w:rPr>
        <w:t xml:space="preserve">In circumstances where collection of SADD is difficult, estimates can be provided based on national and international statistics, data gathered by other humanitarian and development actors or through small sample surveys. </w:t>
      </w:r>
    </w:p>
    <w:p w:rsidR="00743062" w:rsidRDefault="00743062" w:rsidP="00695308">
      <w:pPr>
        <w:pStyle w:val="ListParagraph"/>
        <w:numPr>
          <w:ilvl w:val="0"/>
          <w:numId w:val="26"/>
        </w:numPr>
        <w:spacing w:after="0" w:line="240" w:lineRule="auto"/>
        <w:ind w:left="1440"/>
        <w:rPr>
          <w:rFonts w:asciiTheme="majorBidi" w:hAnsiTheme="majorBidi" w:cstheme="majorBidi"/>
          <w:color w:val="000000"/>
          <w:sz w:val="24"/>
          <w:szCs w:val="24"/>
        </w:rPr>
      </w:pPr>
      <w:r w:rsidRPr="00743062">
        <w:rPr>
          <w:rFonts w:asciiTheme="majorBidi" w:hAnsiTheme="majorBidi" w:cstheme="majorBidi"/>
          <w:color w:val="000000"/>
          <w:sz w:val="24"/>
          <w:szCs w:val="24"/>
        </w:rPr>
        <w:t>Data should be disaggregated by gender and age, at user level e.g. 0-6 months, but also disaggregate by the gender and age of the head of households, age and gender of the care takers so that it tells which population groups are more vulnerable to nutrition issues and have less access to nutrition services.</w:t>
      </w:r>
    </w:p>
    <w:p w:rsidR="00743062" w:rsidRDefault="00743062" w:rsidP="00695308">
      <w:pPr>
        <w:pStyle w:val="ListParagraph"/>
        <w:numPr>
          <w:ilvl w:val="0"/>
          <w:numId w:val="26"/>
        </w:numPr>
        <w:spacing w:after="0" w:line="240" w:lineRule="auto"/>
        <w:ind w:left="1440"/>
        <w:rPr>
          <w:rFonts w:asciiTheme="majorBidi" w:hAnsiTheme="majorBidi" w:cstheme="majorBidi"/>
          <w:color w:val="000000"/>
          <w:sz w:val="24"/>
          <w:szCs w:val="24"/>
        </w:rPr>
      </w:pPr>
      <w:r w:rsidRPr="00743062">
        <w:rPr>
          <w:rFonts w:asciiTheme="majorBidi" w:hAnsiTheme="majorBidi" w:cstheme="majorBidi"/>
          <w:color w:val="000000"/>
          <w:sz w:val="24"/>
          <w:szCs w:val="24"/>
        </w:rPr>
        <w:t xml:space="preserve"> A number of nutrition information systems/data streams have SADD including nutrition surveys/surveillance/rapid assessments based on SMART methodology and, in some instances, routine health data (such as OTP/SFP admissions and/or OTP/SFP performance indicators).</w:t>
      </w:r>
    </w:p>
    <w:p w:rsidR="003C41CB" w:rsidRPr="002174AD" w:rsidRDefault="003C41CB" w:rsidP="00695308">
      <w:pPr>
        <w:pStyle w:val="ListParagraph"/>
        <w:numPr>
          <w:ilvl w:val="0"/>
          <w:numId w:val="23"/>
        </w:numPr>
        <w:spacing w:after="0" w:line="240" w:lineRule="auto"/>
        <w:rPr>
          <w:rFonts w:asciiTheme="majorBidi" w:hAnsiTheme="majorBidi" w:cstheme="majorBidi"/>
          <w:color w:val="000000"/>
          <w:sz w:val="24"/>
          <w:szCs w:val="24"/>
        </w:rPr>
      </w:pPr>
      <w:r w:rsidRPr="002174AD">
        <w:rPr>
          <w:rFonts w:asciiTheme="majorBidi" w:hAnsiTheme="majorBidi" w:cstheme="majorBidi"/>
          <w:color w:val="000000"/>
          <w:sz w:val="24"/>
          <w:szCs w:val="24"/>
        </w:rPr>
        <w:t>Example of Analyzing existing data</w:t>
      </w:r>
      <w:r w:rsidR="0098173A">
        <w:rPr>
          <w:rFonts w:asciiTheme="majorBidi" w:hAnsiTheme="majorBidi" w:cstheme="majorBidi"/>
          <w:color w:val="000000"/>
          <w:sz w:val="24"/>
          <w:szCs w:val="24"/>
        </w:rPr>
        <w:t>- slide 44</w:t>
      </w:r>
    </w:p>
    <w:p w:rsidR="008363C7" w:rsidRDefault="00900642" w:rsidP="00695308">
      <w:pPr>
        <w:pStyle w:val="ListParagraph"/>
        <w:numPr>
          <w:ilvl w:val="0"/>
          <w:numId w:val="27"/>
        </w:numPr>
        <w:spacing w:after="0" w:line="240" w:lineRule="auto"/>
        <w:ind w:left="1440"/>
        <w:rPr>
          <w:rFonts w:asciiTheme="majorBidi" w:hAnsiTheme="majorBidi" w:cstheme="majorBidi"/>
          <w:color w:val="000000"/>
          <w:sz w:val="24"/>
          <w:szCs w:val="24"/>
        </w:rPr>
      </w:pPr>
      <w:r w:rsidRPr="00900642">
        <w:rPr>
          <w:rFonts w:asciiTheme="majorBidi" w:hAnsiTheme="majorBidi" w:cstheme="majorBidi"/>
          <w:color w:val="000000"/>
          <w:sz w:val="24"/>
          <w:szCs w:val="24"/>
        </w:rPr>
        <w:t>In a recent article published by ACF, a meta-analysis was recently conducted on 27 Link NCAs to assess the influence of women’s social status in the pathways to undernutrition. The result showed – among other findings- that the heavy workload of women is spontaneously and strongly identified by communities as one of the most important contributors to child undernutrition</w:t>
      </w:r>
      <w:r w:rsidR="008363C7">
        <w:rPr>
          <w:rFonts w:asciiTheme="majorBidi" w:hAnsiTheme="majorBidi" w:cstheme="majorBidi"/>
          <w:color w:val="000000"/>
          <w:sz w:val="24"/>
          <w:szCs w:val="24"/>
        </w:rPr>
        <w:t>.</w:t>
      </w:r>
    </w:p>
    <w:p w:rsidR="008363C7" w:rsidRDefault="0059088D" w:rsidP="00695308">
      <w:pPr>
        <w:pStyle w:val="ListParagraph"/>
        <w:numPr>
          <w:ilvl w:val="0"/>
          <w:numId w:val="23"/>
        </w:num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Explain Step 2 -</w:t>
      </w:r>
      <w:r w:rsidR="008363C7" w:rsidRPr="002174AD">
        <w:rPr>
          <w:rFonts w:asciiTheme="majorBidi" w:hAnsiTheme="majorBidi" w:cstheme="majorBidi"/>
          <w:color w:val="000000"/>
          <w:sz w:val="24"/>
          <w:szCs w:val="24"/>
        </w:rPr>
        <w:t>collecting data</w:t>
      </w:r>
      <w:r w:rsidR="0098173A">
        <w:rPr>
          <w:rFonts w:asciiTheme="majorBidi" w:hAnsiTheme="majorBidi" w:cstheme="majorBidi"/>
          <w:color w:val="000000"/>
          <w:sz w:val="24"/>
          <w:szCs w:val="24"/>
        </w:rPr>
        <w:t xml:space="preserve"> using slides 45- 50</w:t>
      </w:r>
      <w:r w:rsidR="008363C7">
        <w:rPr>
          <w:rFonts w:asciiTheme="majorBidi" w:hAnsiTheme="majorBidi" w:cstheme="majorBidi"/>
          <w:color w:val="000000"/>
          <w:sz w:val="24"/>
          <w:szCs w:val="24"/>
        </w:rPr>
        <w:t xml:space="preserve">: </w:t>
      </w:r>
      <w:r w:rsidR="008363C7" w:rsidRPr="008363C7">
        <w:rPr>
          <w:rFonts w:asciiTheme="majorBidi" w:hAnsiTheme="majorBidi" w:cstheme="majorBidi"/>
          <w:color w:val="000000"/>
          <w:sz w:val="24"/>
          <w:szCs w:val="24"/>
        </w:rPr>
        <w:t>If any information is missing from the literature review start collecting the missing information through informational interviews and focused group discussions</w:t>
      </w:r>
      <w:r w:rsidR="008363C7">
        <w:rPr>
          <w:rFonts w:asciiTheme="majorBidi" w:hAnsiTheme="majorBidi" w:cstheme="majorBidi"/>
          <w:color w:val="000000"/>
          <w:sz w:val="24"/>
          <w:szCs w:val="24"/>
        </w:rPr>
        <w:t>.</w:t>
      </w:r>
    </w:p>
    <w:p w:rsidR="008363C7" w:rsidRDefault="008363C7" w:rsidP="00695308">
      <w:pPr>
        <w:pStyle w:val="ListParagraph"/>
        <w:numPr>
          <w:ilvl w:val="0"/>
          <w:numId w:val="27"/>
        </w:numPr>
        <w:spacing w:after="0" w:line="240" w:lineRule="auto"/>
        <w:ind w:left="1440"/>
        <w:rPr>
          <w:rFonts w:asciiTheme="majorBidi" w:hAnsiTheme="majorBidi" w:cstheme="majorBidi"/>
          <w:color w:val="000000"/>
          <w:sz w:val="24"/>
          <w:szCs w:val="24"/>
        </w:rPr>
      </w:pPr>
      <w:r w:rsidRPr="008363C7">
        <w:rPr>
          <w:rFonts w:asciiTheme="majorBidi" w:hAnsiTheme="majorBidi" w:cstheme="majorBidi"/>
          <w:color w:val="000000"/>
          <w:sz w:val="24"/>
          <w:szCs w:val="24"/>
        </w:rPr>
        <w:t xml:space="preserve">Use the Availability, Accessibility, Acceptability, Quality (AAAQ) framework for identifying and analyzing barriers to services that may not be immediately apparent.  </w:t>
      </w:r>
    </w:p>
    <w:p w:rsidR="008363C7" w:rsidRDefault="008363C7" w:rsidP="00695308">
      <w:pPr>
        <w:pStyle w:val="ListParagraph"/>
        <w:numPr>
          <w:ilvl w:val="0"/>
          <w:numId w:val="27"/>
        </w:numPr>
        <w:spacing w:after="0" w:line="240" w:lineRule="auto"/>
        <w:ind w:left="1440"/>
        <w:rPr>
          <w:rFonts w:asciiTheme="majorBidi" w:hAnsiTheme="majorBidi" w:cstheme="majorBidi"/>
          <w:color w:val="000000"/>
          <w:sz w:val="24"/>
          <w:szCs w:val="24"/>
        </w:rPr>
      </w:pPr>
      <w:r w:rsidRPr="008363C7">
        <w:rPr>
          <w:rFonts w:asciiTheme="majorBidi" w:hAnsiTheme="majorBidi" w:cstheme="majorBidi"/>
          <w:color w:val="000000"/>
          <w:sz w:val="24"/>
          <w:szCs w:val="24"/>
        </w:rPr>
        <w:t>Collected data should always be desegregated by gender and age</w:t>
      </w:r>
    </w:p>
    <w:p w:rsidR="002174AD" w:rsidRDefault="008363C7" w:rsidP="00695308">
      <w:pPr>
        <w:pStyle w:val="ListParagraph"/>
        <w:numPr>
          <w:ilvl w:val="0"/>
          <w:numId w:val="23"/>
        </w:numPr>
        <w:spacing w:after="0" w:line="240" w:lineRule="auto"/>
        <w:rPr>
          <w:rFonts w:asciiTheme="majorBidi" w:hAnsiTheme="majorBidi" w:cstheme="majorBidi"/>
          <w:color w:val="000000"/>
          <w:sz w:val="24"/>
          <w:szCs w:val="24"/>
        </w:rPr>
      </w:pPr>
      <w:r w:rsidRPr="002174AD">
        <w:rPr>
          <w:rFonts w:asciiTheme="majorBidi" w:hAnsiTheme="majorBidi" w:cstheme="majorBidi"/>
          <w:color w:val="000000"/>
          <w:sz w:val="24"/>
          <w:szCs w:val="24"/>
        </w:rPr>
        <w:t>Exercise</w:t>
      </w:r>
      <w:r w:rsidR="0098173A">
        <w:rPr>
          <w:rFonts w:asciiTheme="majorBidi" w:hAnsiTheme="majorBidi" w:cstheme="majorBidi"/>
          <w:color w:val="000000"/>
          <w:sz w:val="24"/>
          <w:szCs w:val="24"/>
        </w:rPr>
        <w:t>- slide 46</w:t>
      </w:r>
      <w:r w:rsidRPr="002174AD">
        <w:rPr>
          <w:rFonts w:asciiTheme="majorBidi" w:hAnsiTheme="majorBidi" w:cstheme="majorBidi"/>
          <w:color w:val="000000"/>
          <w:sz w:val="24"/>
          <w:szCs w:val="24"/>
        </w:rPr>
        <w:t xml:space="preserve">: Ask the participants in small groups to select one service that they provide or know well and review the service using the AAAQ framework. </w:t>
      </w:r>
      <w:r w:rsidR="00950F72">
        <w:rPr>
          <w:rFonts w:asciiTheme="majorBidi" w:hAnsiTheme="majorBidi" w:cstheme="majorBidi"/>
          <w:color w:val="000000"/>
          <w:sz w:val="24"/>
          <w:szCs w:val="24"/>
        </w:rPr>
        <w:t xml:space="preserve">Explain that they need to go through each of the components of the framework and question if it applies to the service that they are reviewing and highlight the gaps. </w:t>
      </w:r>
      <w:r w:rsidRPr="002174AD">
        <w:rPr>
          <w:rFonts w:asciiTheme="majorBidi" w:hAnsiTheme="majorBidi" w:cstheme="majorBidi"/>
          <w:color w:val="000000"/>
          <w:sz w:val="24"/>
          <w:szCs w:val="24"/>
        </w:rPr>
        <w:t>Allow brief presentations and highlight that one of the methods to collect gender and GBV data related to the nutrition programs is through using the AAAQ framework because it generates information about how the services are being designed to be gender and GBV responsive.</w:t>
      </w:r>
    </w:p>
    <w:p w:rsidR="002174AD" w:rsidRDefault="00F15790" w:rsidP="00695308">
      <w:pPr>
        <w:pStyle w:val="ListParagraph"/>
        <w:numPr>
          <w:ilvl w:val="0"/>
          <w:numId w:val="23"/>
        </w:numPr>
        <w:spacing w:after="0" w:line="240" w:lineRule="auto"/>
        <w:rPr>
          <w:rFonts w:asciiTheme="majorBidi" w:hAnsiTheme="majorBidi" w:cstheme="majorBidi"/>
          <w:color w:val="000000"/>
          <w:sz w:val="24"/>
          <w:szCs w:val="24"/>
        </w:rPr>
      </w:pPr>
      <w:r w:rsidRPr="002174AD">
        <w:rPr>
          <w:rFonts w:asciiTheme="majorBidi" w:hAnsiTheme="majorBidi" w:cstheme="majorBidi"/>
          <w:color w:val="000000"/>
          <w:sz w:val="24"/>
          <w:szCs w:val="24"/>
        </w:rPr>
        <w:t>Explain</w:t>
      </w:r>
      <w:r w:rsidR="0098173A">
        <w:rPr>
          <w:rFonts w:asciiTheme="majorBidi" w:hAnsiTheme="majorBidi" w:cstheme="majorBidi"/>
          <w:color w:val="000000"/>
          <w:sz w:val="24"/>
          <w:szCs w:val="24"/>
        </w:rPr>
        <w:t xml:space="preserve"> from slide 48</w:t>
      </w:r>
      <w:r w:rsidRPr="002174AD">
        <w:rPr>
          <w:rFonts w:asciiTheme="majorBidi" w:hAnsiTheme="majorBidi" w:cstheme="majorBidi"/>
          <w:color w:val="000000"/>
          <w:sz w:val="24"/>
          <w:szCs w:val="24"/>
        </w:rPr>
        <w:t xml:space="preserve"> that in addition, there are several questions that can be used to assess GBV risks.</w:t>
      </w:r>
    </w:p>
    <w:p w:rsidR="002174AD" w:rsidRDefault="00F15790" w:rsidP="00695308">
      <w:pPr>
        <w:pStyle w:val="ListParagraph"/>
        <w:numPr>
          <w:ilvl w:val="0"/>
          <w:numId w:val="23"/>
        </w:numPr>
        <w:spacing w:after="0" w:line="240" w:lineRule="auto"/>
        <w:rPr>
          <w:rFonts w:asciiTheme="majorBidi" w:hAnsiTheme="majorBidi" w:cstheme="majorBidi"/>
          <w:color w:val="000000"/>
          <w:sz w:val="24"/>
          <w:szCs w:val="24"/>
        </w:rPr>
      </w:pPr>
      <w:r w:rsidRPr="002174AD">
        <w:rPr>
          <w:rFonts w:asciiTheme="majorBidi" w:hAnsiTheme="majorBidi" w:cstheme="majorBidi"/>
          <w:color w:val="000000"/>
          <w:sz w:val="24"/>
          <w:szCs w:val="24"/>
        </w:rPr>
        <w:lastRenderedPageBreak/>
        <w:t xml:space="preserve">Distribute the GBV guidelines- nutrition thematic guide </w:t>
      </w:r>
      <w:r w:rsidR="002174AD">
        <w:rPr>
          <w:rFonts w:asciiTheme="majorBidi" w:hAnsiTheme="majorBidi" w:cstheme="majorBidi"/>
          <w:color w:val="000000"/>
          <w:sz w:val="24"/>
          <w:szCs w:val="24"/>
        </w:rPr>
        <w:t xml:space="preserve">and guide the participants to assessment section </w:t>
      </w:r>
      <w:r w:rsidRPr="002174AD">
        <w:rPr>
          <w:rFonts w:asciiTheme="majorBidi" w:hAnsiTheme="majorBidi" w:cstheme="majorBidi"/>
          <w:color w:val="000000"/>
          <w:sz w:val="24"/>
          <w:szCs w:val="24"/>
        </w:rPr>
        <w:t>and allow five minutes reading of the questions</w:t>
      </w:r>
    </w:p>
    <w:p w:rsidR="002174AD" w:rsidRDefault="0089399E" w:rsidP="00695308">
      <w:pPr>
        <w:pStyle w:val="ListParagraph"/>
        <w:numPr>
          <w:ilvl w:val="0"/>
          <w:numId w:val="23"/>
        </w:num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Explain and h</w:t>
      </w:r>
      <w:r w:rsidR="00F15790" w:rsidRPr="002174AD">
        <w:rPr>
          <w:rFonts w:asciiTheme="majorBidi" w:hAnsiTheme="majorBidi" w:cstheme="majorBidi"/>
          <w:color w:val="000000"/>
          <w:sz w:val="24"/>
          <w:szCs w:val="24"/>
        </w:rPr>
        <w:t>ighlight</w:t>
      </w:r>
      <w:r w:rsidR="007C25F4">
        <w:rPr>
          <w:rFonts w:asciiTheme="majorBidi" w:hAnsiTheme="majorBidi" w:cstheme="majorBidi"/>
          <w:color w:val="000000"/>
          <w:sz w:val="24"/>
          <w:szCs w:val="24"/>
        </w:rPr>
        <w:t xml:space="preserve"> from slide 49</w:t>
      </w:r>
      <w:r w:rsidR="00F15790" w:rsidRPr="002174AD">
        <w:rPr>
          <w:rFonts w:asciiTheme="majorBidi" w:hAnsiTheme="majorBidi" w:cstheme="majorBidi"/>
          <w:color w:val="000000"/>
          <w:sz w:val="24"/>
          <w:szCs w:val="24"/>
        </w:rPr>
        <w:t xml:space="preserve"> that during assessments </w:t>
      </w:r>
      <w:r w:rsidR="002174AD" w:rsidRPr="002174AD">
        <w:rPr>
          <w:rFonts w:asciiTheme="majorBidi" w:hAnsiTheme="majorBidi" w:cstheme="majorBidi"/>
          <w:color w:val="000000"/>
          <w:sz w:val="24"/>
          <w:szCs w:val="24"/>
        </w:rPr>
        <w:t>it’s</w:t>
      </w:r>
      <w:r w:rsidR="00F15790" w:rsidRPr="002174AD">
        <w:rPr>
          <w:rFonts w:asciiTheme="majorBidi" w:hAnsiTheme="majorBidi" w:cstheme="majorBidi"/>
          <w:color w:val="000000"/>
          <w:sz w:val="24"/>
          <w:szCs w:val="24"/>
        </w:rPr>
        <w:t xml:space="preserve"> very important to pay particular attention to women and girls as they often excluded from consultation. </w:t>
      </w:r>
    </w:p>
    <w:p w:rsidR="002174AD" w:rsidRDefault="00F15790" w:rsidP="00695308">
      <w:pPr>
        <w:pStyle w:val="ListParagraph"/>
        <w:numPr>
          <w:ilvl w:val="0"/>
          <w:numId w:val="23"/>
        </w:numPr>
        <w:spacing w:after="0" w:line="240" w:lineRule="auto"/>
        <w:rPr>
          <w:rFonts w:asciiTheme="majorBidi" w:hAnsiTheme="majorBidi" w:cstheme="majorBidi"/>
          <w:color w:val="000000"/>
          <w:sz w:val="24"/>
          <w:szCs w:val="24"/>
        </w:rPr>
      </w:pPr>
      <w:r w:rsidRPr="002174AD">
        <w:rPr>
          <w:rFonts w:asciiTheme="majorBidi" w:hAnsiTheme="majorBidi" w:cstheme="majorBidi"/>
          <w:color w:val="000000"/>
          <w:sz w:val="24"/>
          <w:szCs w:val="24"/>
        </w:rPr>
        <w:t>Talking to male community leaders, community groups largely represented by male do not means that their opinions are reflective of women and girls or other vulnerable groups.</w:t>
      </w:r>
    </w:p>
    <w:p w:rsidR="002174AD" w:rsidRDefault="00D66CFF" w:rsidP="00695308">
      <w:pPr>
        <w:pStyle w:val="ListParagraph"/>
        <w:numPr>
          <w:ilvl w:val="0"/>
          <w:numId w:val="23"/>
        </w:numPr>
        <w:spacing w:after="0" w:line="240" w:lineRule="auto"/>
        <w:rPr>
          <w:rFonts w:asciiTheme="majorBidi" w:hAnsiTheme="majorBidi" w:cstheme="majorBidi"/>
          <w:color w:val="000000"/>
          <w:sz w:val="24"/>
          <w:szCs w:val="24"/>
        </w:rPr>
      </w:pPr>
      <w:r w:rsidRPr="002174AD">
        <w:rPr>
          <w:rFonts w:asciiTheme="majorBidi" w:hAnsiTheme="majorBidi" w:cstheme="majorBidi"/>
          <w:color w:val="000000"/>
          <w:sz w:val="24"/>
          <w:szCs w:val="24"/>
        </w:rPr>
        <w:t xml:space="preserve">Participation of women and girls does not only mean that females are consulted but rather it is reaching out to the most vulnerable women and girls that often go un-noticed due to their limited access to services, isolation or certain social norms (e.g. identifying ways for female heads of households and married adolescent girls who may have limited mobility to join a focused group discussion). Meaningful participation also includes creating a space for consultations that is safe, confidential and secure based on social, gender, cultural and other norms and concerns </w:t>
      </w:r>
    </w:p>
    <w:p w:rsidR="00C52246" w:rsidRPr="002174AD" w:rsidRDefault="00C52246" w:rsidP="00695308">
      <w:pPr>
        <w:pStyle w:val="ListParagraph"/>
        <w:numPr>
          <w:ilvl w:val="0"/>
          <w:numId w:val="23"/>
        </w:numPr>
        <w:spacing w:after="0" w:line="240" w:lineRule="auto"/>
        <w:rPr>
          <w:rFonts w:asciiTheme="majorBidi" w:hAnsiTheme="majorBidi" w:cstheme="majorBidi"/>
          <w:color w:val="000000"/>
          <w:sz w:val="24"/>
          <w:szCs w:val="24"/>
        </w:rPr>
      </w:pPr>
      <w:r w:rsidRPr="002174AD">
        <w:rPr>
          <w:rFonts w:asciiTheme="majorBidi" w:hAnsiTheme="majorBidi" w:cstheme="majorBidi"/>
          <w:color w:val="000000"/>
          <w:sz w:val="24"/>
          <w:szCs w:val="24"/>
        </w:rPr>
        <w:t>Example of collecting data through routine assessments</w:t>
      </w:r>
      <w:r w:rsidR="007C25F4">
        <w:rPr>
          <w:rFonts w:asciiTheme="majorBidi" w:hAnsiTheme="majorBidi" w:cstheme="majorBidi"/>
          <w:color w:val="000000"/>
          <w:sz w:val="24"/>
          <w:szCs w:val="24"/>
        </w:rPr>
        <w:t>- slide 50</w:t>
      </w:r>
      <w:r w:rsidRPr="002174AD">
        <w:rPr>
          <w:rFonts w:asciiTheme="majorBidi" w:hAnsiTheme="majorBidi" w:cstheme="majorBidi"/>
          <w:color w:val="000000"/>
          <w:sz w:val="24"/>
          <w:szCs w:val="24"/>
        </w:rPr>
        <w:t>:</w:t>
      </w:r>
      <w:r w:rsidR="002174AD">
        <w:rPr>
          <w:rFonts w:asciiTheme="majorBidi" w:hAnsiTheme="majorBidi" w:cstheme="majorBidi"/>
          <w:color w:val="000000"/>
          <w:sz w:val="24"/>
          <w:szCs w:val="24"/>
        </w:rPr>
        <w:t xml:space="preserve"> </w:t>
      </w:r>
      <w:r w:rsidRPr="002174AD">
        <w:rPr>
          <w:rFonts w:asciiTheme="majorBidi" w:hAnsiTheme="majorBidi" w:cstheme="majorBidi"/>
          <w:color w:val="000000"/>
          <w:sz w:val="24"/>
          <w:szCs w:val="24"/>
        </w:rPr>
        <w:t xml:space="preserve">At the aim of ensuring systematic collection of data related to gender inequality and GBV through regular nutrition assessments. Action Against Hunger (ACF) has adapted the commonly used Knowledge, Attitudes and Practices (KAP) questionnaires and combined it with the breastfeeding Questionnaire and added questions around gender inequality and GBV to better understand gender roles, norms and responsibilities and GBV risks. Examples of questions that were added in the adapted tool include: </w:t>
      </w:r>
    </w:p>
    <w:p w:rsidR="002174AD" w:rsidRDefault="00C52246" w:rsidP="00695308">
      <w:pPr>
        <w:pStyle w:val="ListParagraph"/>
        <w:numPr>
          <w:ilvl w:val="0"/>
          <w:numId w:val="49"/>
        </w:numPr>
        <w:spacing w:after="0" w:line="240" w:lineRule="auto"/>
        <w:rPr>
          <w:rFonts w:asciiTheme="majorBidi" w:hAnsiTheme="majorBidi" w:cstheme="majorBidi"/>
          <w:color w:val="000000"/>
          <w:sz w:val="24"/>
          <w:szCs w:val="24"/>
        </w:rPr>
      </w:pPr>
      <w:r w:rsidRPr="002174AD">
        <w:rPr>
          <w:rFonts w:asciiTheme="majorBidi" w:hAnsiTheme="majorBidi" w:cstheme="majorBidi"/>
          <w:color w:val="000000"/>
          <w:sz w:val="24"/>
          <w:szCs w:val="24"/>
        </w:rPr>
        <w:t xml:space="preserve">Composition of household (by sex and age) </w:t>
      </w:r>
    </w:p>
    <w:p w:rsidR="002174AD" w:rsidRDefault="00C52246" w:rsidP="00695308">
      <w:pPr>
        <w:pStyle w:val="ListParagraph"/>
        <w:numPr>
          <w:ilvl w:val="0"/>
          <w:numId w:val="49"/>
        </w:numPr>
        <w:spacing w:after="0" w:line="240" w:lineRule="auto"/>
        <w:rPr>
          <w:rFonts w:asciiTheme="majorBidi" w:hAnsiTheme="majorBidi" w:cstheme="majorBidi"/>
          <w:color w:val="000000"/>
          <w:sz w:val="24"/>
          <w:szCs w:val="24"/>
        </w:rPr>
      </w:pPr>
      <w:r w:rsidRPr="002174AD">
        <w:rPr>
          <w:rFonts w:asciiTheme="majorBidi" w:hAnsiTheme="majorBidi" w:cstheme="majorBidi"/>
          <w:color w:val="000000"/>
          <w:sz w:val="24"/>
          <w:szCs w:val="24"/>
        </w:rPr>
        <w:t>The roles and responsibilities of women and men in the household</w:t>
      </w:r>
    </w:p>
    <w:p w:rsidR="002174AD" w:rsidRDefault="00C52246" w:rsidP="00695308">
      <w:pPr>
        <w:pStyle w:val="ListParagraph"/>
        <w:numPr>
          <w:ilvl w:val="0"/>
          <w:numId w:val="49"/>
        </w:numPr>
        <w:spacing w:after="0" w:line="240" w:lineRule="auto"/>
        <w:rPr>
          <w:rFonts w:asciiTheme="majorBidi" w:hAnsiTheme="majorBidi" w:cstheme="majorBidi"/>
          <w:color w:val="000000"/>
          <w:sz w:val="24"/>
          <w:szCs w:val="24"/>
        </w:rPr>
      </w:pPr>
      <w:r w:rsidRPr="002174AD">
        <w:rPr>
          <w:rFonts w:asciiTheme="majorBidi" w:hAnsiTheme="majorBidi" w:cstheme="majorBidi"/>
          <w:color w:val="000000"/>
          <w:sz w:val="24"/>
          <w:szCs w:val="24"/>
        </w:rPr>
        <w:t xml:space="preserve">Who has access and control over food resources </w:t>
      </w:r>
    </w:p>
    <w:p w:rsidR="002174AD" w:rsidRDefault="00C52246" w:rsidP="00695308">
      <w:pPr>
        <w:pStyle w:val="ListParagraph"/>
        <w:numPr>
          <w:ilvl w:val="0"/>
          <w:numId w:val="49"/>
        </w:numPr>
        <w:spacing w:after="0" w:line="240" w:lineRule="auto"/>
        <w:rPr>
          <w:rFonts w:asciiTheme="majorBidi" w:hAnsiTheme="majorBidi" w:cstheme="majorBidi"/>
          <w:color w:val="000000"/>
          <w:sz w:val="24"/>
          <w:szCs w:val="24"/>
        </w:rPr>
      </w:pPr>
      <w:r w:rsidRPr="002174AD">
        <w:rPr>
          <w:rFonts w:asciiTheme="majorBidi" w:hAnsiTheme="majorBidi" w:cstheme="majorBidi"/>
          <w:color w:val="000000"/>
          <w:sz w:val="24"/>
          <w:szCs w:val="24"/>
        </w:rPr>
        <w:t>Food taboos as well as who eats first and last in the household</w:t>
      </w:r>
    </w:p>
    <w:p w:rsidR="002174AD" w:rsidRDefault="00C52246" w:rsidP="00695308">
      <w:pPr>
        <w:pStyle w:val="ListParagraph"/>
        <w:numPr>
          <w:ilvl w:val="0"/>
          <w:numId w:val="49"/>
        </w:numPr>
        <w:spacing w:after="0" w:line="240" w:lineRule="auto"/>
        <w:rPr>
          <w:rFonts w:asciiTheme="majorBidi" w:hAnsiTheme="majorBidi" w:cstheme="majorBidi"/>
          <w:color w:val="000000"/>
          <w:sz w:val="24"/>
          <w:szCs w:val="24"/>
        </w:rPr>
      </w:pPr>
      <w:r w:rsidRPr="002174AD">
        <w:rPr>
          <w:rFonts w:asciiTheme="majorBidi" w:hAnsiTheme="majorBidi" w:cstheme="majorBidi"/>
          <w:color w:val="000000"/>
          <w:sz w:val="24"/>
          <w:szCs w:val="24"/>
        </w:rPr>
        <w:t>Knowledge of complications from GBV</w:t>
      </w:r>
    </w:p>
    <w:p w:rsidR="002174AD" w:rsidRDefault="00C52246" w:rsidP="00695308">
      <w:pPr>
        <w:pStyle w:val="ListParagraph"/>
        <w:numPr>
          <w:ilvl w:val="0"/>
          <w:numId w:val="49"/>
        </w:numPr>
        <w:spacing w:after="0" w:line="240" w:lineRule="auto"/>
        <w:rPr>
          <w:rFonts w:asciiTheme="majorBidi" w:hAnsiTheme="majorBidi" w:cstheme="majorBidi"/>
          <w:color w:val="000000"/>
          <w:sz w:val="24"/>
          <w:szCs w:val="24"/>
        </w:rPr>
      </w:pPr>
      <w:r w:rsidRPr="002174AD">
        <w:rPr>
          <w:rFonts w:asciiTheme="majorBidi" w:hAnsiTheme="majorBidi" w:cstheme="majorBidi"/>
          <w:color w:val="000000"/>
          <w:sz w:val="24"/>
          <w:szCs w:val="24"/>
        </w:rPr>
        <w:t>Existence of water management committees and women's role in water management and chores</w:t>
      </w:r>
    </w:p>
    <w:p w:rsidR="00C52246" w:rsidRDefault="00C52246" w:rsidP="00695308">
      <w:pPr>
        <w:pStyle w:val="ListParagraph"/>
        <w:numPr>
          <w:ilvl w:val="0"/>
          <w:numId w:val="50"/>
        </w:numPr>
        <w:spacing w:after="0" w:line="240" w:lineRule="auto"/>
        <w:ind w:left="720"/>
        <w:rPr>
          <w:rFonts w:asciiTheme="majorBidi" w:hAnsiTheme="majorBidi" w:cstheme="majorBidi"/>
          <w:color w:val="000000"/>
          <w:sz w:val="24"/>
          <w:szCs w:val="24"/>
        </w:rPr>
      </w:pPr>
      <w:r w:rsidRPr="00A8018B">
        <w:rPr>
          <w:rFonts w:asciiTheme="majorBidi" w:hAnsiTheme="majorBidi" w:cstheme="majorBidi"/>
          <w:color w:val="000000"/>
          <w:sz w:val="24"/>
          <w:szCs w:val="24"/>
        </w:rPr>
        <w:t>Exercise on the integration of gender/GBV questions into routine assessments</w:t>
      </w:r>
      <w:r w:rsidR="00F53854">
        <w:rPr>
          <w:rFonts w:asciiTheme="majorBidi" w:hAnsiTheme="majorBidi" w:cstheme="majorBidi"/>
          <w:color w:val="000000"/>
          <w:sz w:val="24"/>
          <w:szCs w:val="24"/>
        </w:rPr>
        <w:t>- slide 51</w:t>
      </w:r>
      <w:r w:rsidRPr="00A8018B">
        <w:rPr>
          <w:rFonts w:asciiTheme="majorBidi" w:hAnsiTheme="majorBidi" w:cstheme="majorBidi"/>
          <w:color w:val="000000"/>
          <w:sz w:val="24"/>
          <w:szCs w:val="24"/>
        </w:rPr>
        <w:t xml:space="preserve">: Ask participants to split into small groups. Distribute the nutrition questionnaire </w:t>
      </w:r>
      <w:r w:rsidR="00AC7676">
        <w:rPr>
          <w:rFonts w:asciiTheme="majorBidi" w:hAnsiTheme="majorBidi" w:cstheme="majorBidi"/>
          <w:color w:val="000000"/>
          <w:sz w:val="24"/>
          <w:szCs w:val="24"/>
        </w:rPr>
        <w:t>sample</w:t>
      </w:r>
      <w:r w:rsidRPr="00A8018B">
        <w:rPr>
          <w:rFonts w:asciiTheme="majorBidi" w:hAnsiTheme="majorBidi" w:cstheme="majorBidi"/>
          <w:color w:val="000000"/>
          <w:sz w:val="24"/>
          <w:szCs w:val="24"/>
        </w:rPr>
        <w:t xml:space="preserve">s and ask each group to </w:t>
      </w:r>
      <w:r w:rsidR="008A3388">
        <w:rPr>
          <w:rFonts w:asciiTheme="majorBidi" w:hAnsiTheme="majorBidi" w:cstheme="majorBidi"/>
          <w:color w:val="000000"/>
          <w:sz w:val="24"/>
          <w:szCs w:val="24"/>
        </w:rPr>
        <w:t xml:space="preserve">1) </w:t>
      </w:r>
      <w:r w:rsidRPr="00A8018B">
        <w:rPr>
          <w:rFonts w:asciiTheme="majorBidi" w:hAnsiTheme="majorBidi" w:cstheme="majorBidi"/>
          <w:color w:val="000000"/>
          <w:sz w:val="24"/>
          <w:szCs w:val="24"/>
        </w:rPr>
        <w:t>review the questions from the assess</w:t>
      </w:r>
      <w:r w:rsidR="008A3388">
        <w:rPr>
          <w:rFonts w:asciiTheme="majorBidi" w:hAnsiTheme="majorBidi" w:cstheme="majorBidi"/>
          <w:color w:val="000000"/>
          <w:sz w:val="24"/>
          <w:szCs w:val="24"/>
        </w:rPr>
        <w:t xml:space="preserve">ment section of the GBV guidelines- nutrition tag pages 41 &amp; 42 </w:t>
      </w:r>
      <w:r w:rsidRPr="00A8018B">
        <w:rPr>
          <w:rFonts w:asciiTheme="majorBidi" w:hAnsiTheme="majorBidi" w:cstheme="majorBidi"/>
          <w:color w:val="000000"/>
          <w:sz w:val="24"/>
          <w:szCs w:val="24"/>
        </w:rPr>
        <w:t xml:space="preserve">and </w:t>
      </w:r>
      <w:r w:rsidR="008A3388">
        <w:rPr>
          <w:rFonts w:asciiTheme="majorBidi" w:hAnsiTheme="majorBidi" w:cstheme="majorBidi"/>
          <w:color w:val="000000"/>
          <w:sz w:val="24"/>
          <w:szCs w:val="24"/>
        </w:rPr>
        <w:t xml:space="preserve">2) </w:t>
      </w:r>
      <w:r w:rsidRPr="00A8018B">
        <w:rPr>
          <w:rFonts w:asciiTheme="majorBidi" w:hAnsiTheme="majorBidi" w:cstheme="majorBidi"/>
          <w:color w:val="000000"/>
          <w:sz w:val="24"/>
          <w:szCs w:val="24"/>
        </w:rPr>
        <w:t xml:space="preserve">compare </w:t>
      </w:r>
      <w:r w:rsidR="008A3388">
        <w:rPr>
          <w:rFonts w:asciiTheme="majorBidi" w:hAnsiTheme="majorBidi" w:cstheme="majorBidi"/>
          <w:color w:val="000000"/>
          <w:sz w:val="24"/>
          <w:szCs w:val="24"/>
        </w:rPr>
        <w:t xml:space="preserve">the questions in the tag with the questionnaire at the aim of </w:t>
      </w:r>
      <w:r w:rsidRPr="00A8018B">
        <w:rPr>
          <w:rFonts w:asciiTheme="majorBidi" w:hAnsiTheme="majorBidi" w:cstheme="majorBidi"/>
          <w:color w:val="000000"/>
          <w:sz w:val="24"/>
          <w:szCs w:val="24"/>
        </w:rPr>
        <w:t>identify</w:t>
      </w:r>
      <w:r w:rsidR="006E5933">
        <w:rPr>
          <w:rFonts w:asciiTheme="majorBidi" w:hAnsiTheme="majorBidi" w:cstheme="majorBidi"/>
          <w:color w:val="000000"/>
          <w:sz w:val="24"/>
          <w:szCs w:val="24"/>
        </w:rPr>
        <w:t>ing</w:t>
      </w:r>
      <w:r w:rsidRPr="00A8018B">
        <w:rPr>
          <w:rFonts w:asciiTheme="majorBidi" w:hAnsiTheme="majorBidi" w:cstheme="majorBidi"/>
          <w:color w:val="000000"/>
          <w:sz w:val="24"/>
          <w:szCs w:val="24"/>
        </w:rPr>
        <w:t xml:space="preserve"> gender/GBV risks and considerations that are already integrated in the questionnaire as well as </w:t>
      </w:r>
      <w:r w:rsidR="006E5933">
        <w:rPr>
          <w:rFonts w:asciiTheme="majorBidi" w:hAnsiTheme="majorBidi" w:cstheme="majorBidi"/>
          <w:color w:val="000000"/>
          <w:sz w:val="24"/>
          <w:szCs w:val="24"/>
        </w:rPr>
        <w:t xml:space="preserve">highlighting </w:t>
      </w:r>
      <w:r w:rsidRPr="00A8018B">
        <w:rPr>
          <w:rFonts w:asciiTheme="majorBidi" w:hAnsiTheme="majorBidi" w:cstheme="majorBidi"/>
          <w:color w:val="000000"/>
          <w:sz w:val="24"/>
          <w:szCs w:val="24"/>
        </w:rPr>
        <w:t xml:space="preserve">the gaps and </w:t>
      </w:r>
      <w:r w:rsidR="006E5933">
        <w:rPr>
          <w:rFonts w:asciiTheme="majorBidi" w:hAnsiTheme="majorBidi" w:cstheme="majorBidi"/>
          <w:color w:val="000000"/>
          <w:sz w:val="24"/>
          <w:szCs w:val="24"/>
        </w:rPr>
        <w:t xml:space="preserve">3) </w:t>
      </w:r>
      <w:r w:rsidRPr="00A8018B">
        <w:rPr>
          <w:rFonts w:asciiTheme="majorBidi" w:hAnsiTheme="majorBidi" w:cstheme="majorBidi"/>
          <w:color w:val="000000"/>
          <w:sz w:val="24"/>
          <w:szCs w:val="24"/>
        </w:rPr>
        <w:t>propose few questions to be included</w:t>
      </w:r>
      <w:r w:rsidR="006E5933">
        <w:rPr>
          <w:rFonts w:asciiTheme="majorBidi" w:hAnsiTheme="majorBidi" w:cstheme="majorBidi"/>
          <w:color w:val="000000"/>
          <w:sz w:val="24"/>
          <w:szCs w:val="24"/>
        </w:rPr>
        <w:t xml:space="preserve"> in the questionnaire</w:t>
      </w:r>
      <w:r w:rsidRPr="00A8018B">
        <w:rPr>
          <w:rFonts w:asciiTheme="majorBidi" w:hAnsiTheme="majorBidi" w:cstheme="majorBidi"/>
          <w:color w:val="000000"/>
          <w:sz w:val="24"/>
          <w:szCs w:val="24"/>
        </w:rPr>
        <w:t xml:space="preserve"> that better address the potential GBV risks</w:t>
      </w:r>
      <w:r w:rsidR="00282C42" w:rsidRPr="00A8018B">
        <w:rPr>
          <w:rFonts w:asciiTheme="majorBidi" w:hAnsiTheme="majorBidi" w:cstheme="majorBidi"/>
          <w:color w:val="000000"/>
          <w:sz w:val="24"/>
          <w:szCs w:val="24"/>
        </w:rPr>
        <w:t>. Allow time for presentations and discussions.</w:t>
      </w:r>
      <w:r w:rsidR="008A3388">
        <w:rPr>
          <w:rFonts w:asciiTheme="majorBidi" w:hAnsiTheme="majorBidi" w:cstheme="majorBidi"/>
          <w:color w:val="000000"/>
          <w:sz w:val="24"/>
          <w:szCs w:val="24"/>
        </w:rPr>
        <w:t xml:space="preserve"> </w:t>
      </w:r>
    </w:p>
    <w:p w:rsidR="00A8018B" w:rsidRPr="00A8018B" w:rsidRDefault="00A8018B" w:rsidP="00A8018B">
      <w:pPr>
        <w:pStyle w:val="ListParagraph"/>
        <w:spacing w:after="0" w:line="240" w:lineRule="auto"/>
        <w:rPr>
          <w:rFonts w:asciiTheme="majorBidi" w:hAnsiTheme="majorBidi" w:cstheme="majorBidi"/>
          <w:color w:val="000000"/>
          <w:sz w:val="24"/>
          <w:szCs w:val="24"/>
        </w:rPr>
      </w:pPr>
    </w:p>
    <w:p w:rsidR="00282C42" w:rsidRPr="00A8018B" w:rsidRDefault="0089399E" w:rsidP="00695308">
      <w:pPr>
        <w:pStyle w:val="ListParagraph"/>
        <w:numPr>
          <w:ilvl w:val="0"/>
          <w:numId w:val="23"/>
        </w:numPr>
        <w:tabs>
          <w:tab w:val="left" w:pos="990"/>
        </w:tabs>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Explain Step 3-</w:t>
      </w:r>
      <w:r w:rsidR="00E40B61">
        <w:rPr>
          <w:rFonts w:asciiTheme="majorBidi" w:hAnsiTheme="majorBidi" w:cstheme="majorBidi"/>
          <w:color w:val="000000"/>
          <w:sz w:val="24"/>
          <w:szCs w:val="24"/>
        </w:rPr>
        <w:t xml:space="preserve"> a</w:t>
      </w:r>
      <w:r w:rsidR="00282C42" w:rsidRPr="00282C42">
        <w:rPr>
          <w:rFonts w:asciiTheme="majorBidi" w:hAnsiTheme="majorBidi" w:cstheme="majorBidi"/>
          <w:color w:val="000000"/>
          <w:sz w:val="24"/>
          <w:szCs w:val="24"/>
        </w:rPr>
        <w:t>nalyzing data and developing recommendations</w:t>
      </w:r>
      <w:r w:rsidR="00F53854">
        <w:rPr>
          <w:rFonts w:asciiTheme="majorBidi" w:hAnsiTheme="majorBidi" w:cstheme="majorBidi"/>
          <w:color w:val="000000"/>
          <w:sz w:val="24"/>
          <w:szCs w:val="24"/>
        </w:rPr>
        <w:t xml:space="preserve"> through slide 52</w:t>
      </w:r>
      <w:r w:rsidR="00A8018B">
        <w:rPr>
          <w:rFonts w:asciiTheme="majorBidi" w:hAnsiTheme="majorBidi" w:cstheme="majorBidi"/>
          <w:color w:val="000000"/>
          <w:sz w:val="24"/>
          <w:szCs w:val="24"/>
        </w:rPr>
        <w:t xml:space="preserve">: </w:t>
      </w:r>
      <w:r w:rsidR="00282C42" w:rsidRPr="00A8018B">
        <w:rPr>
          <w:rFonts w:asciiTheme="majorBidi" w:hAnsiTheme="majorBidi" w:cstheme="majorBidi"/>
          <w:color w:val="000000"/>
          <w:sz w:val="24"/>
          <w:szCs w:val="24"/>
        </w:rPr>
        <w:t>Analysis should follow the collection of gender information on the aspects of gender, age and diversity to develop an overview of nutrition issues in the affected area by age and gender.</w:t>
      </w:r>
    </w:p>
    <w:p w:rsidR="00D22C1B" w:rsidRDefault="0012123F" w:rsidP="00695308">
      <w:pPr>
        <w:pStyle w:val="ListParagraph"/>
        <w:numPr>
          <w:ilvl w:val="0"/>
          <w:numId w:val="29"/>
        </w:numPr>
        <w:tabs>
          <w:tab w:val="left" w:pos="990"/>
        </w:tabs>
        <w:spacing w:after="0" w:line="240" w:lineRule="auto"/>
        <w:ind w:left="1710"/>
        <w:rPr>
          <w:rFonts w:asciiTheme="majorBidi" w:hAnsiTheme="majorBidi" w:cstheme="majorBidi"/>
          <w:color w:val="000000"/>
          <w:sz w:val="24"/>
          <w:szCs w:val="24"/>
        </w:rPr>
      </w:pPr>
      <w:r>
        <w:rPr>
          <w:rFonts w:asciiTheme="majorBidi" w:hAnsiTheme="majorBidi" w:cstheme="majorBidi"/>
          <w:color w:val="000000"/>
          <w:sz w:val="24"/>
          <w:szCs w:val="24"/>
        </w:rPr>
        <w:t xml:space="preserve">Ensure the analysis of </w:t>
      </w:r>
      <w:r w:rsidR="00282C42" w:rsidRPr="00282C42">
        <w:rPr>
          <w:rFonts w:asciiTheme="majorBidi" w:hAnsiTheme="majorBidi" w:cstheme="majorBidi"/>
          <w:color w:val="000000"/>
          <w:sz w:val="24"/>
          <w:szCs w:val="24"/>
        </w:rPr>
        <w:t>SADD.</w:t>
      </w:r>
    </w:p>
    <w:p w:rsidR="00D22C1B" w:rsidRDefault="00282C42" w:rsidP="00695308">
      <w:pPr>
        <w:pStyle w:val="ListParagraph"/>
        <w:numPr>
          <w:ilvl w:val="0"/>
          <w:numId w:val="29"/>
        </w:numPr>
        <w:tabs>
          <w:tab w:val="left" w:pos="990"/>
        </w:tabs>
        <w:spacing w:after="0" w:line="240" w:lineRule="auto"/>
        <w:ind w:left="1710"/>
        <w:rPr>
          <w:rFonts w:asciiTheme="majorBidi" w:hAnsiTheme="majorBidi" w:cstheme="majorBidi"/>
          <w:color w:val="000000"/>
          <w:sz w:val="24"/>
          <w:szCs w:val="24"/>
        </w:rPr>
      </w:pPr>
      <w:r w:rsidRPr="00D22C1B">
        <w:rPr>
          <w:rFonts w:asciiTheme="majorBidi" w:hAnsiTheme="majorBidi" w:cstheme="majorBidi"/>
          <w:color w:val="000000"/>
          <w:sz w:val="24"/>
          <w:szCs w:val="24"/>
        </w:rPr>
        <w:t>Use the results of the analysis to do strategic planning</w:t>
      </w:r>
    </w:p>
    <w:p w:rsidR="00D22C1B" w:rsidRPr="00A8018B" w:rsidRDefault="00D22C1B" w:rsidP="00695308">
      <w:pPr>
        <w:pStyle w:val="ListParagraph"/>
        <w:numPr>
          <w:ilvl w:val="0"/>
          <w:numId w:val="23"/>
        </w:numPr>
        <w:tabs>
          <w:tab w:val="left" w:pos="990"/>
        </w:tabs>
        <w:spacing w:after="0" w:line="240" w:lineRule="auto"/>
        <w:rPr>
          <w:rFonts w:asciiTheme="majorBidi" w:hAnsiTheme="majorBidi" w:cstheme="majorBidi"/>
          <w:color w:val="000000"/>
          <w:sz w:val="24"/>
          <w:szCs w:val="24"/>
        </w:rPr>
      </w:pPr>
      <w:r w:rsidRPr="00A8018B">
        <w:rPr>
          <w:rFonts w:asciiTheme="majorBidi" w:hAnsiTheme="majorBidi" w:cstheme="majorBidi"/>
          <w:color w:val="000000"/>
          <w:sz w:val="24"/>
          <w:szCs w:val="24"/>
        </w:rPr>
        <w:t>Case study on analyzing data and developing recommendations</w:t>
      </w:r>
      <w:r w:rsidR="00F53854">
        <w:rPr>
          <w:rFonts w:asciiTheme="majorBidi" w:hAnsiTheme="majorBidi" w:cstheme="majorBidi"/>
          <w:color w:val="000000"/>
          <w:sz w:val="24"/>
          <w:szCs w:val="24"/>
        </w:rPr>
        <w:t>- slide 53</w:t>
      </w:r>
    </w:p>
    <w:p w:rsidR="00D22C1B" w:rsidRDefault="00D22C1B" w:rsidP="00695308">
      <w:pPr>
        <w:pStyle w:val="ListParagraph"/>
        <w:numPr>
          <w:ilvl w:val="0"/>
          <w:numId w:val="29"/>
        </w:numPr>
        <w:tabs>
          <w:tab w:val="left" w:pos="990"/>
        </w:tabs>
        <w:spacing w:after="0" w:line="240" w:lineRule="auto"/>
        <w:ind w:left="1710"/>
        <w:rPr>
          <w:rFonts w:asciiTheme="majorBidi" w:hAnsiTheme="majorBidi" w:cstheme="majorBidi"/>
          <w:color w:val="000000"/>
          <w:sz w:val="24"/>
          <w:szCs w:val="24"/>
        </w:rPr>
      </w:pPr>
      <w:r w:rsidRPr="00D22C1B">
        <w:rPr>
          <w:rFonts w:asciiTheme="majorBidi" w:hAnsiTheme="majorBidi" w:cstheme="majorBidi"/>
          <w:color w:val="000000"/>
          <w:sz w:val="24"/>
          <w:szCs w:val="24"/>
        </w:rPr>
        <w:t xml:space="preserve">Present briefly a key finding of a gender analysis done in Yemen in 2016 by OXFAM that revealed that in some places women can be reached directly with </w:t>
      </w:r>
      <w:r w:rsidRPr="00D22C1B">
        <w:rPr>
          <w:rFonts w:asciiTheme="majorBidi" w:hAnsiTheme="majorBidi" w:cstheme="majorBidi"/>
          <w:color w:val="000000"/>
          <w:sz w:val="24"/>
          <w:szCs w:val="24"/>
        </w:rPr>
        <w:lastRenderedPageBreak/>
        <w:t>humanitarian assistance, whilst in others aid is received through their male relatives. Challenges women face in accessing assistance, especially outside their communities, are even more acute for female-headed households, which comprise over 30% of displaced households in some areas.</w:t>
      </w:r>
    </w:p>
    <w:p w:rsidR="00D22C1B" w:rsidRDefault="00D22C1B" w:rsidP="00695308">
      <w:pPr>
        <w:pStyle w:val="ListParagraph"/>
        <w:numPr>
          <w:ilvl w:val="0"/>
          <w:numId w:val="29"/>
        </w:numPr>
        <w:tabs>
          <w:tab w:val="left" w:pos="990"/>
        </w:tabs>
        <w:spacing w:after="0" w:line="240" w:lineRule="auto"/>
        <w:ind w:left="1710"/>
        <w:rPr>
          <w:rFonts w:asciiTheme="majorBidi" w:hAnsiTheme="majorBidi" w:cstheme="majorBidi"/>
          <w:color w:val="000000"/>
          <w:sz w:val="24"/>
          <w:szCs w:val="24"/>
        </w:rPr>
      </w:pPr>
      <w:r w:rsidRPr="00D22C1B">
        <w:rPr>
          <w:rFonts w:asciiTheme="majorBidi" w:hAnsiTheme="majorBidi" w:cstheme="majorBidi"/>
          <w:color w:val="000000"/>
          <w:sz w:val="24"/>
          <w:szCs w:val="24"/>
        </w:rPr>
        <w:t>Ask participants to split into small groups and discuss potential implications of this finding in the nutrition programs in terms of reaching, targeting and nutrition outcomes.</w:t>
      </w:r>
    </w:p>
    <w:p w:rsidR="00D22C1B" w:rsidRDefault="00D22C1B" w:rsidP="00695308">
      <w:pPr>
        <w:pStyle w:val="ListParagraph"/>
        <w:numPr>
          <w:ilvl w:val="0"/>
          <w:numId w:val="29"/>
        </w:numPr>
        <w:tabs>
          <w:tab w:val="left" w:pos="990"/>
        </w:tabs>
        <w:spacing w:after="0" w:line="240" w:lineRule="auto"/>
        <w:ind w:left="1710"/>
        <w:rPr>
          <w:rFonts w:asciiTheme="majorBidi" w:hAnsiTheme="majorBidi" w:cstheme="majorBidi"/>
          <w:color w:val="000000"/>
          <w:sz w:val="24"/>
          <w:szCs w:val="24"/>
        </w:rPr>
      </w:pPr>
      <w:r w:rsidRPr="00D22C1B">
        <w:rPr>
          <w:rFonts w:asciiTheme="majorBidi" w:hAnsiTheme="majorBidi" w:cstheme="majorBidi"/>
          <w:color w:val="000000"/>
          <w:sz w:val="24"/>
          <w:szCs w:val="24"/>
        </w:rPr>
        <w:t>Instruct participants to highlight 2- 3 recommendations that need to be outlined in nutrition programs to ensure overcoming this barrier.</w:t>
      </w:r>
    </w:p>
    <w:p w:rsidR="001D5609" w:rsidRPr="001D5609" w:rsidRDefault="001D5609" w:rsidP="00695308">
      <w:pPr>
        <w:pStyle w:val="ListParagraph"/>
        <w:numPr>
          <w:ilvl w:val="0"/>
          <w:numId w:val="29"/>
        </w:numPr>
        <w:tabs>
          <w:tab w:val="left" w:pos="990"/>
        </w:tabs>
        <w:spacing w:after="0" w:line="240" w:lineRule="auto"/>
        <w:ind w:left="1710"/>
        <w:rPr>
          <w:rFonts w:asciiTheme="majorBidi" w:hAnsiTheme="majorBidi" w:cstheme="majorBidi"/>
          <w:color w:val="000000"/>
          <w:sz w:val="24"/>
          <w:szCs w:val="24"/>
        </w:rPr>
      </w:pPr>
      <w:r>
        <w:rPr>
          <w:rFonts w:asciiTheme="majorBidi" w:hAnsiTheme="majorBidi" w:cstheme="majorBidi"/>
          <w:color w:val="000000"/>
          <w:sz w:val="24"/>
          <w:szCs w:val="24"/>
        </w:rPr>
        <w:t xml:space="preserve">Ensure that participants formulate recommendations that are related to the </w:t>
      </w:r>
      <w:r w:rsidRPr="001D5609">
        <w:rPr>
          <w:rFonts w:asciiTheme="majorBidi" w:hAnsiTheme="majorBidi" w:cstheme="majorBidi"/>
          <w:color w:val="000000"/>
          <w:sz w:val="24"/>
          <w:szCs w:val="24"/>
        </w:rPr>
        <w:t>location</w:t>
      </w:r>
      <w:r>
        <w:rPr>
          <w:rFonts w:asciiTheme="majorBidi" w:hAnsiTheme="majorBidi" w:cstheme="majorBidi"/>
          <w:color w:val="000000"/>
          <w:sz w:val="24"/>
          <w:szCs w:val="24"/>
        </w:rPr>
        <w:t xml:space="preserve"> of the services</w:t>
      </w:r>
      <w:r w:rsidRPr="001D5609">
        <w:rPr>
          <w:rFonts w:asciiTheme="majorBidi" w:hAnsiTheme="majorBidi" w:cstheme="majorBidi"/>
          <w:color w:val="000000"/>
          <w:sz w:val="24"/>
          <w:szCs w:val="24"/>
        </w:rPr>
        <w:t xml:space="preserve"> and targeting to ensure equal access to services especially to the most vulnerable.</w:t>
      </w:r>
    </w:p>
    <w:p w:rsidR="00671992" w:rsidRDefault="009975EC" w:rsidP="00695308">
      <w:pPr>
        <w:pStyle w:val="ListParagraph"/>
        <w:numPr>
          <w:ilvl w:val="0"/>
          <w:numId w:val="23"/>
        </w:numPr>
        <w:tabs>
          <w:tab w:val="left" w:pos="990"/>
        </w:tabs>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Explain the e</w:t>
      </w:r>
      <w:r w:rsidR="00671992" w:rsidRPr="00671992">
        <w:rPr>
          <w:rFonts w:asciiTheme="majorBidi" w:hAnsiTheme="majorBidi" w:cstheme="majorBidi"/>
          <w:color w:val="000000"/>
          <w:sz w:val="24"/>
          <w:szCs w:val="24"/>
        </w:rPr>
        <w:t>thical and safety considerations in data collection</w:t>
      </w:r>
      <w:r w:rsidR="00161080">
        <w:rPr>
          <w:rFonts w:asciiTheme="majorBidi" w:hAnsiTheme="majorBidi" w:cstheme="majorBidi"/>
          <w:color w:val="000000"/>
          <w:sz w:val="24"/>
          <w:szCs w:val="24"/>
        </w:rPr>
        <w:t>- slides 54- 57</w:t>
      </w:r>
      <w:r w:rsidR="00671992">
        <w:rPr>
          <w:rFonts w:asciiTheme="majorBidi" w:hAnsiTheme="majorBidi" w:cstheme="majorBidi"/>
          <w:color w:val="000000"/>
          <w:sz w:val="24"/>
          <w:szCs w:val="24"/>
        </w:rPr>
        <w:t xml:space="preserve">: </w:t>
      </w:r>
      <w:r w:rsidR="00671992" w:rsidRPr="00671992">
        <w:rPr>
          <w:rFonts w:asciiTheme="majorBidi" w:hAnsiTheme="majorBidi" w:cstheme="majorBidi"/>
          <w:color w:val="000000"/>
          <w:sz w:val="24"/>
          <w:szCs w:val="24"/>
        </w:rPr>
        <w:t xml:space="preserve">Apply ethical and safety standards that are age-, gender-, and culturally sensitive and prioritize the well-being of all those engaged in the assessment process. </w:t>
      </w:r>
    </w:p>
    <w:p w:rsidR="00671992" w:rsidRDefault="00671992" w:rsidP="00695308">
      <w:pPr>
        <w:pStyle w:val="ListParagraph"/>
        <w:numPr>
          <w:ilvl w:val="0"/>
          <w:numId w:val="30"/>
        </w:numPr>
        <w:tabs>
          <w:tab w:val="left" w:pos="990"/>
        </w:tabs>
        <w:spacing w:after="0" w:line="240" w:lineRule="auto"/>
        <w:ind w:left="1350"/>
        <w:rPr>
          <w:rFonts w:asciiTheme="majorBidi" w:hAnsiTheme="majorBidi" w:cstheme="majorBidi"/>
          <w:color w:val="000000"/>
          <w:sz w:val="24"/>
          <w:szCs w:val="24"/>
        </w:rPr>
      </w:pPr>
      <w:r w:rsidRPr="00671992">
        <w:rPr>
          <w:rFonts w:asciiTheme="majorBidi" w:hAnsiTheme="majorBidi" w:cstheme="majorBidi"/>
          <w:color w:val="000000"/>
          <w:sz w:val="24"/>
          <w:szCs w:val="24"/>
        </w:rPr>
        <w:t xml:space="preserve">Design and undertake the data collection according to participatory processes that engage the entire community, and most particularly women, girls, and other at-risk groups. </w:t>
      </w:r>
    </w:p>
    <w:p w:rsidR="00671992" w:rsidRDefault="00671992" w:rsidP="00695308">
      <w:pPr>
        <w:pStyle w:val="ListParagraph"/>
        <w:numPr>
          <w:ilvl w:val="0"/>
          <w:numId w:val="30"/>
        </w:numPr>
        <w:tabs>
          <w:tab w:val="left" w:pos="990"/>
        </w:tabs>
        <w:spacing w:after="0" w:line="240" w:lineRule="auto"/>
        <w:ind w:left="1350"/>
        <w:rPr>
          <w:rFonts w:asciiTheme="majorBidi" w:hAnsiTheme="majorBidi" w:cstheme="majorBidi"/>
          <w:color w:val="000000"/>
          <w:sz w:val="24"/>
          <w:szCs w:val="24"/>
        </w:rPr>
      </w:pPr>
      <w:r w:rsidRPr="00671992">
        <w:rPr>
          <w:rFonts w:asciiTheme="majorBidi" w:hAnsiTheme="majorBidi" w:cstheme="majorBidi"/>
          <w:color w:val="000000"/>
          <w:sz w:val="24"/>
          <w:szCs w:val="24"/>
        </w:rPr>
        <w:t>Despite the fact that all at risk groups including women, girls and people living with disabilities should participate in assessments- ensure that you do not try to form groups from people who have common characteristics as this could potentially expose and stigmatize them. Example: GBV survivors, adolescents with physical disabilities</w:t>
      </w:r>
    </w:p>
    <w:p w:rsidR="00363608" w:rsidRPr="00363608" w:rsidRDefault="00363608" w:rsidP="00695308">
      <w:pPr>
        <w:pStyle w:val="ListParagraph"/>
        <w:numPr>
          <w:ilvl w:val="0"/>
          <w:numId w:val="30"/>
        </w:numPr>
        <w:tabs>
          <w:tab w:val="left" w:pos="990"/>
        </w:tabs>
        <w:spacing w:after="0" w:line="240" w:lineRule="auto"/>
        <w:ind w:left="1350"/>
        <w:rPr>
          <w:rFonts w:asciiTheme="majorBidi" w:hAnsiTheme="majorBidi" w:cstheme="majorBidi"/>
          <w:color w:val="000000"/>
          <w:sz w:val="24"/>
          <w:szCs w:val="24"/>
        </w:rPr>
      </w:pPr>
      <w:r w:rsidRPr="00363608">
        <w:rPr>
          <w:rFonts w:asciiTheme="majorBidi" w:hAnsiTheme="majorBidi" w:cstheme="majorBidi"/>
          <w:color w:val="000000"/>
          <w:sz w:val="24"/>
          <w:szCs w:val="24"/>
        </w:rPr>
        <w:t>Location – close to where women can easily access. Make use of existing forum i.e. WFS</w:t>
      </w:r>
    </w:p>
    <w:p w:rsidR="00363608" w:rsidRPr="00363608" w:rsidRDefault="00363608" w:rsidP="00695308">
      <w:pPr>
        <w:pStyle w:val="ListParagraph"/>
        <w:numPr>
          <w:ilvl w:val="0"/>
          <w:numId w:val="30"/>
        </w:numPr>
        <w:tabs>
          <w:tab w:val="left" w:pos="990"/>
        </w:tabs>
        <w:spacing w:after="0" w:line="240" w:lineRule="auto"/>
        <w:ind w:left="1350"/>
        <w:rPr>
          <w:rFonts w:asciiTheme="majorBidi" w:hAnsiTheme="majorBidi" w:cstheme="majorBidi"/>
          <w:color w:val="000000"/>
          <w:sz w:val="24"/>
          <w:szCs w:val="24"/>
        </w:rPr>
      </w:pPr>
      <w:r w:rsidRPr="00363608">
        <w:rPr>
          <w:rFonts w:asciiTheme="majorBidi" w:hAnsiTheme="majorBidi" w:cstheme="majorBidi"/>
          <w:color w:val="000000"/>
          <w:sz w:val="24"/>
          <w:szCs w:val="24"/>
        </w:rPr>
        <w:t xml:space="preserve">Timing – organize assessment during the time when women are least busy. For girls, make sure that the assessment will not have during school time. </w:t>
      </w:r>
    </w:p>
    <w:p w:rsidR="00363608" w:rsidRPr="00363608" w:rsidRDefault="00363608" w:rsidP="00695308">
      <w:pPr>
        <w:pStyle w:val="ListParagraph"/>
        <w:numPr>
          <w:ilvl w:val="0"/>
          <w:numId w:val="30"/>
        </w:numPr>
        <w:tabs>
          <w:tab w:val="left" w:pos="990"/>
        </w:tabs>
        <w:spacing w:after="0" w:line="240" w:lineRule="auto"/>
        <w:ind w:left="1350"/>
        <w:rPr>
          <w:rFonts w:asciiTheme="majorBidi" w:hAnsiTheme="majorBidi" w:cstheme="majorBidi"/>
          <w:color w:val="000000"/>
          <w:sz w:val="24"/>
          <w:szCs w:val="24"/>
        </w:rPr>
      </w:pPr>
      <w:r w:rsidRPr="00363608">
        <w:rPr>
          <w:rFonts w:asciiTheme="majorBidi" w:hAnsiTheme="majorBidi" w:cstheme="majorBidi"/>
          <w:color w:val="000000"/>
          <w:sz w:val="24"/>
          <w:szCs w:val="24"/>
        </w:rPr>
        <w:t xml:space="preserve">Female staff – female staff is needed to conduct interview and FGD for women and girls. </w:t>
      </w:r>
    </w:p>
    <w:p w:rsidR="00363608" w:rsidRPr="00363608" w:rsidRDefault="00363608" w:rsidP="00695308">
      <w:pPr>
        <w:pStyle w:val="ListParagraph"/>
        <w:numPr>
          <w:ilvl w:val="0"/>
          <w:numId w:val="30"/>
        </w:numPr>
        <w:tabs>
          <w:tab w:val="left" w:pos="990"/>
        </w:tabs>
        <w:spacing w:after="0" w:line="240" w:lineRule="auto"/>
        <w:ind w:left="1350"/>
        <w:rPr>
          <w:rFonts w:asciiTheme="majorBidi" w:hAnsiTheme="majorBidi" w:cstheme="majorBidi"/>
          <w:color w:val="000000"/>
          <w:sz w:val="24"/>
          <w:szCs w:val="24"/>
        </w:rPr>
      </w:pPr>
      <w:r w:rsidRPr="00363608">
        <w:rPr>
          <w:rFonts w:asciiTheme="majorBidi" w:hAnsiTheme="majorBidi" w:cstheme="majorBidi"/>
          <w:color w:val="000000"/>
          <w:sz w:val="24"/>
          <w:szCs w:val="24"/>
        </w:rPr>
        <w:t>Power dynamics – balance participation and potential conflict at home and communities</w:t>
      </w:r>
    </w:p>
    <w:p w:rsidR="00363608" w:rsidRDefault="00363608" w:rsidP="00695308">
      <w:pPr>
        <w:pStyle w:val="ListParagraph"/>
        <w:numPr>
          <w:ilvl w:val="0"/>
          <w:numId w:val="30"/>
        </w:numPr>
        <w:tabs>
          <w:tab w:val="left" w:pos="990"/>
        </w:tabs>
        <w:spacing w:after="0" w:line="240" w:lineRule="auto"/>
        <w:ind w:left="1350"/>
        <w:rPr>
          <w:rFonts w:asciiTheme="majorBidi" w:hAnsiTheme="majorBidi" w:cstheme="majorBidi"/>
          <w:color w:val="000000"/>
          <w:sz w:val="24"/>
          <w:szCs w:val="24"/>
        </w:rPr>
      </w:pPr>
      <w:r w:rsidRPr="00363608">
        <w:rPr>
          <w:rFonts w:asciiTheme="majorBidi" w:hAnsiTheme="majorBidi" w:cstheme="majorBidi"/>
          <w:color w:val="000000"/>
          <w:sz w:val="24"/>
          <w:szCs w:val="24"/>
        </w:rPr>
        <w:t xml:space="preserve">Topics – never collect any information about their GBV experience or incident. Focus on the information you need in your sector and safety issues. </w:t>
      </w:r>
    </w:p>
    <w:p w:rsidR="00363608" w:rsidRDefault="00363608" w:rsidP="00695308">
      <w:pPr>
        <w:pStyle w:val="ListParagraph"/>
        <w:numPr>
          <w:ilvl w:val="0"/>
          <w:numId w:val="30"/>
        </w:numPr>
        <w:tabs>
          <w:tab w:val="left" w:pos="990"/>
        </w:tabs>
        <w:spacing w:after="0" w:line="240" w:lineRule="auto"/>
        <w:ind w:left="1350"/>
        <w:rPr>
          <w:rFonts w:asciiTheme="majorBidi" w:hAnsiTheme="majorBidi" w:cstheme="majorBidi"/>
          <w:color w:val="000000"/>
          <w:sz w:val="24"/>
          <w:szCs w:val="24"/>
        </w:rPr>
      </w:pPr>
      <w:r>
        <w:rPr>
          <w:rFonts w:asciiTheme="majorBidi" w:hAnsiTheme="majorBidi" w:cstheme="majorBidi"/>
          <w:color w:val="000000"/>
          <w:sz w:val="24"/>
          <w:szCs w:val="24"/>
        </w:rPr>
        <w:t xml:space="preserve">Highlight </w:t>
      </w:r>
      <w:r w:rsidR="00161080">
        <w:rPr>
          <w:rFonts w:asciiTheme="majorBidi" w:hAnsiTheme="majorBidi" w:cstheme="majorBidi"/>
          <w:color w:val="000000"/>
          <w:sz w:val="24"/>
          <w:szCs w:val="24"/>
        </w:rPr>
        <w:t>from slide 56</w:t>
      </w:r>
      <w:r w:rsidR="00975C62">
        <w:rPr>
          <w:rFonts w:asciiTheme="majorBidi" w:hAnsiTheme="majorBidi" w:cstheme="majorBidi"/>
          <w:color w:val="000000"/>
          <w:sz w:val="24"/>
          <w:szCs w:val="24"/>
        </w:rPr>
        <w:t xml:space="preserve"> </w:t>
      </w:r>
      <w:r>
        <w:rPr>
          <w:rFonts w:asciiTheme="majorBidi" w:hAnsiTheme="majorBidi" w:cstheme="majorBidi"/>
          <w:color w:val="000000"/>
          <w:sz w:val="24"/>
          <w:szCs w:val="24"/>
        </w:rPr>
        <w:t>that w</w:t>
      </w:r>
      <w:r w:rsidRPr="00363608">
        <w:rPr>
          <w:rFonts w:asciiTheme="majorBidi" w:hAnsiTheme="majorBidi" w:cstheme="majorBidi"/>
          <w:color w:val="000000"/>
          <w:sz w:val="24"/>
          <w:szCs w:val="24"/>
        </w:rPr>
        <w:t>hil</w:t>
      </w:r>
      <w:r>
        <w:rPr>
          <w:rFonts w:asciiTheme="majorBidi" w:hAnsiTheme="majorBidi" w:cstheme="majorBidi"/>
          <w:color w:val="000000"/>
          <w:sz w:val="24"/>
          <w:szCs w:val="24"/>
        </w:rPr>
        <w:t xml:space="preserve">e questions about </w:t>
      </w:r>
      <w:r w:rsidRPr="00363608">
        <w:rPr>
          <w:rFonts w:asciiTheme="majorBidi" w:hAnsiTheme="majorBidi" w:cstheme="majorBidi"/>
          <w:color w:val="000000"/>
          <w:sz w:val="24"/>
          <w:szCs w:val="24"/>
        </w:rPr>
        <w:t>GBV incidents</w:t>
      </w:r>
      <w:r>
        <w:rPr>
          <w:rFonts w:asciiTheme="majorBidi" w:hAnsiTheme="majorBidi" w:cstheme="majorBidi"/>
          <w:color w:val="000000"/>
          <w:sz w:val="24"/>
          <w:szCs w:val="24"/>
        </w:rPr>
        <w:t xml:space="preserve"> will not be asked</w:t>
      </w:r>
      <w:r w:rsidRPr="00363608">
        <w:rPr>
          <w:rFonts w:asciiTheme="majorBidi" w:hAnsiTheme="majorBidi" w:cstheme="majorBidi"/>
          <w:color w:val="000000"/>
          <w:sz w:val="24"/>
          <w:szCs w:val="24"/>
        </w:rPr>
        <w:t>, the discussion around safety and security concerns may trigger a GBV disclosure that is why it is important to be prepared with updated referral GBV pathway as well as the knowledge of the staff on responding to GBV disclosures</w:t>
      </w:r>
    </w:p>
    <w:p w:rsidR="00841B17" w:rsidRDefault="00841B17" w:rsidP="00695308">
      <w:pPr>
        <w:pStyle w:val="ListParagraph"/>
        <w:numPr>
          <w:ilvl w:val="0"/>
          <w:numId w:val="30"/>
        </w:numPr>
        <w:tabs>
          <w:tab w:val="left" w:pos="990"/>
        </w:tabs>
        <w:spacing w:after="0" w:line="240" w:lineRule="auto"/>
        <w:ind w:left="1350"/>
        <w:rPr>
          <w:rFonts w:asciiTheme="majorBidi" w:hAnsiTheme="majorBidi" w:cstheme="majorBidi"/>
          <w:color w:val="000000"/>
          <w:sz w:val="24"/>
          <w:szCs w:val="24"/>
        </w:rPr>
      </w:pPr>
      <w:r>
        <w:rPr>
          <w:rFonts w:asciiTheme="majorBidi" w:hAnsiTheme="majorBidi" w:cstheme="majorBidi"/>
          <w:color w:val="000000"/>
          <w:sz w:val="24"/>
          <w:szCs w:val="24"/>
        </w:rPr>
        <w:t>Introduce and refer participants to the GBV pocket guide</w:t>
      </w:r>
      <w:r w:rsidR="00161080">
        <w:rPr>
          <w:rFonts w:asciiTheme="majorBidi" w:hAnsiTheme="majorBidi" w:cstheme="majorBidi"/>
          <w:color w:val="000000"/>
          <w:sz w:val="24"/>
          <w:szCs w:val="24"/>
        </w:rPr>
        <w:t>- slide 57</w:t>
      </w:r>
    </w:p>
    <w:p w:rsidR="00841B17" w:rsidRPr="00841B17" w:rsidRDefault="00841B17" w:rsidP="00695308">
      <w:pPr>
        <w:pStyle w:val="ListParagraph"/>
        <w:numPr>
          <w:ilvl w:val="0"/>
          <w:numId w:val="28"/>
        </w:numPr>
        <w:tabs>
          <w:tab w:val="left" w:pos="990"/>
        </w:tabs>
        <w:spacing w:after="0" w:line="240" w:lineRule="auto"/>
        <w:ind w:left="1980"/>
        <w:rPr>
          <w:rFonts w:asciiTheme="majorBidi" w:hAnsiTheme="majorBidi" w:cstheme="majorBidi"/>
          <w:color w:val="000000"/>
          <w:sz w:val="24"/>
          <w:szCs w:val="24"/>
        </w:rPr>
      </w:pPr>
      <w:r w:rsidRPr="00841B17">
        <w:rPr>
          <w:rFonts w:asciiTheme="majorBidi" w:hAnsiTheme="majorBidi" w:cstheme="majorBidi"/>
          <w:color w:val="000000"/>
          <w:sz w:val="24"/>
          <w:szCs w:val="24"/>
        </w:rPr>
        <w:t>Step by step guide for non-GBV specialists</w:t>
      </w:r>
      <w:r>
        <w:rPr>
          <w:rFonts w:asciiTheme="majorBidi" w:hAnsiTheme="majorBidi" w:cstheme="majorBidi"/>
          <w:color w:val="000000"/>
          <w:sz w:val="24"/>
          <w:szCs w:val="24"/>
        </w:rPr>
        <w:t xml:space="preserve"> on GBV referrals in case of disclosure</w:t>
      </w:r>
    </w:p>
    <w:p w:rsidR="00841B17" w:rsidRDefault="00841B17" w:rsidP="00695308">
      <w:pPr>
        <w:pStyle w:val="ListParagraph"/>
        <w:numPr>
          <w:ilvl w:val="0"/>
          <w:numId w:val="28"/>
        </w:numPr>
        <w:tabs>
          <w:tab w:val="left" w:pos="990"/>
        </w:tabs>
        <w:spacing w:after="0" w:line="240" w:lineRule="auto"/>
        <w:ind w:left="1980"/>
        <w:rPr>
          <w:rFonts w:asciiTheme="majorBidi" w:hAnsiTheme="majorBidi" w:cstheme="majorBidi"/>
          <w:color w:val="000000"/>
          <w:sz w:val="24"/>
          <w:szCs w:val="24"/>
        </w:rPr>
      </w:pPr>
      <w:r>
        <w:rPr>
          <w:rFonts w:asciiTheme="majorBidi" w:hAnsiTheme="majorBidi" w:cstheme="majorBidi"/>
          <w:color w:val="000000"/>
          <w:sz w:val="24"/>
          <w:szCs w:val="24"/>
        </w:rPr>
        <w:t xml:space="preserve">Has </w:t>
      </w:r>
      <w:r w:rsidRPr="00841B17">
        <w:rPr>
          <w:rFonts w:asciiTheme="majorBidi" w:hAnsiTheme="majorBidi" w:cstheme="majorBidi"/>
          <w:color w:val="000000"/>
          <w:sz w:val="24"/>
          <w:szCs w:val="24"/>
        </w:rPr>
        <w:t xml:space="preserve">Key messages that </w:t>
      </w:r>
      <w:r>
        <w:rPr>
          <w:rFonts w:asciiTheme="majorBidi" w:hAnsiTheme="majorBidi" w:cstheme="majorBidi"/>
          <w:color w:val="000000"/>
          <w:sz w:val="24"/>
          <w:szCs w:val="24"/>
        </w:rPr>
        <w:t>can be used with the survivor</w:t>
      </w:r>
    </w:p>
    <w:p w:rsidR="00C132CF" w:rsidRPr="00C132CF" w:rsidRDefault="00841B17" w:rsidP="00695308">
      <w:pPr>
        <w:pStyle w:val="ListParagraph"/>
        <w:numPr>
          <w:ilvl w:val="0"/>
          <w:numId w:val="28"/>
        </w:numPr>
        <w:tabs>
          <w:tab w:val="left" w:pos="990"/>
        </w:tabs>
        <w:spacing w:after="0" w:line="240" w:lineRule="auto"/>
        <w:ind w:left="1980"/>
        <w:rPr>
          <w:rFonts w:asciiTheme="majorBidi" w:hAnsiTheme="majorBidi" w:cstheme="majorBidi"/>
          <w:b/>
          <w:bCs/>
          <w:color w:val="000000"/>
          <w:sz w:val="24"/>
          <w:szCs w:val="24"/>
        </w:rPr>
      </w:pPr>
      <w:r>
        <w:rPr>
          <w:rFonts w:asciiTheme="majorBidi" w:hAnsiTheme="majorBidi" w:cstheme="majorBidi"/>
          <w:color w:val="000000"/>
          <w:sz w:val="24"/>
          <w:szCs w:val="24"/>
        </w:rPr>
        <w:t>It is available as a mobile application</w:t>
      </w:r>
    </w:p>
    <w:p w:rsidR="00C132CF" w:rsidRDefault="00C132CF" w:rsidP="00C132CF">
      <w:pPr>
        <w:tabs>
          <w:tab w:val="left" w:pos="990"/>
        </w:tabs>
        <w:spacing w:after="0" w:line="240" w:lineRule="auto"/>
        <w:rPr>
          <w:rFonts w:asciiTheme="majorBidi" w:hAnsiTheme="majorBidi" w:cstheme="majorBidi"/>
          <w:color w:val="000000"/>
          <w:sz w:val="24"/>
          <w:szCs w:val="24"/>
        </w:rPr>
      </w:pPr>
    </w:p>
    <w:p w:rsidR="00C132CF" w:rsidRDefault="00C132CF" w:rsidP="00C132CF">
      <w:pPr>
        <w:tabs>
          <w:tab w:val="left" w:pos="990"/>
        </w:tabs>
        <w:spacing w:after="0" w:line="240" w:lineRule="auto"/>
        <w:rPr>
          <w:rFonts w:asciiTheme="majorBidi" w:hAnsiTheme="majorBidi" w:cstheme="majorBidi"/>
          <w:color w:val="000000"/>
          <w:sz w:val="24"/>
          <w:szCs w:val="24"/>
        </w:rPr>
      </w:pPr>
    </w:p>
    <w:p w:rsidR="00282C42" w:rsidRPr="00C132CF" w:rsidRDefault="00282C42" w:rsidP="00C132CF">
      <w:pPr>
        <w:tabs>
          <w:tab w:val="left" w:pos="990"/>
        </w:tabs>
        <w:spacing w:after="0" w:line="240" w:lineRule="auto"/>
        <w:rPr>
          <w:rFonts w:asciiTheme="majorBidi" w:hAnsiTheme="majorBidi" w:cstheme="majorBidi"/>
          <w:b/>
          <w:bCs/>
          <w:color w:val="000000"/>
          <w:sz w:val="24"/>
          <w:szCs w:val="24"/>
        </w:rPr>
      </w:pPr>
      <w:r w:rsidRPr="00C132CF">
        <w:rPr>
          <w:rFonts w:asciiTheme="majorBidi" w:hAnsiTheme="majorBidi" w:cstheme="majorBidi"/>
          <w:color w:val="000000"/>
          <w:sz w:val="24"/>
          <w:szCs w:val="24"/>
        </w:rPr>
        <w:br/>
      </w:r>
      <w:r w:rsidRPr="00C132CF">
        <w:rPr>
          <w:rFonts w:asciiTheme="majorBidi" w:hAnsiTheme="majorBidi" w:cstheme="majorBidi"/>
          <w:b/>
          <w:bCs/>
          <w:color w:val="000000"/>
          <w:sz w:val="24"/>
          <w:szCs w:val="24"/>
        </w:rPr>
        <w:t xml:space="preserve">                       </w:t>
      </w:r>
    </w:p>
    <w:p w:rsidR="00F540A4" w:rsidRPr="00F540A4" w:rsidRDefault="00F540A4" w:rsidP="00F40231">
      <w:pPr>
        <w:shd w:val="clear" w:color="auto" w:fill="F2F2F2" w:themeFill="background1" w:themeFillShade="F2"/>
        <w:tabs>
          <w:tab w:val="left" w:pos="0"/>
        </w:tabs>
        <w:spacing w:after="0" w:line="240" w:lineRule="auto"/>
        <w:rPr>
          <w:rFonts w:asciiTheme="majorBidi" w:hAnsiTheme="majorBidi" w:cstheme="majorBidi"/>
          <w:b/>
          <w:bCs/>
          <w:color w:val="000000"/>
          <w:sz w:val="24"/>
          <w:szCs w:val="24"/>
        </w:rPr>
      </w:pPr>
      <w:r w:rsidRPr="00F540A4">
        <w:rPr>
          <w:rFonts w:asciiTheme="majorBidi" w:hAnsiTheme="majorBidi" w:cstheme="majorBidi"/>
          <w:b/>
          <w:bCs/>
          <w:color w:val="000000"/>
          <w:sz w:val="24"/>
          <w:szCs w:val="24"/>
        </w:rPr>
        <w:lastRenderedPageBreak/>
        <w:t>Strategic planning of gender and GBV issues in nutrition programs</w:t>
      </w:r>
    </w:p>
    <w:p w:rsidR="00F540A4" w:rsidRDefault="00F540A4" w:rsidP="00A8018B">
      <w:pPr>
        <w:tabs>
          <w:tab w:val="left" w:pos="180"/>
        </w:tabs>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This part of the session focuses on how to use the gender and GBV data in planning programs and provides participant</w:t>
      </w:r>
      <w:r w:rsidR="006968F1">
        <w:rPr>
          <w:rFonts w:asciiTheme="majorBidi" w:hAnsiTheme="majorBidi" w:cstheme="majorBidi"/>
          <w:color w:val="000000"/>
          <w:sz w:val="24"/>
          <w:szCs w:val="24"/>
        </w:rPr>
        <w:t>s</w:t>
      </w:r>
      <w:r>
        <w:rPr>
          <w:rFonts w:asciiTheme="majorBidi" w:hAnsiTheme="majorBidi" w:cstheme="majorBidi"/>
          <w:color w:val="000000"/>
          <w:sz w:val="24"/>
          <w:szCs w:val="24"/>
        </w:rPr>
        <w:t xml:space="preserve"> with </w:t>
      </w:r>
      <w:r w:rsidR="006968F1">
        <w:rPr>
          <w:rFonts w:asciiTheme="majorBidi" w:hAnsiTheme="majorBidi" w:cstheme="majorBidi"/>
          <w:color w:val="000000"/>
          <w:sz w:val="24"/>
          <w:szCs w:val="24"/>
        </w:rPr>
        <w:t xml:space="preserve">a </w:t>
      </w:r>
      <w:r>
        <w:rPr>
          <w:rFonts w:asciiTheme="majorBidi" w:hAnsiTheme="majorBidi" w:cstheme="majorBidi"/>
          <w:color w:val="000000"/>
          <w:sz w:val="24"/>
          <w:szCs w:val="24"/>
        </w:rPr>
        <w:t>real example.</w:t>
      </w:r>
    </w:p>
    <w:p w:rsidR="00F540A4" w:rsidRDefault="00F540A4" w:rsidP="00695308">
      <w:pPr>
        <w:pStyle w:val="ListParagraph"/>
        <w:numPr>
          <w:ilvl w:val="0"/>
          <w:numId w:val="23"/>
        </w:numPr>
        <w:tabs>
          <w:tab w:val="left" w:pos="180"/>
        </w:tabs>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Explain </w:t>
      </w:r>
      <w:r w:rsidR="00C132CF">
        <w:rPr>
          <w:rFonts w:asciiTheme="majorBidi" w:hAnsiTheme="majorBidi" w:cstheme="majorBidi"/>
          <w:color w:val="000000"/>
          <w:sz w:val="24"/>
          <w:szCs w:val="24"/>
        </w:rPr>
        <w:t>from slide 58</w:t>
      </w:r>
      <w:r w:rsidR="00351DAB">
        <w:rPr>
          <w:rFonts w:asciiTheme="majorBidi" w:hAnsiTheme="majorBidi" w:cstheme="majorBidi"/>
          <w:color w:val="000000"/>
          <w:sz w:val="24"/>
          <w:szCs w:val="24"/>
        </w:rPr>
        <w:t xml:space="preserve"> </w:t>
      </w:r>
      <w:r>
        <w:rPr>
          <w:rFonts w:asciiTheme="majorBidi" w:hAnsiTheme="majorBidi" w:cstheme="majorBidi"/>
          <w:color w:val="000000"/>
          <w:sz w:val="24"/>
          <w:szCs w:val="24"/>
        </w:rPr>
        <w:t>that after an assessment and analysis are done, it’s very important to utilize the data and incorporate it into the planning phase of the project</w:t>
      </w:r>
    </w:p>
    <w:p w:rsidR="00F540A4" w:rsidRDefault="00F540A4" w:rsidP="00695308">
      <w:pPr>
        <w:pStyle w:val="ListParagraph"/>
        <w:numPr>
          <w:ilvl w:val="0"/>
          <w:numId w:val="23"/>
        </w:numPr>
        <w:tabs>
          <w:tab w:val="left" w:pos="180"/>
        </w:tabs>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T</w:t>
      </w:r>
      <w:r w:rsidRPr="00F540A4">
        <w:rPr>
          <w:rFonts w:asciiTheme="majorBidi" w:hAnsiTheme="majorBidi" w:cstheme="majorBidi"/>
          <w:color w:val="000000"/>
          <w:sz w:val="24"/>
          <w:szCs w:val="24"/>
        </w:rPr>
        <w:t>he gender and GBV data and information should be used to strategically plan the response intended to address them. This is done by establishing a demonstrable and logical link between the program activities and their intended results in the nutrition sector, thus ensuring that the identified needs are addressed.</w:t>
      </w:r>
    </w:p>
    <w:p w:rsidR="00F540A4" w:rsidRDefault="00F540A4" w:rsidP="00695308">
      <w:pPr>
        <w:pStyle w:val="ListParagraph"/>
        <w:numPr>
          <w:ilvl w:val="0"/>
          <w:numId w:val="23"/>
        </w:numPr>
        <w:tabs>
          <w:tab w:val="left" w:pos="180"/>
        </w:tabs>
        <w:spacing w:after="0" w:line="240" w:lineRule="auto"/>
        <w:rPr>
          <w:rFonts w:asciiTheme="majorBidi" w:hAnsiTheme="majorBidi" w:cstheme="majorBidi"/>
          <w:color w:val="000000"/>
          <w:sz w:val="24"/>
          <w:szCs w:val="24"/>
        </w:rPr>
      </w:pPr>
      <w:r w:rsidRPr="00F540A4">
        <w:rPr>
          <w:rFonts w:asciiTheme="majorBidi" w:hAnsiTheme="majorBidi" w:cstheme="majorBidi"/>
          <w:color w:val="000000"/>
          <w:sz w:val="24"/>
          <w:szCs w:val="24"/>
        </w:rPr>
        <w:t xml:space="preserve">At the strategic planning stage, gender </w:t>
      </w:r>
      <w:r>
        <w:rPr>
          <w:rFonts w:asciiTheme="majorBidi" w:hAnsiTheme="majorBidi" w:cstheme="majorBidi"/>
          <w:color w:val="000000"/>
          <w:sz w:val="24"/>
          <w:szCs w:val="24"/>
        </w:rPr>
        <w:t>markers should be applied- highlight that you will discuss later the gender markers thoroughly</w:t>
      </w:r>
    </w:p>
    <w:p w:rsidR="00F540A4" w:rsidRDefault="00F540A4" w:rsidP="00695308">
      <w:pPr>
        <w:pStyle w:val="ListParagraph"/>
        <w:numPr>
          <w:ilvl w:val="0"/>
          <w:numId w:val="23"/>
        </w:numPr>
        <w:tabs>
          <w:tab w:val="left" w:pos="180"/>
        </w:tabs>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Explain that at this stage as well i</w:t>
      </w:r>
      <w:r w:rsidRPr="00F540A4">
        <w:rPr>
          <w:rFonts w:asciiTheme="majorBidi" w:hAnsiTheme="majorBidi" w:cstheme="majorBidi"/>
          <w:color w:val="000000"/>
          <w:sz w:val="24"/>
          <w:szCs w:val="24"/>
        </w:rPr>
        <w:t>ndicators should be developed to measure change for women, girls, men and boys and monitor safety and security issues related to the nutrition services. All indicators should be sex- and age-sensitive to measure if all groups’ needs are being met. In addition, the indicators should be developed to check the following: expected results; provision of quality assistance with respect to gendered needs; monitoring rates of service access; satisfaction with the assistance provided; safety and security of the assistance provided; how the facilities were used; and what has changed due to the assistance,</w:t>
      </w:r>
      <w:r>
        <w:rPr>
          <w:rFonts w:asciiTheme="majorBidi" w:hAnsiTheme="majorBidi" w:cstheme="majorBidi"/>
          <w:color w:val="000000"/>
          <w:sz w:val="24"/>
          <w:szCs w:val="24"/>
        </w:rPr>
        <w:t xml:space="preserve"> for whom and in what timeframe- highlight that you will discuss later how to practically formulate gender and GBV related indicators</w:t>
      </w:r>
    </w:p>
    <w:p w:rsidR="00733CDB" w:rsidRPr="006968F1" w:rsidRDefault="00F540A4" w:rsidP="00695308">
      <w:pPr>
        <w:pStyle w:val="ListParagraph"/>
        <w:numPr>
          <w:ilvl w:val="0"/>
          <w:numId w:val="23"/>
        </w:numPr>
        <w:tabs>
          <w:tab w:val="left" w:pos="180"/>
        </w:tabs>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Show </w:t>
      </w:r>
      <w:r w:rsidR="00733CDB">
        <w:rPr>
          <w:rFonts w:asciiTheme="majorBidi" w:hAnsiTheme="majorBidi" w:cstheme="majorBidi"/>
          <w:color w:val="000000"/>
          <w:sz w:val="24"/>
          <w:szCs w:val="24"/>
        </w:rPr>
        <w:t>slide</w:t>
      </w:r>
      <w:r w:rsidR="00C132CF">
        <w:rPr>
          <w:rFonts w:asciiTheme="majorBidi" w:hAnsiTheme="majorBidi" w:cstheme="majorBidi"/>
          <w:color w:val="000000"/>
          <w:sz w:val="24"/>
          <w:szCs w:val="24"/>
        </w:rPr>
        <w:t xml:space="preserve"> 59</w:t>
      </w:r>
      <w:r w:rsidR="00733CDB">
        <w:rPr>
          <w:rFonts w:asciiTheme="majorBidi" w:hAnsiTheme="majorBidi" w:cstheme="majorBidi"/>
          <w:color w:val="000000"/>
          <w:sz w:val="24"/>
          <w:szCs w:val="24"/>
        </w:rPr>
        <w:t xml:space="preserve"> on the example of gender and GBV related strategic planning and explain the following:</w:t>
      </w:r>
      <w:r w:rsidR="006968F1">
        <w:rPr>
          <w:rFonts w:asciiTheme="majorBidi" w:hAnsiTheme="majorBidi" w:cstheme="majorBidi"/>
          <w:color w:val="000000"/>
          <w:sz w:val="24"/>
          <w:szCs w:val="24"/>
        </w:rPr>
        <w:t xml:space="preserve"> </w:t>
      </w:r>
      <w:r w:rsidR="00733CDB" w:rsidRPr="006968F1">
        <w:rPr>
          <w:rFonts w:asciiTheme="majorBidi" w:hAnsiTheme="majorBidi" w:cstheme="majorBidi"/>
          <w:color w:val="000000"/>
          <w:sz w:val="24"/>
          <w:szCs w:val="24"/>
        </w:rPr>
        <w:t>The identified issue here is barrier of access to nutrition services for women and girls. To ensure that this issue is addressed in your program you need to:</w:t>
      </w:r>
    </w:p>
    <w:p w:rsidR="006968F1" w:rsidRDefault="00733CDB" w:rsidP="00695308">
      <w:pPr>
        <w:pStyle w:val="ListParagraph"/>
        <w:numPr>
          <w:ilvl w:val="0"/>
          <w:numId w:val="51"/>
        </w:numPr>
        <w:tabs>
          <w:tab w:val="left" w:pos="180"/>
        </w:tabs>
        <w:spacing w:after="0" w:line="240" w:lineRule="auto"/>
        <w:ind w:left="1530"/>
        <w:rPr>
          <w:rFonts w:asciiTheme="majorBidi" w:hAnsiTheme="majorBidi" w:cstheme="majorBidi"/>
          <w:color w:val="000000"/>
          <w:sz w:val="24"/>
          <w:szCs w:val="24"/>
        </w:rPr>
      </w:pPr>
      <w:r w:rsidRPr="006968F1">
        <w:rPr>
          <w:rFonts w:asciiTheme="majorBidi" w:hAnsiTheme="majorBidi" w:cstheme="majorBidi"/>
          <w:color w:val="000000"/>
          <w:sz w:val="24"/>
          <w:szCs w:val="24"/>
        </w:rPr>
        <w:t>Formulate an objective to overcome it- such as increase in access through attendance or delivery of services</w:t>
      </w:r>
    </w:p>
    <w:p w:rsidR="006968F1" w:rsidRDefault="00702FB7" w:rsidP="00695308">
      <w:pPr>
        <w:pStyle w:val="ListParagraph"/>
        <w:numPr>
          <w:ilvl w:val="0"/>
          <w:numId w:val="51"/>
        </w:numPr>
        <w:tabs>
          <w:tab w:val="left" w:pos="180"/>
        </w:tabs>
        <w:spacing w:after="0" w:line="240" w:lineRule="auto"/>
        <w:ind w:left="1530"/>
        <w:rPr>
          <w:rFonts w:asciiTheme="majorBidi" w:hAnsiTheme="majorBidi" w:cstheme="majorBidi"/>
          <w:color w:val="000000"/>
          <w:sz w:val="24"/>
          <w:szCs w:val="24"/>
        </w:rPr>
      </w:pPr>
      <w:r w:rsidRPr="006968F1">
        <w:rPr>
          <w:rFonts w:asciiTheme="majorBidi" w:hAnsiTheme="majorBidi" w:cstheme="majorBidi"/>
          <w:color w:val="000000"/>
          <w:sz w:val="24"/>
          <w:szCs w:val="24"/>
        </w:rPr>
        <w:t>Articulate the objective into an indicator such as: Number and percentage of women and girls who gain access to nutrition services via one of the distribution channels</w:t>
      </w:r>
    </w:p>
    <w:p w:rsidR="006968F1" w:rsidRDefault="00702FB7" w:rsidP="00695308">
      <w:pPr>
        <w:pStyle w:val="ListParagraph"/>
        <w:numPr>
          <w:ilvl w:val="0"/>
          <w:numId w:val="51"/>
        </w:numPr>
        <w:tabs>
          <w:tab w:val="left" w:pos="180"/>
        </w:tabs>
        <w:spacing w:after="0" w:line="240" w:lineRule="auto"/>
        <w:ind w:left="1530"/>
        <w:rPr>
          <w:rFonts w:asciiTheme="majorBidi" w:hAnsiTheme="majorBidi" w:cstheme="majorBidi"/>
          <w:color w:val="000000"/>
          <w:sz w:val="24"/>
          <w:szCs w:val="24"/>
        </w:rPr>
      </w:pPr>
      <w:r w:rsidRPr="006968F1">
        <w:rPr>
          <w:rFonts w:asciiTheme="majorBidi" w:hAnsiTheme="majorBidi" w:cstheme="majorBidi"/>
          <w:color w:val="000000"/>
          <w:sz w:val="24"/>
          <w:szCs w:val="24"/>
        </w:rPr>
        <w:t>Set the results that you are expecting- low attendance barriers are addressed and women and girls feel safe to access nutrition services</w:t>
      </w:r>
    </w:p>
    <w:p w:rsidR="006968F1" w:rsidRDefault="00702FB7" w:rsidP="00695308">
      <w:pPr>
        <w:pStyle w:val="ListParagraph"/>
        <w:numPr>
          <w:ilvl w:val="0"/>
          <w:numId w:val="51"/>
        </w:numPr>
        <w:tabs>
          <w:tab w:val="left" w:pos="180"/>
        </w:tabs>
        <w:spacing w:after="0" w:line="240" w:lineRule="auto"/>
        <w:ind w:left="1530"/>
        <w:rPr>
          <w:rFonts w:asciiTheme="majorBidi" w:hAnsiTheme="majorBidi" w:cstheme="majorBidi"/>
          <w:color w:val="000000"/>
          <w:sz w:val="24"/>
          <w:szCs w:val="24"/>
        </w:rPr>
      </w:pPr>
      <w:r w:rsidRPr="006968F1">
        <w:rPr>
          <w:rFonts w:asciiTheme="majorBidi" w:hAnsiTheme="majorBidi" w:cstheme="majorBidi"/>
          <w:color w:val="000000"/>
          <w:sz w:val="24"/>
          <w:szCs w:val="24"/>
        </w:rPr>
        <w:t>Formulate output indicators to measure your intervention- number of distribution channels identified and percentage of women and girls feeling safe to access the services</w:t>
      </w:r>
    </w:p>
    <w:p w:rsidR="00702FB7" w:rsidRPr="006968F1" w:rsidRDefault="00702FB7" w:rsidP="00695308">
      <w:pPr>
        <w:pStyle w:val="ListParagraph"/>
        <w:numPr>
          <w:ilvl w:val="0"/>
          <w:numId w:val="51"/>
        </w:numPr>
        <w:tabs>
          <w:tab w:val="left" w:pos="180"/>
        </w:tabs>
        <w:spacing w:after="0" w:line="240" w:lineRule="auto"/>
        <w:ind w:left="1530"/>
        <w:rPr>
          <w:rFonts w:asciiTheme="majorBidi" w:hAnsiTheme="majorBidi" w:cstheme="majorBidi"/>
          <w:color w:val="000000"/>
          <w:sz w:val="24"/>
          <w:szCs w:val="24"/>
        </w:rPr>
      </w:pPr>
      <w:r w:rsidRPr="006968F1">
        <w:rPr>
          <w:rFonts w:asciiTheme="majorBidi" w:hAnsiTheme="majorBidi" w:cstheme="majorBidi"/>
          <w:color w:val="000000"/>
          <w:sz w:val="24"/>
          <w:szCs w:val="24"/>
        </w:rPr>
        <w:t>Translate your plan into activities such as: development of special transportation arrangements and service delivery methods</w:t>
      </w:r>
    </w:p>
    <w:p w:rsidR="00702FB7" w:rsidRDefault="00702FB7" w:rsidP="00695308">
      <w:pPr>
        <w:pStyle w:val="ListParagraph"/>
        <w:numPr>
          <w:ilvl w:val="0"/>
          <w:numId w:val="32"/>
        </w:numPr>
        <w:tabs>
          <w:tab w:val="left" w:pos="180"/>
        </w:tabs>
        <w:spacing w:after="0" w:line="240" w:lineRule="auto"/>
        <w:ind w:left="810"/>
        <w:rPr>
          <w:rFonts w:asciiTheme="majorBidi" w:hAnsiTheme="majorBidi" w:cstheme="majorBidi"/>
          <w:color w:val="000000"/>
          <w:sz w:val="24"/>
          <w:szCs w:val="24"/>
        </w:rPr>
      </w:pPr>
      <w:r>
        <w:rPr>
          <w:rFonts w:asciiTheme="majorBidi" w:hAnsiTheme="majorBidi" w:cstheme="majorBidi"/>
          <w:color w:val="000000"/>
          <w:sz w:val="24"/>
          <w:szCs w:val="24"/>
        </w:rPr>
        <w:t>Present the s</w:t>
      </w:r>
      <w:r w:rsidRPr="00702FB7">
        <w:rPr>
          <w:rFonts w:asciiTheme="majorBidi" w:hAnsiTheme="majorBidi" w:cstheme="majorBidi"/>
          <w:color w:val="000000"/>
          <w:sz w:val="24"/>
          <w:szCs w:val="24"/>
        </w:rPr>
        <w:t>uccessful integration</w:t>
      </w:r>
      <w:r>
        <w:rPr>
          <w:rFonts w:asciiTheme="majorBidi" w:hAnsiTheme="majorBidi" w:cstheme="majorBidi"/>
          <w:color w:val="000000"/>
          <w:sz w:val="24"/>
          <w:szCs w:val="24"/>
        </w:rPr>
        <w:t xml:space="preserve"> of gender and GBV issues</w:t>
      </w:r>
      <w:r w:rsidRPr="00702FB7">
        <w:rPr>
          <w:rFonts w:asciiTheme="majorBidi" w:hAnsiTheme="majorBidi" w:cstheme="majorBidi"/>
          <w:color w:val="000000"/>
          <w:sz w:val="24"/>
          <w:szCs w:val="24"/>
        </w:rPr>
        <w:t xml:space="preserve"> into the n</w:t>
      </w:r>
      <w:r>
        <w:rPr>
          <w:rFonts w:asciiTheme="majorBidi" w:hAnsiTheme="majorBidi" w:cstheme="majorBidi"/>
          <w:color w:val="000000"/>
          <w:sz w:val="24"/>
          <w:szCs w:val="24"/>
        </w:rPr>
        <w:t xml:space="preserve">utrition cluster response plan in </w:t>
      </w:r>
      <w:r w:rsidRPr="00702FB7">
        <w:rPr>
          <w:rFonts w:asciiTheme="majorBidi" w:hAnsiTheme="majorBidi" w:cstheme="majorBidi"/>
          <w:color w:val="000000"/>
          <w:sz w:val="24"/>
          <w:szCs w:val="24"/>
        </w:rPr>
        <w:t>Nigeria</w:t>
      </w:r>
      <w:r w:rsidR="00351DAB">
        <w:rPr>
          <w:rFonts w:asciiTheme="majorBidi" w:hAnsiTheme="majorBidi" w:cstheme="majorBidi"/>
          <w:color w:val="000000"/>
          <w:sz w:val="24"/>
          <w:szCs w:val="24"/>
        </w:rPr>
        <w:t xml:space="preserve"> from </w:t>
      </w:r>
      <w:r>
        <w:rPr>
          <w:rFonts w:asciiTheme="majorBidi" w:hAnsiTheme="majorBidi" w:cstheme="majorBidi"/>
          <w:color w:val="000000"/>
          <w:sz w:val="24"/>
          <w:szCs w:val="24"/>
        </w:rPr>
        <w:t>slide</w:t>
      </w:r>
      <w:r w:rsidR="00C132CF">
        <w:rPr>
          <w:rFonts w:asciiTheme="majorBidi" w:hAnsiTheme="majorBidi" w:cstheme="majorBidi"/>
          <w:color w:val="000000"/>
          <w:sz w:val="24"/>
          <w:szCs w:val="24"/>
        </w:rPr>
        <w:t xml:space="preserve"> 60</w:t>
      </w:r>
    </w:p>
    <w:p w:rsidR="00702FB7" w:rsidRDefault="00702FB7" w:rsidP="00695308">
      <w:pPr>
        <w:pStyle w:val="ListParagraph"/>
        <w:numPr>
          <w:ilvl w:val="0"/>
          <w:numId w:val="32"/>
        </w:numPr>
        <w:tabs>
          <w:tab w:val="left" w:pos="180"/>
        </w:tabs>
        <w:spacing w:after="0" w:line="240" w:lineRule="auto"/>
        <w:ind w:left="810"/>
        <w:rPr>
          <w:rFonts w:asciiTheme="majorBidi" w:hAnsiTheme="majorBidi" w:cstheme="majorBidi"/>
          <w:color w:val="000000"/>
          <w:sz w:val="24"/>
          <w:szCs w:val="24"/>
        </w:rPr>
      </w:pPr>
      <w:r>
        <w:rPr>
          <w:rFonts w:asciiTheme="majorBidi" w:hAnsiTheme="majorBidi" w:cstheme="majorBidi"/>
          <w:color w:val="000000"/>
          <w:sz w:val="24"/>
          <w:szCs w:val="24"/>
        </w:rPr>
        <w:t>Ask participants to give other real examples if any</w:t>
      </w:r>
    </w:p>
    <w:p w:rsidR="00702FB7" w:rsidRPr="00702FB7" w:rsidRDefault="00702FB7" w:rsidP="00702FB7">
      <w:pPr>
        <w:pStyle w:val="ListParagraph"/>
        <w:tabs>
          <w:tab w:val="left" w:pos="180"/>
        </w:tabs>
        <w:spacing w:after="0" w:line="240" w:lineRule="auto"/>
        <w:ind w:left="1320"/>
        <w:rPr>
          <w:rFonts w:asciiTheme="majorBidi" w:hAnsiTheme="majorBidi" w:cstheme="majorBidi"/>
          <w:b/>
          <w:bCs/>
          <w:color w:val="000000"/>
          <w:sz w:val="24"/>
          <w:szCs w:val="24"/>
        </w:rPr>
      </w:pPr>
    </w:p>
    <w:p w:rsidR="00240253" w:rsidRDefault="00702FB7" w:rsidP="0010584B">
      <w:pPr>
        <w:tabs>
          <w:tab w:val="left" w:pos="180"/>
        </w:tabs>
        <w:spacing w:after="0" w:line="240" w:lineRule="auto"/>
        <w:ind w:left="270"/>
        <w:rPr>
          <w:rFonts w:asciiTheme="majorBidi" w:hAnsiTheme="majorBidi" w:cstheme="majorBidi"/>
          <w:b/>
          <w:bCs/>
          <w:color w:val="000000"/>
          <w:sz w:val="24"/>
          <w:szCs w:val="24"/>
        </w:rPr>
      </w:pPr>
      <w:r w:rsidRPr="00702FB7">
        <w:rPr>
          <w:rFonts w:asciiTheme="majorBidi" w:hAnsiTheme="majorBidi" w:cstheme="majorBidi"/>
          <w:b/>
          <w:bCs/>
          <w:color w:val="000000"/>
          <w:sz w:val="24"/>
          <w:szCs w:val="24"/>
        </w:rPr>
        <w:t xml:space="preserve">  </w:t>
      </w:r>
      <w:r w:rsidRPr="00F40231">
        <w:rPr>
          <w:rFonts w:asciiTheme="majorBidi" w:hAnsiTheme="majorBidi" w:cstheme="majorBidi"/>
          <w:b/>
          <w:bCs/>
          <w:color w:val="000000"/>
          <w:sz w:val="24"/>
          <w:szCs w:val="24"/>
          <w:shd w:val="clear" w:color="auto" w:fill="F2F2F2" w:themeFill="background1" w:themeFillShade="F2"/>
        </w:rPr>
        <w:t xml:space="preserve">  Resource mobilization for gender and GBV issues within nutrition programs</w:t>
      </w:r>
    </w:p>
    <w:p w:rsidR="00507E7C" w:rsidRDefault="00240253" w:rsidP="0010584B">
      <w:pPr>
        <w:tabs>
          <w:tab w:val="left" w:pos="180"/>
        </w:tabs>
        <w:spacing w:after="0" w:line="240" w:lineRule="auto"/>
        <w:ind w:left="540"/>
        <w:rPr>
          <w:rFonts w:asciiTheme="majorBidi" w:hAnsiTheme="majorBidi" w:cstheme="majorBidi"/>
          <w:color w:val="000000"/>
          <w:sz w:val="24"/>
          <w:szCs w:val="24"/>
        </w:rPr>
      </w:pPr>
      <w:r>
        <w:rPr>
          <w:rFonts w:asciiTheme="majorBidi" w:hAnsiTheme="majorBidi" w:cstheme="majorBidi"/>
          <w:color w:val="000000"/>
          <w:sz w:val="24"/>
          <w:szCs w:val="24"/>
        </w:rPr>
        <w:t xml:space="preserve">This part of the session focuses on how to mobilize resources to address gender and GBV issues </w:t>
      </w:r>
      <w:r w:rsidR="00507E7C">
        <w:rPr>
          <w:rFonts w:asciiTheme="majorBidi" w:hAnsiTheme="majorBidi" w:cstheme="majorBidi"/>
          <w:color w:val="000000"/>
          <w:sz w:val="24"/>
          <w:szCs w:val="24"/>
        </w:rPr>
        <w:t>in the nutrition programs including the utilizati</w:t>
      </w:r>
      <w:r w:rsidR="00094630">
        <w:rPr>
          <w:rFonts w:asciiTheme="majorBidi" w:hAnsiTheme="majorBidi" w:cstheme="majorBidi"/>
          <w:color w:val="000000"/>
          <w:sz w:val="24"/>
          <w:szCs w:val="24"/>
        </w:rPr>
        <w:t>on of gender and age markers,</w:t>
      </w:r>
      <w:r w:rsidR="00507E7C">
        <w:rPr>
          <w:rFonts w:asciiTheme="majorBidi" w:hAnsiTheme="majorBidi" w:cstheme="majorBidi"/>
          <w:color w:val="000000"/>
          <w:sz w:val="24"/>
          <w:szCs w:val="24"/>
        </w:rPr>
        <w:t xml:space="preserve"> drafting of gender and GBV sensitive proposals</w:t>
      </w:r>
      <w:r w:rsidR="00094630">
        <w:rPr>
          <w:rFonts w:asciiTheme="majorBidi" w:hAnsiTheme="majorBidi" w:cstheme="majorBidi"/>
          <w:color w:val="000000"/>
          <w:sz w:val="24"/>
          <w:szCs w:val="24"/>
        </w:rPr>
        <w:t xml:space="preserve"> and an overview of Gender and GBV </w:t>
      </w:r>
      <w:r w:rsidR="00545330">
        <w:rPr>
          <w:rFonts w:asciiTheme="majorBidi" w:hAnsiTheme="majorBidi" w:cstheme="majorBidi"/>
          <w:color w:val="000000"/>
          <w:sz w:val="24"/>
          <w:szCs w:val="24"/>
        </w:rPr>
        <w:t>budgeting</w:t>
      </w:r>
      <w:r w:rsidR="00507E7C">
        <w:rPr>
          <w:rFonts w:asciiTheme="majorBidi" w:hAnsiTheme="majorBidi" w:cstheme="majorBidi"/>
          <w:color w:val="000000"/>
          <w:sz w:val="24"/>
          <w:szCs w:val="24"/>
        </w:rPr>
        <w:t>. It also provides the participants with an opportunity to apply what they have learned through an exercise.</w:t>
      </w:r>
    </w:p>
    <w:p w:rsidR="0010584B" w:rsidRDefault="0010584B" w:rsidP="00695308">
      <w:pPr>
        <w:pStyle w:val="ListParagraph"/>
        <w:numPr>
          <w:ilvl w:val="0"/>
          <w:numId w:val="33"/>
        </w:numPr>
        <w:tabs>
          <w:tab w:val="left" w:pos="180"/>
        </w:tabs>
        <w:spacing w:after="0" w:line="240" w:lineRule="auto"/>
        <w:ind w:left="810"/>
        <w:rPr>
          <w:rFonts w:asciiTheme="majorBidi" w:hAnsiTheme="majorBidi" w:cstheme="majorBidi"/>
          <w:color w:val="000000"/>
          <w:sz w:val="24"/>
          <w:szCs w:val="24"/>
        </w:rPr>
      </w:pPr>
      <w:r w:rsidRPr="0010584B">
        <w:rPr>
          <w:rFonts w:asciiTheme="majorBidi" w:hAnsiTheme="majorBidi" w:cstheme="majorBidi"/>
          <w:color w:val="000000"/>
          <w:sz w:val="24"/>
          <w:szCs w:val="24"/>
        </w:rPr>
        <w:lastRenderedPageBreak/>
        <w:t>Following the strategic planning phase and the production of a results-based framework based on the needs assessment and analysis, the next phase in the HPC is resource mobilization.</w:t>
      </w:r>
    </w:p>
    <w:p w:rsidR="0010584B" w:rsidRDefault="0010584B" w:rsidP="00695308">
      <w:pPr>
        <w:pStyle w:val="ListParagraph"/>
        <w:numPr>
          <w:ilvl w:val="0"/>
          <w:numId w:val="33"/>
        </w:numPr>
        <w:tabs>
          <w:tab w:val="left" w:pos="180"/>
        </w:tabs>
        <w:spacing w:after="0" w:line="240" w:lineRule="auto"/>
        <w:ind w:left="810"/>
        <w:rPr>
          <w:rFonts w:asciiTheme="majorBidi" w:hAnsiTheme="majorBidi" w:cstheme="majorBidi"/>
          <w:color w:val="000000"/>
          <w:sz w:val="24"/>
          <w:szCs w:val="24"/>
        </w:rPr>
      </w:pPr>
      <w:r>
        <w:rPr>
          <w:rFonts w:asciiTheme="majorBidi" w:hAnsiTheme="majorBidi" w:cstheme="majorBidi"/>
          <w:color w:val="000000"/>
          <w:sz w:val="24"/>
          <w:szCs w:val="24"/>
        </w:rPr>
        <w:t>Ask the participants what does resource mobilization mean?</w:t>
      </w:r>
    </w:p>
    <w:p w:rsidR="0010584B" w:rsidRDefault="0010584B" w:rsidP="00695308">
      <w:pPr>
        <w:pStyle w:val="ListParagraph"/>
        <w:numPr>
          <w:ilvl w:val="0"/>
          <w:numId w:val="33"/>
        </w:numPr>
        <w:tabs>
          <w:tab w:val="left" w:pos="180"/>
        </w:tabs>
        <w:spacing w:after="0" w:line="240" w:lineRule="auto"/>
        <w:ind w:left="810"/>
        <w:rPr>
          <w:rFonts w:asciiTheme="majorBidi" w:hAnsiTheme="majorBidi" w:cstheme="majorBidi"/>
          <w:color w:val="000000"/>
          <w:sz w:val="24"/>
          <w:szCs w:val="24"/>
        </w:rPr>
      </w:pPr>
      <w:r>
        <w:rPr>
          <w:rFonts w:asciiTheme="majorBidi" w:hAnsiTheme="majorBidi" w:cstheme="majorBidi"/>
          <w:color w:val="000000"/>
          <w:sz w:val="24"/>
          <w:szCs w:val="24"/>
        </w:rPr>
        <w:t xml:space="preserve">Highlight </w:t>
      </w:r>
      <w:r w:rsidR="00094630">
        <w:rPr>
          <w:rFonts w:asciiTheme="majorBidi" w:hAnsiTheme="majorBidi" w:cstheme="majorBidi"/>
          <w:color w:val="000000"/>
          <w:sz w:val="24"/>
          <w:szCs w:val="24"/>
        </w:rPr>
        <w:t>from slide 61</w:t>
      </w:r>
      <w:r w:rsidR="00E5423F">
        <w:rPr>
          <w:rFonts w:asciiTheme="majorBidi" w:hAnsiTheme="majorBidi" w:cstheme="majorBidi"/>
          <w:color w:val="000000"/>
          <w:sz w:val="24"/>
          <w:szCs w:val="24"/>
        </w:rPr>
        <w:t xml:space="preserve"> </w:t>
      </w:r>
      <w:r>
        <w:rPr>
          <w:rFonts w:asciiTheme="majorBidi" w:hAnsiTheme="majorBidi" w:cstheme="majorBidi"/>
          <w:color w:val="000000"/>
          <w:sz w:val="24"/>
          <w:szCs w:val="24"/>
        </w:rPr>
        <w:t>that r</w:t>
      </w:r>
      <w:r w:rsidRPr="0010584B">
        <w:rPr>
          <w:rFonts w:asciiTheme="majorBidi" w:hAnsiTheme="majorBidi" w:cstheme="majorBidi"/>
          <w:color w:val="000000"/>
          <w:sz w:val="24"/>
          <w:szCs w:val="24"/>
        </w:rPr>
        <w:t>esource mobilization refers not only to accessing funding, but also to scaling up human resources, supplies and donor commitment.</w:t>
      </w:r>
    </w:p>
    <w:p w:rsidR="0010584B" w:rsidRPr="0010584B" w:rsidRDefault="0010584B" w:rsidP="00695308">
      <w:pPr>
        <w:pStyle w:val="ListParagraph"/>
        <w:numPr>
          <w:ilvl w:val="0"/>
          <w:numId w:val="33"/>
        </w:numPr>
        <w:tabs>
          <w:tab w:val="left" w:pos="180"/>
        </w:tabs>
        <w:spacing w:after="0" w:line="240" w:lineRule="auto"/>
        <w:ind w:left="810"/>
        <w:rPr>
          <w:rFonts w:asciiTheme="majorBidi" w:hAnsiTheme="majorBidi" w:cstheme="majorBidi"/>
          <w:color w:val="000000"/>
          <w:sz w:val="24"/>
          <w:szCs w:val="24"/>
        </w:rPr>
      </w:pPr>
      <w:r w:rsidRPr="0010584B">
        <w:rPr>
          <w:rFonts w:asciiTheme="majorBidi" w:hAnsiTheme="majorBidi" w:cstheme="majorBidi"/>
          <w:color w:val="000000"/>
          <w:sz w:val="24"/>
          <w:szCs w:val="24"/>
        </w:rPr>
        <w:t>Key steps to be taken for effective gender and GBV-sensitive resource mobilization include:</w:t>
      </w:r>
    </w:p>
    <w:p w:rsidR="0010584B" w:rsidRDefault="0010584B" w:rsidP="00695308">
      <w:pPr>
        <w:pStyle w:val="ListParagraph"/>
        <w:numPr>
          <w:ilvl w:val="0"/>
          <w:numId w:val="31"/>
        </w:numPr>
        <w:tabs>
          <w:tab w:val="left" w:pos="180"/>
        </w:tabs>
        <w:spacing w:after="0" w:line="240" w:lineRule="auto"/>
        <w:rPr>
          <w:rFonts w:asciiTheme="majorBidi" w:hAnsiTheme="majorBidi" w:cstheme="majorBidi"/>
          <w:color w:val="000000"/>
          <w:sz w:val="24"/>
          <w:szCs w:val="24"/>
        </w:rPr>
      </w:pPr>
      <w:r w:rsidRPr="0010584B">
        <w:rPr>
          <w:rFonts w:asciiTheme="majorBidi" w:hAnsiTheme="majorBidi" w:cstheme="majorBidi"/>
          <w:color w:val="000000"/>
          <w:sz w:val="24"/>
          <w:szCs w:val="24"/>
        </w:rPr>
        <w:t>Humanitarian actors need to engage in advocacy and partnership with donors to mobilize funds for addressing gaps in the particular needs, priorities and capacities of women, girls, men and boys.</w:t>
      </w:r>
    </w:p>
    <w:p w:rsidR="0010584B" w:rsidRDefault="0010584B" w:rsidP="00695308">
      <w:pPr>
        <w:pStyle w:val="ListParagraph"/>
        <w:numPr>
          <w:ilvl w:val="0"/>
          <w:numId w:val="31"/>
        </w:numPr>
        <w:tabs>
          <w:tab w:val="left" w:pos="180"/>
        </w:tabs>
        <w:spacing w:after="0" w:line="240" w:lineRule="auto"/>
        <w:rPr>
          <w:rFonts w:asciiTheme="majorBidi" w:hAnsiTheme="majorBidi" w:cstheme="majorBidi"/>
          <w:color w:val="000000"/>
          <w:sz w:val="24"/>
          <w:szCs w:val="24"/>
        </w:rPr>
      </w:pPr>
      <w:r w:rsidRPr="0010584B">
        <w:rPr>
          <w:rFonts w:asciiTheme="majorBidi" w:hAnsiTheme="majorBidi" w:cstheme="majorBidi"/>
          <w:color w:val="000000"/>
          <w:sz w:val="24"/>
          <w:szCs w:val="24"/>
        </w:rPr>
        <w:t>Mobilizing resources around priority actions, support the nutrition cluster with information and key messages on the distinct needs of women, girls, men and boys and plans developed to meet these needs. This will help to strength the advocacy for nutrition resource mobilization, as ultimately the mainstreaming of gender and GBV will increase the impact of nutrition programming.</w:t>
      </w:r>
    </w:p>
    <w:p w:rsidR="0010584B" w:rsidRDefault="0010584B" w:rsidP="00695308">
      <w:pPr>
        <w:pStyle w:val="ListParagraph"/>
        <w:numPr>
          <w:ilvl w:val="0"/>
          <w:numId w:val="31"/>
        </w:numPr>
        <w:tabs>
          <w:tab w:val="left" w:pos="180"/>
        </w:tabs>
        <w:spacing w:after="0" w:line="240" w:lineRule="auto"/>
        <w:rPr>
          <w:rFonts w:asciiTheme="majorBidi" w:hAnsiTheme="majorBidi" w:cstheme="majorBidi"/>
          <w:color w:val="000000"/>
          <w:sz w:val="24"/>
          <w:szCs w:val="24"/>
        </w:rPr>
      </w:pPr>
      <w:r w:rsidRPr="0010584B">
        <w:rPr>
          <w:rFonts w:asciiTheme="majorBidi" w:hAnsiTheme="majorBidi" w:cstheme="majorBidi"/>
          <w:color w:val="000000"/>
          <w:sz w:val="24"/>
          <w:szCs w:val="24"/>
        </w:rPr>
        <w:t>Using gender markers to assess how well a program incorporates gender equality into planning and implementation and provide guidance on how to improve the process.</w:t>
      </w:r>
    </w:p>
    <w:p w:rsidR="0010584B" w:rsidRDefault="0010584B" w:rsidP="00695308">
      <w:pPr>
        <w:pStyle w:val="ListParagraph"/>
        <w:numPr>
          <w:ilvl w:val="0"/>
          <w:numId w:val="34"/>
        </w:numPr>
        <w:tabs>
          <w:tab w:val="left" w:pos="180"/>
        </w:tabs>
        <w:spacing w:after="0" w:line="240" w:lineRule="auto"/>
        <w:ind w:left="630"/>
        <w:rPr>
          <w:rFonts w:asciiTheme="majorBidi" w:hAnsiTheme="majorBidi" w:cstheme="majorBidi"/>
          <w:color w:val="000000"/>
          <w:sz w:val="24"/>
          <w:szCs w:val="24"/>
        </w:rPr>
      </w:pPr>
      <w:r>
        <w:rPr>
          <w:rFonts w:asciiTheme="majorBidi" w:hAnsiTheme="majorBidi" w:cstheme="majorBidi"/>
          <w:color w:val="000000"/>
          <w:sz w:val="24"/>
          <w:szCs w:val="24"/>
        </w:rPr>
        <w:t xml:space="preserve">Ask </w:t>
      </w:r>
      <w:r w:rsidR="007F7D09">
        <w:rPr>
          <w:rFonts w:asciiTheme="majorBidi" w:hAnsiTheme="majorBidi" w:cstheme="majorBidi"/>
          <w:color w:val="000000"/>
          <w:sz w:val="24"/>
          <w:szCs w:val="24"/>
        </w:rPr>
        <w:t>the participants if they have used before or are familiar with gender and age markers. If there is anyone who have used the markers before ask them to describe how and when they have been used in the programs</w:t>
      </w:r>
    </w:p>
    <w:p w:rsidR="00C246AD" w:rsidRDefault="007F7D09" w:rsidP="00695308">
      <w:pPr>
        <w:pStyle w:val="ListParagraph"/>
        <w:numPr>
          <w:ilvl w:val="0"/>
          <w:numId w:val="34"/>
        </w:numPr>
        <w:tabs>
          <w:tab w:val="left" w:pos="180"/>
        </w:tabs>
        <w:spacing w:after="0" w:line="240" w:lineRule="auto"/>
        <w:ind w:left="630"/>
        <w:rPr>
          <w:rFonts w:asciiTheme="majorBidi" w:hAnsiTheme="majorBidi" w:cstheme="majorBidi"/>
          <w:color w:val="000000"/>
          <w:sz w:val="24"/>
          <w:szCs w:val="24"/>
        </w:rPr>
      </w:pPr>
      <w:r>
        <w:rPr>
          <w:rFonts w:asciiTheme="majorBidi" w:hAnsiTheme="majorBidi" w:cstheme="majorBidi"/>
          <w:color w:val="000000"/>
          <w:sz w:val="24"/>
          <w:szCs w:val="24"/>
        </w:rPr>
        <w:t>Distribute the</w:t>
      </w:r>
      <w:r w:rsidRPr="007F7D09">
        <w:rPr>
          <w:rFonts w:asciiTheme="majorBidi" w:hAnsiTheme="majorBidi" w:cstheme="majorBidi"/>
          <w:color w:val="000000"/>
          <w:sz w:val="24"/>
          <w:szCs w:val="24"/>
        </w:rPr>
        <w:t xml:space="preserve"> IASC Gender marker tip sheet for Nutrition</w:t>
      </w:r>
      <w:r>
        <w:rPr>
          <w:rFonts w:asciiTheme="majorBidi" w:hAnsiTheme="majorBidi" w:cstheme="majorBidi"/>
          <w:color w:val="000000"/>
          <w:sz w:val="24"/>
          <w:szCs w:val="24"/>
        </w:rPr>
        <w:t xml:space="preserve"> and give some time for participants to read</w:t>
      </w:r>
    </w:p>
    <w:p w:rsidR="00C246AD" w:rsidRPr="00C246AD" w:rsidRDefault="007F7D09" w:rsidP="00695308">
      <w:pPr>
        <w:pStyle w:val="ListParagraph"/>
        <w:numPr>
          <w:ilvl w:val="0"/>
          <w:numId w:val="34"/>
        </w:numPr>
        <w:tabs>
          <w:tab w:val="left" w:pos="180"/>
        </w:tabs>
        <w:spacing w:after="0" w:line="240" w:lineRule="auto"/>
        <w:ind w:left="630"/>
        <w:rPr>
          <w:rFonts w:asciiTheme="majorBidi" w:hAnsiTheme="majorBidi" w:cstheme="majorBidi"/>
          <w:color w:val="000000"/>
          <w:sz w:val="24"/>
          <w:szCs w:val="24"/>
        </w:rPr>
      </w:pPr>
      <w:r w:rsidRPr="00C246AD">
        <w:rPr>
          <w:rFonts w:asciiTheme="majorBidi" w:hAnsiTheme="majorBidi" w:cstheme="majorBidi"/>
          <w:color w:val="000000"/>
          <w:sz w:val="24"/>
          <w:szCs w:val="24"/>
        </w:rPr>
        <w:t xml:space="preserve">Explain </w:t>
      </w:r>
      <w:r w:rsidR="00094630">
        <w:rPr>
          <w:rFonts w:asciiTheme="majorBidi" w:hAnsiTheme="majorBidi" w:cstheme="majorBidi"/>
          <w:color w:val="000000"/>
          <w:sz w:val="24"/>
          <w:szCs w:val="24"/>
        </w:rPr>
        <w:t>from slide 62</w:t>
      </w:r>
      <w:r w:rsidR="00E5423F">
        <w:rPr>
          <w:rFonts w:asciiTheme="majorBidi" w:hAnsiTheme="majorBidi" w:cstheme="majorBidi"/>
          <w:color w:val="000000"/>
          <w:sz w:val="24"/>
          <w:szCs w:val="24"/>
        </w:rPr>
        <w:t xml:space="preserve"> </w:t>
      </w:r>
      <w:r w:rsidRPr="00C246AD">
        <w:rPr>
          <w:rFonts w:asciiTheme="majorBidi" w:hAnsiTheme="majorBidi" w:cstheme="majorBidi"/>
          <w:color w:val="000000"/>
          <w:sz w:val="24"/>
          <w:szCs w:val="24"/>
        </w:rPr>
        <w:t xml:space="preserve">that </w:t>
      </w:r>
      <w:r w:rsidR="00C246AD" w:rsidRPr="00C246AD">
        <w:rPr>
          <w:rFonts w:asciiTheme="majorBidi" w:hAnsiTheme="majorBidi" w:cstheme="majorBidi"/>
          <w:color w:val="000000"/>
          <w:sz w:val="24"/>
          <w:szCs w:val="24"/>
        </w:rPr>
        <w:t>gender markers</w:t>
      </w:r>
      <w:r w:rsidR="00C246AD">
        <w:rPr>
          <w:rFonts w:asciiTheme="majorBidi" w:hAnsiTheme="majorBidi" w:cstheme="majorBidi"/>
          <w:color w:val="000000"/>
          <w:sz w:val="24"/>
          <w:szCs w:val="24"/>
        </w:rPr>
        <w:t xml:space="preserve"> are used</w:t>
      </w:r>
      <w:r w:rsidR="00C246AD" w:rsidRPr="00C246AD">
        <w:rPr>
          <w:rFonts w:asciiTheme="majorBidi" w:hAnsiTheme="majorBidi" w:cstheme="majorBidi"/>
          <w:color w:val="000000"/>
          <w:sz w:val="24"/>
          <w:szCs w:val="24"/>
        </w:rPr>
        <w:t xml:space="preserve"> to assess how well a program incorporates gender equality into planning and implementation and provide guidance on how to improve the process. Examples of commitments </w:t>
      </w:r>
      <w:r w:rsidR="00C246AD">
        <w:rPr>
          <w:rFonts w:asciiTheme="majorBidi" w:hAnsiTheme="majorBidi" w:cstheme="majorBidi"/>
          <w:color w:val="000000"/>
          <w:sz w:val="24"/>
          <w:szCs w:val="24"/>
        </w:rPr>
        <w:t>of gender markers may include</w:t>
      </w:r>
      <w:r w:rsidR="00C246AD" w:rsidRPr="00C246AD">
        <w:rPr>
          <w:rFonts w:asciiTheme="majorBidi" w:hAnsiTheme="majorBidi" w:cstheme="majorBidi"/>
          <w:color w:val="000000"/>
          <w:sz w:val="24"/>
          <w:szCs w:val="24"/>
        </w:rPr>
        <w:t>:</w:t>
      </w:r>
    </w:p>
    <w:p w:rsidR="00C246AD" w:rsidRDefault="00C246AD" w:rsidP="00695308">
      <w:pPr>
        <w:pStyle w:val="ListParagraph"/>
        <w:numPr>
          <w:ilvl w:val="0"/>
          <w:numId w:val="35"/>
        </w:numPr>
        <w:tabs>
          <w:tab w:val="left" w:pos="180"/>
        </w:tabs>
        <w:spacing w:after="0" w:line="240" w:lineRule="auto"/>
        <w:ind w:left="1440"/>
        <w:rPr>
          <w:rFonts w:asciiTheme="majorBidi" w:hAnsiTheme="majorBidi" w:cstheme="majorBidi"/>
          <w:color w:val="000000"/>
          <w:sz w:val="24"/>
          <w:szCs w:val="24"/>
        </w:rPr>
      </w:pPr>
      <w:r w:rsidRPr="00C246AD">
        <w:rPr>
          <w:rFonts w:asciiTheme="majorBidi" w:hAnsiTheme="majorBidi" w:cstheme="majorBidi"/>
          <w:color w:val="000000"/>
          <w:sz w:val="24"/>
          <w:szCs w:val="24"/>
        </w:rPr>
        <w:t>Analyze the impact of the crisis on women, girls, men and boys, ensuring that all strategies include a gender analysis, i.e., identification of the differences in nutritional requirements, feeding practices and access to nutritional services for women, girls, men and boys;</w:t>
      </w:r>
    </w:p>
    <w:p w:rsidR="00C246AD" w:rsidRDefault="00C246AD" w:rsidP="00695308">
      <w:pPr>
        <w:pStyle w:val="ListParagraph"/>
        <w:numPr>
          <w:ilvl w:val="0"/>
          <w:numId w:val="35"/>
        </w:numPr>
        <w:tabs>
          <w:tab w:val="left" w:pos="180"/>
        </w:tabs>
        <w:spacing w:after="0" w:line="240" w:lineRule="auto"/>
        <w:ind w:left="1440"/>
        <w:rPr>
          <w:rFonts w:asciiTheme="majorBidi" w:hAnsiTheme="majorBidi" w:cstheme="majorBidi"/>
          <w:color w:val="000000"/>
          <w:sz w:val="24"/>
          <w:szCs w:val="24"/>
        </w:rPr>
      </w:pPr>
      <w:r w:rsidRPr="00C246AD">
        <w:rPr>
          <w:rFonts w:asciiTheme="majorBidi" w:hAnsiTheme="majorBidi" w:cstheme="majorBidi"/>
          <w:color w:val="000000"/>
          <w:sz w:val="24"/>
          <w:szCs w:val="24"/>
        </w:rPr>
        <w:t>Take specific actions to prevent GBV;</w:t>
      </w:r>
    </w:p>
    <w:p w:rsidR="00C246AD" w:rsidRDefault="00C246AD" w:rsidP="00695308">
      <w:pPr>
        <w:pStyle w:val="ListParagraph"/>
        <w:numPr>
          <w:ilvl w:val="0"/>
          <w:numId w:val="35"/>
        </w:numPr>
        <w:tabs>
          <w:tab w:val="left" w:pos="180"/>
        </w:tabs>
        <w:spacing w:after="0" w:line="240" w:lineRule="auto"/>
        <w:ind w:left="1440"/>
        <w:rPr>
          <w:rFonts w:asciiTheme="majorBidi" w:hAnsiTheme="majorBidi" w:cstheme="majorBidi"/>
          <w:color w:val="000000"/>
          <w:sz w:val="24"/>
          <w:szCs w:val="24"/>
        </w:rPr>
      </w:pPr>
      <w:r w:rsidRPr="00C246AD">
        <w:rPr>
          <w:rFonts w:asciiTheme="majorBidi" w:hAnsiTheme="majorBidi" w:cstheme="majorBidi"/>
          <w:color w:val="000000"/>
          <w:sz w:val="24"/>
          <w:szCs w:val="24"/>
        </w:rPr>
        <w:t>Ensure that women and men benefit equally from train</w:t>
      </w:r>
      <w:r w:rsidR="00017862">
        <w:rPr>
          <w:rFonts w:asciiTheme="majorBidi" w:hAnsiTheme="majorBidi" w:cstheme="majorBidi"/>
          <w:color w:val="000000"/>
          <w:sz w:val="24"/>
          <w:szCs w:val="24"/>
        </w:rPr>
        <w:t>ing or other skills development</w:t>
      </w:r>
    </w:p>
    <w:p w:rsidR="00C246AD" w:rsidRDefault="00C246AD" w:rsidP="00695308">
      <w:pPr>
        <w:pStyle w:val="ListParagraph"/>
        <w:numPr>
          <w:ilvl w:val="0"/>
          <w:numId w:val="35"/>
        </w:numPr>
        <w:tabs>
          <w:tab w:val="left" w:pos="180"/>
        </w:tabs>
        <w:spacing w:after="0" w:line="240" w:lineRule="auto"/>
        <w:ind w:left="1440"/>
        <w:rPr>
          <w:rFonts w:asciiTheme="majorBidi" w:hAnsiTheme="majorBidi" w:cstheme="majorBidi"/>
          <w:color w:val="000000"/>
          <w:sz w:val="24"/>
          <w:szCs w:val="24"/>
        </w:rPr>
      </w:pPr>
      <w:r w:rsidRPr="00C246AD">
        <w:rPr>
          <w:rFonts w:asciiTheme="majorBidi" w:hAnsiTheme="majorBidi" w:cstheme="majorBidi"/>
          <w:color w:val="000000"/>
          <w:sz w:val="24"/>
          <w:szCs w:val="24"/>
        </w:rPr>
        <w:t xml:space="preserve">Ensure that distinct needs of women, girls, men and boys that may hinder their access to nutritional services are met </w:t>
      </w:r>
      <w:r w:rsidR="00545330" w:rsidRPr="00C246AD">
        <w:rPr>
          <w:rFonts w:asciiTheme="majorBidi" w:hAnsiTheme="majorBidi" w:cstheme="majorBidi"/>
          <w:color w:val="000000"/>
          <w:sz w:val="24"/>
          <w:szCs w:val="24"/>
        </w:rPr>
        <w:t>e.g.</w:t>
      </w:r>
      <w:r w:rsidRPr="00C246AD">
        <w:rPr>
          <w:rFonts w:asciiTheme="majorBidi" w:hAnsiTheme="majorBidi" w:cstheme="majorBidi"/>
          <w:color w:val="000000"/>
          <w:sz w:val="24"/>
          <w:szCs w:val="24"/>
        </w:rPr>
        <w:t xml:space="preserve"> provision of menstrual kits</w:t>
      </w:r>
    </w:p>
    <w:p w:rsidR="00C246AD" w:rsidRDefault="00C246AD" w:rsidP="00695308">
      <w:pPr>
        <w:pStyle w:val="ListParagraph"/>
        <w:numPr>
          <w:ilvl w:val="0"/>
          <w:numId w:val="35"/>
        </w:numPr>
        <w:tabs>
          <w:tab w:val="left" w:pos="180"/>
        </w:tabs>
        <w:spacing w:after="0" w:line="240" w:lineRule="auto"/>
        <w:ind w:left="1440"/>
        <w:rPr>
          <w:rFonts w:asciiTheme="majorBidi" w:hAnsiTheme="majorBidi" w:cstheme="majorBidi"/>
          <w:color w:val="000000"/>
          <w:sz w:val="24"/>
          <w:szCs w:val="24"/>
        </w:rPr>
      </w:pPr>
      <w:r w:rsidRPr="00C246AD">
        <w:rPr>
          <w:rFonts w:asciiTheme="majorBidi" w:hAnsiTheme="majorBidi" w:cstheme="majorBidi"/>
          <w:color w:val="000000"/>
          <w:sz w:val="24"/>
          <w:szCs w:val="24"/>
        </w:rPr>
        <w:t>Ensure that fathers and mothers are targeted equally by food education activities.</w:t>
      </w:r>
    </w:p>
    <w:p w:rsidR="00C246AD" w:rsidRDefault="00C246AD" w:rsidP="00695308">
      <w:pPr>
        <w:pStyle w:val="ListParagraph"/>
        <w:numPr>
          <w:ilvl w:val="0"/>
          <w:numId w:val="36"/>
        </w:numPr>
        <w:tabs>
          <w:tab w:val="left" w:pos="180"/>
        </w:tabs>
        <w:spacing w:after="0" w:line="240" w:lineRule="auto"/>
        <w:ind w:left="630"/>
        <w:rPr>
          <w:rFonts w:asciiTheme="majorBidi" w:hAnsiTheme="majorBidi" w:cstheme="majorBidi"/>
          <w:color w:val="000000"/>
          <w:sz w:val="24"/>
          <w:szCs w:val="24"/>
        </w:rPr>
      </w:pPr>
      <w:r>
        <w:rPr>
          <w:rFonts w:asciiTheme="majorBidi" w:hAnsiTheme="majorBidi" w:cstheme="majorBidi"/>
          <w:color w:val="000000"/>
          <w:sz w:val="24"/>
          <w:szCs w:val="24"/>
        </w:rPr>
        <w:t xml:space="preserve">  The example </w:t>
      </w:r>
      <w:r w:rsidRPr="00C246AD">
        <w:rPr>
          <w:rFonts w:asciiTheme="majorBidi" w:hAnsiTheme="majorBidi" w:cstheme="majorBidi"/>
          <w:color w:val="000000"/>
          <w:sz w:val="24"/>
          <w:szCs w:val="24"/>
        </w:rPr>
        <w:t xml:space="preserve">of </w:t>
      </w:r>
      <w:r>
        <w:rPr>
          <w:rFonts w:asciiTheme="majorBidi" w:hAnsiTheme="majorBidi" w:cstheme="majorBidi"/>
          <w:color w:val="000000"/>
          <w:sz w:val="24"/>
          <w:szCs w:val="24"/>
        </w:rPr>
        <w:t xml:space="preserve">the </w:t>
      </w:r>
      <w:r w:rsidRPr="00C246AD">
        <w:rPr>
          <w:rFonts w:asciiTheme="majorBidi" w:hAnsiTheme="majorBidi" w:cstheme="majorBidi"/>
          <w:color w:val="000000"/>
          <w:sz w:val="24"/>
          <w:szCs w:val="24"/>
        </w:rPr>
        <w:t>IASC Gender with Age Marker</w:t>
      </w:r>
      <w:r w:rsidR="00E5423F">
        <w:rPr>
          <w:rFonts w:asciiTheme="majorBidi" w:hAnsiTheme="majorBidi" w:cstheme="majorBidi"/>
          <w:color w:val="000000"/>
          <w:sz w:val="24"/>
          <w:szCs w:val="24"/>
        </w:rPr>
        <w:t xml:space="preserve">: Show </w:t>
      </w:r>
      <w:r>
        <w:rPr>
          <w:rFonts w:asciiTheme="majorBidi" w:hAnsiTheme="majorBidi" w:cstheme="majorBidi"/>
          <w:color w:val="000000"/>
          <w:sz w:val="24"/>
          <w:szCs w:val="24"/>
        </w:rPr>
        <w:t>slide</w:t>
      </w:r>
      <w:r w:rsidR="00094630">
        <w:rPr>
          <w:rFonts w:asciiTheme="majorBidi" w:hAnsiTheme="majorBidi" w:cstheme="majorBidi"/>
          <w:color w:val="000000"/>
          <w:sz w:val="24"/>
          <w:szCs w:val="24"/>
        </w:rPr>
        <w:t xml:space="preserve"> 63</w:t>
      </w:r>
      <w:r>
        <w:rPr>
          <w:rFonts w:asciiTheme="majorBidi" w:hAnsiTheme="majorBidi" w:cstheme="majorBidi"/>
          <w:color w:val="000000"/>
          <w:sz w:val="24"/>
          <w:szCs w:val="24"/>
        </w:rPr>
        <w:t xml:space="preserve"> and explain the following:</w:t>
      </w:r>
    </w:p>
    <w:p w:rsidR="00C246AD" w:rsidRPr="00C246AD" w:rsidRDefault="00C246AD" w:rsidP="00695308">
      <w:pPr>
        <w:pStyle w:val="ListParagraph"/>
        <w:numPr>
          <w:ilvl w:val="0"/>
          <w:numId w:val="37"/>
        </w:numPr>
        <w:tabs>
          <w:tab w:val="left" w:pos="180"/>
        </w:tabs>
        <w:spacing w:after="0" w:line="240" w:lineRule="auto"/>
        <w:ind w:left="1440"/>
        <w:rPr>
          <w:rFonts w:asciiTheme="majorBidi" w:hAnsiTheme="majorBidi" w:cstheme="majorBidi"/>
          <w:color w:val="000000"/>
          <w:sz w:val="24"/>
          <w:szCs w:val="24"/>
        </w:rPr>
      </w:pPr>
      <w:r w:rsidRPr="00C246AD">
        <w:rPr>
          <w:rFonts w:asciiTheme="majorBidi" w:hAnsiTheme="majorBidi" w:cstheme="majorBidi"/>
          <w:color w:val="000000"/>
          <w:sz w:val="24"/>
          <w:szCs w:val="24"/>
        </w:rPr>
        <w:t>The IASC Gender with Age Marker (GAM) looks at the extent to which essential programming actions address gender- and age-related differences in humanitarian response. It was developed in response to requests to strengthen the original IASC Gender Marker by including age and, most significantly, by adding a monitoring component. In addition to measuring program effectiveness, it is a valuable teaching and self-monitoring tool, allowing organizations to learn by doing in developing programs that respond to all aspects of diversity.</w:t>
      </w:r>
    </w:p>
    <w:p w:rsidR="00C246AD" w:rsidRDefault="00C246AD" w:rsidP="00695308">
      <w:pPr>
        <w:pStyle w:val="ListParagraph"/>
        <w:numPr>
          <w:ilvl w:val="0"/>
          <w:numId w:val="37"/>
        </w:numPr>
        <w:tabs>
          <w:tab w:val="left" w:pos="180"/>
        </w:tabs>
        <w:spacing w:after="0" w:line="240" w:lineRule="auto"/>
        <w:ind w:left="1440"/>
        <w:rPr>
          <w:rFonts w:asciiTheme="majorBidi" w:hAnsiTheme="majorBidi" w:cstheme="majorBidi"/>
          <w:color w:val="000000"/>
          <w:sz w:val="24"/>
          <w:szCs w:val="24"/>
        </w:rPr>
      </w:pPr>
      <w:r w:rsidRPr="00C246AD">
        <w:rPr>
          <w:rFonts w:asciiTheme="majorBidi" w:hAnsiTheme="majorBidi" w:cstheme="majorBidi"/>
          <w:color w:val="000000"/>
          <w:sz w:val="24"/>
          <w:szCs w:val="24"/>
        </w:rPr>
        <w:lastRenderedPageBreak/>
        <w:t>With the 2019 Humanitarian Planning Cycle (HPC), the GAM replaces the previous IASC Gender Marker applied to appeal projects since 2009. Its use will be similarly required in the Financial Tracking System (FTS), and Member States asked to commit to only funding partners who report to the FTS using the IASC Gender with Age Marker, and subsequently update the marker based on monitoring data.</w:t>
      </w:r>
    </w:p>
    <w:p w:rsidR="0003498B" w:rsidRDefault="0003498B" w:rsidP="00695308">
      <w:pPr>
        <w:pStyle w:val="ListParagraph"/>
        <w:numPr>
          <w:ilvl w:val="0"/>
          <w:numId w:val="36"/>
        </w:numPr>
        <w:tabs>
          <w:tab w:val="left" w:pos="180"/>
        </w:tabs>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Highlight that </w:t>
      </w:r>
      <w:r w:rsidR="00E34365">
        <w:rPr>
          <w:rFonts w:asciiTheme="majorBidi" w:hAnsiTheme="majorBidi" w:cstheme="majorBidi"/>
          <w:color w:val="000000"/>
          <w:sz w:val="24"/>
          <w:szCs w:val="24"/>
        </w:rPr>
        <w:t xml:space="preserve">it is also very important to reflect gender and GBV issues properly when drafting a proposal. There </w:t>
      </w:r>
      <w:r w:rsidR="00017862">
        <w:rPr>
          <w:rFonts w:asciiTheme="majorBidi" w:hAnsiTheme="majorBidi" w:cstheme="majorBidi"/>
          <w:color w:val="000000"/>
          <w:sz w:val="24"/>
          <w:szCs w:val="24"/>
        </w:rPr>
        <w:t>is</w:t>
      </w:r>
      <w:r w:rsidR="00E34365">
        <w:rPr>
          <w:rFonts w:asciiTheme="majorBidi" w:hAnsiTheme="majorBidi" w:cstheme="majorBidi"/>
          <w:color w:val="000000"/>
          <w:sz w:val="24"/>
          <w:szCs w:val="24"/>
        </w:rPr>
        <w:t xml:space="preserve"> guidance </w:t>
      </w:r>
      <w:r w:rsidR="00E34365" w:rsidRPr="00E34365">
        <w:rPr>
          <w:rFonts w:asciiTheme="majorBidi" w:hAnsiTheme="majorBidi" w:cstheme="majorBidi"/>
          <w:color w:val="000000"/>
          <w:sz w:val="24"/>
          <w:szCs w:val="24"/>
        </w:rPr>
        <w:t>on important considerations for mobilizing gender and GBV-related resources when drafting proposals for nutrition programming.</w:t>
      </w:r>
      <w:r w:rsidR="00E34365">
        <w:rPr>
          <w:rFonts w:asciiTheme="majorBidi" w:hAnsiTheme="majorBidi" w:cstheme="majorBidi"/>
          <w:color w:val="000000"/>
          <w:sz w:val="24"/>
          <w:szCs w:val="24"/>
        </w:rPr>
        <w:t xml:space="preserve"> </w:t>
      </w:r>
    </w:p>
    <w:p w:rsidR="00E34365" w:rsidRDefault="00E34365" w:rsidP="00695308">
      <w:pPr>
        <w:pStyle w:val="ListParagraph"/>
        <w:numPr>
          <w:ilvl w:val="0"/>
          <w:numId w:val="36"/>
        </w:numPr>
        <w:tabs>
          <w:tab w:val="left" w:pos="180"/>
        </w:tabs>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Read the slides</w:t>
      </w:r>
      <w:r w:rsidR="00094630">
        <w:rPr>
          <w:rFonts w:asciiTheme="majorBidi" w:hAnsiTheme="majorBidi" w:cstheme="majorBidi"/>
          <w:color w:val="000000"/>
          <w:sz w:val="24"/>
          <w:szCs w:val="24"/>
        </w:rPr>
        <w:t xml:space="preserve"> 64 and 65</w:t>
      </w:r>
      <w:r>
        <w:rPr>
          <w:rFonts w:asciiTheme="majorBidi" w:hAnsiTheme="majorBidi" w:cstheme="majorBidi"/>
          <w:color w:val="000000"/>
          <w:sz w:val="24"/>
          <w:szCs w:val="24"/>
        </w:rPr>
        <w:t xml:space="preserve"> on some key considerations and emphasize that </w:t>
      </w:r>
      <w:r w:rsidR="00C24369">
        <w:rPr>
          <w:rFonts w:asciiTheme="majorBidi" w:hAnsiTheme="majorBidi" w:cstheme="majorBidi"/>
          <w:color w:val="000000"/>
          <w:sz w:val="24"/>
          <w:szCs w:val="24"/>
        </w:rPr>
        <w:t>gender and GBV considerations should be well articulated and elaborated in the different parts of the proposal (overview, needs analysis, rational, implementation and M&amp;E)</w:t>
      </w:r>
    </w:p>
    <w:p w:rsidR="00956FBC" w:rsidRPr="00956FBC" w:rsidRDefault="00094630" w:rsidP="00695308">
      <w:pPr>
        <w:pStyle w:val="ListParagraph"/>
        <w:numPr>
          <w:ilvl w:val="0"/>
          <w:numId w:val="36"/>
        </w:numPr>
        <w:tabs>
          <w:tab w:val="left" w:pos="180"/>
        </w:tabs>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Read </w:t>
      </w:r>
      <w:r w:rsidR="00956FBC" w:rsidRPr="00956FBC">
        <w:rPr>
          <w:rFonts w:asciiTheme="majorBidi" w:hAnsiTheme="majorBidi" w:cstheme="majorBidi"/>
          <w:color w:val="000000"/>
          <w:sz w:val="24"/>
          <w:szCs w:val="24"/>
        </w:rPr>
        <w:t>slide</w:t>
      </w:r>
      <w:r>
        <w:rPr>
          <w:rFonts w:asciiTheme="majorBidi" w:hAnsiTheme="majorBidi" w:cstheme="majorBidi"/>
          <w:color w:val="000000"/>
          <w:sz w:val="24"/>
          <w:szCs w:val="24"/>
        </w:rPr>
        <w:t>s 66 &amp; 67</w:t>
      </w:r>
      <w:r w:rsidR="00956FBC" w:rsidRPr="00956FBC">
        <w:rPr>
          <w:rFonts w:asciiTheme="majorBidi" w:hAnsiTheme="majorBidi" w:cstheme="majorBidi"/>
          <w:color w:val="000000"/>
          <w:sz w:val="24"/>
          <w:szCs w:val="24"/>
        </w:rPr>
        <w:t xml:space="preserve"> on good practice in GBV risk mitigation budgeting </w:t>
      </w:r>
    </w:p>
    <w:p w:rsidR="00956FBC" w:rsidRPr="00956FBC" w:rsidRDefault="00956FBC" w:rsidP="00695308">
      <w:pPr>
        <w:pStyle w:val="ListParagraph"/>
        <w:numPr>
          <w:ilvl w:val="0"/>
          <w:numId w:val="36"/>
        </w:numPr>
        <w:tabs>
          <w:tab w:val="left" w:pos="180"/>
        </w:tabs>
        <w:spacing w:after="0" w:line="240" w:lineRule="auto"/>
        <w:rPr>
          <w:rFonts w:asciiTheme="majorBidi" w:hAnsiTheme="majorBidi" w:cstheme="majorBidi"/>
          <w:color w:val="000000"/>
          <w:sz w:val="24"/>
          <w:szCs w:val="24"/>
        </w:rPr>
      </w:pPr>
      <w:r w:rsidRPr="00956FBC">
        <w:rPr>
          <w:rFonts w:asciiTheme="majorBidi" w:hAnsiTheme="majorBidi" w:cstheme="majorBidi"/>
          <w:color w:val="000000"/>
          <w:sz w:val="24"/>
          <w:szCs w:val="24"/>
        </w:rPr>
        <w:t>Highlight that many GBV prevention/risk mitigation actions don’t require additional budgets</w:t>
      </w:r>
    </w:p>
    <w:p w:rsidR="00956FBC" w:rsidRPr="00956FBC" w:rsidRDefault="00956FBC" w:rsidP="00695308">
      <w:pPr>
        <w:pStyle w:val="ListParagraph"/>
        <w:numPr>
          <w:ilvl w:val="0"/>
          <w:numId w:val="36"/>
        </w:numPr>
        <w:tabs>
          <w:tab w:val="left" w:pos="180"/>
        </w:tabs>
        <w:spacing w:after="0" w:line="240" w:lineRule="auto"/>
        <w:rPr>
          <w:rFonts w:asciiTheme="majorBidi" w:hAnsiTheme="majorBidi" w:cstheme="majorBidi"/>
          <w:color w:val="000000"/>
          <w:sz w:val="24"/>
          <w:szCs w:val="24"/>
        </w:rPr>
      </w:pPr>
      <w:r w:rsidRPr="00956FBC">
        <w:rPr>
          <w:rFonts w:asciiTheme="majorBidi" w:hAnsiTheme="majorBidi" w:cstheme="majorBidi"/>
          <w:color w:val="000000"/>
          <w:sz w:val="24"/>
          <w:szCs w:val="24"/>
        </w:rPr>
        <w:t xml:space="preserve">Explain that there would be still some hardware and software interventions that are more serious and require a dedicated budgeting </w:t>
      </w:r>
    </w:p>
    <w:p w:rsidR="00956FBC" w:rsidRPr="00956FBC" w:rsidRDefault="00094630" w:rsidP="00695308">
      <w:pPr>
        <w:pStyle w:val="ListParagraph"/>
        <w:numPr>
          <w:ilvl w:val="0"/>
          <w:numId w:val="36"/>
        </w:numPr>
        <w:tabs>
          <w:tab w:val="left" w:pos="180"/>
        </w:tabs>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Read slide 68</w:t>
      </w:r>
      <w:r w:rsidR="00956FBC" w:rsidRPr="00956FBC">
        <w:rPr>
          <w:rFonts w:asciiTheme="majorBidi" w:hAnsiTheme="majorBidi" w:cstheme="majorBidi"/>
          <w:color w:val="000000"/>
          <w:sz w:val="24"/>
          <w:szCs w:val="24"/>
        </w:rPr>
        <w:t xml:space="preserve"> on examples of interventions that need money</w:t>
      </w:r>
    </w:p>
    <w:p w:rsidR="00956FBC" w:rsidRDefault="00956FBC" w:rsidP="00695308">
      <w:pPr>
        <w:pStyle w:val="ListParagraph"/>
        <w:numPr>
          <w:ilvl w:val="0"/>
          <w:numId w:val="36"/>
        </w:numPr>
        <w:tabs>
          <w:tab w:val="left" w:pos="180"/>
        </w:tabs>
        <w:spacing w:after="0" w:line="240" w:lineRule="auto"/>
        <w:rPr>
          <w:rFonts w:asciiTheme="majorBidi" w:hAnsiTheme="majorBidi" w:cstheme="majorBidi"/>
          <w:color w:val="000000"/>
          <w:sz w:val="24"/>
          <w:szCs w:val="24"/>
        </w:rPr>
      </w:pPr>
      <w:r w:rsidRPr="00956FBC">
        <w:rPr>
          <w:rFonts w:asciiTheme="majorBidi" w:hAnsiTheme="majorBidi" w:cstheme="majorBidi"/>
          <w:color w:val="000000"/>
          <w:sz w:val="24"/>
          <w:szCs w:val="24"/>
        </w:rPr>
        <w:t>Summarize with key main points about GBV risk mitigation budgeting</w:t>
      </w:r>
    </w:p>
    <w:p w:rsidR="00956FBC" w:rsidRDefault="00956FBC" w:rsidP="00695308">
      <w:pPr>
        <w:pStyle w:val="ListParagraph"/>
        <w:numPr>
          <w:ilvl w:val="0"/>
          <w:numId w:val="72"/>
        </w:numPr>
        <w:tabs>
          <w:tab w:val="left" w:pos="180"/>
        </w:tabs>
        <w:spacing w:after="0" w:line="240" w:lineRule="auto"/>
        <w:rPr>
          <w:rFonts w:asciiTheme="majorBidi" w:hAnsiTheme="majorBidi" w:cstheme="majorBidi"/>
          <w:color w:val="000000"/>
          <w:sz w:val="24"/>
          <w:szCs w:val="24"/>
        </w:rPr>
      </w:pPr>
      <w:r w:rsidRPr="00956FBC">
        <w:rPr>
          <w:rFonts w:asciiTheme="majorBidi" w:hAnsiTheme="majorBidi" w:cstheme="majorBidi"/>
          <w:color w:val="000000"/>
          <w:sz w:val="24"/>
          <w:szCs w:val="24"/>
        </w:rPr>
        <w:t>Don’t be afraid to budget for GBV-related interventions</w:t>
      </w:r>
    </w:p>
    <w:p w:rsidR="00956FBC" w:rsidRDefault="00956FBC" w:rsidP="00695308">
      <w:pPr>
        <w:pStyle w:val="ListParagraph"/>
        <w:numPr>
          <w:ilvl w:val="0"/>
          <w:numId w:val="72"/>
        </w:numPr>
        <w:tabs>
          <w:tab w:val="left" w:pos="180"/>
        </w:tabs>
        <w:spacing w:after="0" w:line="240" w:lineRule="auto"/>
        <w:rPr>
          <w:rFonts w:asciiTheme="majorBidi" w:hAnsiTheme="majorBidi" w:cstheme="majorBidi"/>
          <w:color w:val="000000"/>
          <w:sz w:val="24"/>
          <w:szCs w:val="24"/>
        </w:rPr>
      </w:pPr>
      <w:r w:rsidRPr="00956FBC">
        <w:rPr>
          <w:rFonts w:asciiTheme="majorBidi" w:hAnsiTheme="majorBidi" w:cstheme="majorBidi"/>
          <w:color w:val="000000"/>
          <w:sz w:val="24"/>
          <w:szCs w:val="24"/>
        </w:rPr>
        <w:t>A strong proposal that outlines GBV risk and risk mitigation strategies at each stage of project design should be able to justify funding requests</w:t>
      </w:r>
    </w:p>
    <w:p w:rsidR="00956FBC" w:rsidRDefault="00956FBC" w:rsidP="00695308">
      <w:pPr>
        <w:pStyle w:val="ListParagraph"/>
        <w:numPr>
          <w:ilvl w:val="0"/>
          <w:numId w:val="72"/>
        </w:numPr>
        <w:tabs>
          <w:tab w:val="left" w:pos="180"/>
        </w:tabs>
        <w:spacing w:after="0" w:line="240" w:lineRule="auto"/>
        <w:rPr>
          <w:rFonts w:asciiTheme="majorBidi" w:hAnsiTheme="majorBidi" w:cstheme="majorBidi"/>
          <w:color w:val="000000"/>
          <w:sz w:val="24"/>
          <w:szCs w:val="24"/>
        </w:rPr>
      </w:pPr>
      <w:r w:rsidRPr="00956FBC">
        <w:rPr>
          <w:rFonts w:asciiTheme="majorBidi" w:hAnsiTheme="majorBidi" w:cstheme="majorBidi"/>
          <w:color w:val="000000"/>
          <w:sz w:val="24"/>
          <w:szCs w:val="24"/>
        </w:rPr>
        <w:t>Donors are increasingly requesting that grantees account for GBV risk mitigation in their proposals</w:t>
      </w:r>
    </w:p>
    <w:p w:rsidR="00956FBC" w:rsidRPr="00956FBC" w:rsidRDefault="00956FBC" w:rsidP="00695308">
      <w:pPr>
        <w:pStyle w:val="ListParagraph"/>
        <w:numPr>
          <w:ilvl w:val="0"/>
          <w:numId w:val="72"/>
        </w:numPr>
        <w:tabs>
          <w:tab w:val="left" w:pos="180"/>
        </w:tabs>
        <w:spacing w:after="0" w:line="240" w:lineRule="auto"/>
        <w:rPr>
          <w:rFonts w:asciiTheme="majorBidi" w:hAnsiTheme="majorBidi" w:cstheme="majorBidi"/>
          <w:color w:val="000000"/>
          <w:sz w:val="24"/>
          <w:szCs w:val="24"/>
        </w:rPr>
      </w:pPr>
      <w:r w:rsidRPr="00956FBC">
        <w:rPr>
          <w:rFonts w:asciiTheme="majorBidi" w:hAnsiTheme="majorBidi" w:cstheme="majorBidi"/>
          <w:color w:val="000000"/>
          <w:sz w:val="24"/>
          <w:szCs w:val="24"/>
        </w:rPr>
        <w:t>Be prepared to push back if you face a skeptical donor</w:t>
      </w:r>
    </w:p>
    <w:p w:rsidR="00956FBC" w:rsidRPr="004B63D2" w:rsidRDefault="00C24369" w:rsidP="00695308">
      <w:pPr>
        <w:pStyle w:val="ListParagraph"/>
        <w:numPr>
          <w:ilvl w:val="0"/>
          <w:numId w:val="73"/>
        </w:numPr>
        <w:tabs>
          <w:tab w:val="left" w:pos="180"/>
        </w:tabs>
        <w:spacing w:after="0" w:line="240" w:lineRule="auto"/>
        <w:rPr>
          <w:rFonts w:asciiTheme="majorBidi" w:hAnsiTheme="majorBidi" w:cstheme="majorBidi"/>
          <w:color w:val="000000"/>
          <w:sz w:val="24"/>
          <w:szCs w:val="24"/>
        </w:rPr>
      </w:pPr>
      <w:r w:rsidRPr="00956FBC">
        <w:rPr>
          <w:rFonts w:asciiTheme="majorBidi" w:hAnsiTheme="majorBidi" w:cstheme="majorBidi"/>
          <w:color w:val="000000"/>
          <w:sz w:val="24"/>
          <w:szCs w:val="24"/>
        </w:rPr>
        <w:t>Exercise- Drafting gender and GBV responsive proposals</w:t>
      </w:r>
      <w:r w:rsidR="00CA5333">
        <w:rPr>
          <w:rFonts w:asciiTheme="majorBidi" w:hAnsiTheme="majorBidi" w:cstheme="majorBidi"/>
          <w:color w:val="000000"/>
          <w:sz w:val="24"/>
          <w:szCs w:val="24"/>
        </w:rPr>
        <w:t>- slide 69</w:t>
      </w:r>
      <w:r w:rsidRPr="00956FBC">
        <w:rPr>
          <w:rFonts w:asciiTheme="majorBidi" w:hAnsiTheme="majorBidi" w:cstheme="majorBidi"/>
          <w:color w:val="000000"/>
          <w:sz w:val="24"/>
          <w:szCs w:val="24"/>
        </w:rPr>
        <w:t>:</w:t>
      </w:r>
      <w:r w:rsidR="00956FBC" w:rsidRPr="00956FBC">
        <w:rPr>
          <w:rFonts w:asciiTheme="majorBidi" w:hAnsiTheme="majorBidi" w:cstheme="majorBidi"/>
          <w:color w:val="000000"/>
          <w:sz w:val="24"/>
          <w:szCs w:val="24"/>
        </w:rPr>
        <w:t xml:space="preserve"> </w:t>
      </w:r>
      <w:r w:rsidR="00956FBC" w:rsidRPr="00956FBC">
        <w:rPr>
          <w:rFonts w:asciiTheme="majorBidi" w:hAnsiTheme="majorBidi" w:cstheme="majorBidi"/>
          <w:color w:val="000000"/>
          <w:sz w:val="24"/>
          <w:szCs w:val="24"/>
        </w:rPr>
        <w:t>During this exercise, participants will look at a real sample proposals and recommend improvements that ensure integrating GBV ri</w:t>
      </w:r>
      <w:r w:rsidR="004B63D2">
        <w:rPr>
          <w:rFonts w:asciiTheme="majorBidi" w:hAnsiTheme="majorBidi" w:cstheme="majorBidi"/>
          <w:color w:val="000000"/>
          <w:sz w:val="24"/>
          <w:szCs w:val="24"/>
        </w:rPr>
        <w:t xml:space="preserve">sk mitigation into the proposal. </w:t>
      </w:r>
      <w:r w:rsidR="00956FBC" w:rsidRPr="004B63D2">
        <w:rPr>
          <w:rFonts w:asciiTheme="majorBidi" w:hAnsiTheme="majorBidi" w:cstheme="majorBidi"/>
          <w:color w:val="000000"/>
          <w:sz w:val="24"/>
          <w:szCs w:val="24"/>
        </w:rPr>
        <w:t>Instructions</w:t>
      </w:r>
      <w:r w:rsidR="004B63D2">
        <w:rPr>
          <w:rFonts w:asciiTheme="majorBidi" w:hAnsiTheme="majorBidi" w:cstheme="majorBidi"/>
          <w:color w:val="000000"/>
          <w:sz w:val="24"/>
          <w:szCs w:val="24"/>
        </w:rPr>
        <w:t xml:space="preserve"> are as follows:</w:t>
      </w:r>
    </w:p>
    <w:p w:rsidR="004B63D2" w:rsidRDefault="00956FBC" w:rsidP="00695308">
      <w:pPr>
        <w:pStyle w:val="ListParagraph"/>
        <w:numPr>
          <w:ilvl w:val="0"/>
          <w:numId w:val="72"/>
        </w:numPr>
        <w:tabs>
          <w:tab w:val="left" w:pos="180"/>
        </w:tabs>
        <w:spacing w:after="0" w:line="240" w:lineRule="auto"/>
        <w:rPr>
          <w:rFonts w:asciiTheme="majorBidi" w:hAnsiTheme="majorBidi" w:cstheme="majorBidi"/>
          <w:color w:val="000000"/>
          <w:sz w:val="24"/>
          <w:szCs w:val="24"/>
        </w:rPr>
      </w:pPr>
      <w:r w:rsidRPr="00956FBC">
        <w:rPr>
          <w:rFonts w:asciiTheme="majorBidi" w:hAnsiTheme="majorBidi" w:cstheme="majorBidi"/>
          <w:color w:val="000000"/>
          <w:sz w:val="24"/>
          <w:szCs w:val="24"/>
        </w:rPr>
        <w:t>Split the participants into 4 groups. Each group will get a proposal sample and a resource mobilization template</w:t>
      </w:r>
    </w:p>
    <w:p w:rsidR="004B63D2" w:rsidRPr="004B63D2" w:rsidRDefault="004B63D2" w:rsidP="00695308">
      <w:pPr>
        <w:pStyle w:val="ListParagraph"/>
        <w:numPr>
          <w:ilvl w:val="0"/>
          <w:numId w:val="72"/>
        </w:numPr>
        <w:tabs>
          <w:tab w:val="left" w:pos="180"/>
        </w:tabs>
        <w:spacing w:after="0" w:line="240" w:lineRule="auto"/>
        <w:rPr>
          <w:rFonts w:asciiTheme="majorBidi" w:hAnsiTheme="majorBidi" w:cstheme="majorBidi"/>
          <w:color w:val="000000"/>
          <w:sz w:val="24"/>
          <w:szCs w:val="24"/>
        </w:rPr>
      </w:pPr>
      <w:r w:rsidRPr="004B63D2">
        <w:rPr>
          <w:rFonts w:asciiTheme="majorBidi" w:hAnsiTheme="majorBidi" w:cstheme="majorBidi"/>
          <w:color w:val="000000"/>
          <w:sz w:val="24"/>
          <w:szCs w:val="24"/>
        </w:rPr>
        <w:t>Review the overview, needs analysis and rational components of the proposal</w:t>
      </w:r>
      <w:r>
        <w:rPr>
          <w:rFonts w:asciiTheme="majorBidi" w:hAnsiTheme="majorBidi" w:cstheme="majorBidi"/>
          <w:color w:val="000000"/>
          <w:sz w:val="24"/>
          <w:szCs w:val="24"/>
        </w:rPr>
        <w:t xml:space="preserve"> </w:t>
      </w:r>
      <w:r w:rsidR="00956FBC" w:rsidRPr="004B63D2">
        <w:rPr>
          <w:rFonts w:asciiTheme="majorBidi" w:hAnsiTheme="majorBidi" w:cstheme="majorBidi"/>
          <w:color w:val="000000"/>
          <w:sz w:val="24"/>
          <w:szCs w:val="24"/>
        </w:rPr>
        <w:t>and discuss how it can better reflect GBV risk mitigation considerations across each proposal component. Use the template/discussion guide to frame your work. Ideally have someone in your group keep track of you</w:t>
      </w:r>
      <w:r w:rsidRPr="004B63D2">
        <w:rPr>
          <w:rFonts w:asciiTheme="majorBidi" w:hAnsiTheme="majorBidi" w:cstheme="majorBidi"/>
          <w:color w:val="000000"/>
          <w:sz w:val="24"/>
          <w:szCs w:val="24"/>
        </w:rPr>
        <w:t>r recommendations for the presentation.</w:t>
      </w:r>
    </w:p>
    <w:p w:rsidR="00956FBC" w:rsidRPr="004B63D2" w:rsidRDefault="00956FBC" w:rsidP="00695308">
      <w:pPr>
        <w:pStyle w:val="ListParagraph"/>
        <w:numPr>
          <w:ilvl w:val="0"/>
          <w:numId w:val="72"/>
        </w:numPr>
        <w:tabs>
          <w:tab w:val="left" w:pos="180"/>
        </w:tabs>
        <w:spacing w:after="0" w:line="240" w:lineRule="auto"/>
        <w:rPr>
          <w:rFonts w:asciiTheme="majorBidi" w:hAnsiTheme="majorBidi" w:cstheme="majorBidi"/>
          <w:color w:val="000000"/>
          <w:sz w:val="24"/>
          <w:szCs w:val="24"/>
        </w:rPr>
      </w:pPr>
      <w:r w:rsidRPr="004B63D2">
        <w:rPr>
          <w:rFonts w:asciiTheme="majorBidi" w:hAnsiTheme="majorBidi" w:cstheme="majorBidi"/>
          <w:color w:val="000000"/>
          <w:sz w:val="24"/>
          <w:szCs w:val="24"/>
        </w:rPr>
        <w:t>Use the Resource Mobilization section of the GBV Guidelines</w:t>
      </w:r>
      <w:r w:rsidR="004B63D2">
        <w:rPr>
          <w:rFonts w:asciiTheme="majorBidi" w:hAnsiTheme="majorBidi" w:cstheme="majorBidi"/>
          <w:color w:val="000000"/>
          <w:sz w:val="24"/>
          <w:szCs w:val="24"/>
        </w:rPr>
        <w:t>- nutrition TAG page 43</w:t>
      </w:r>
      <w:r w:rsidRPr="004B63D2">
        <w:rPr>
          <w:rFonts w:asciiTheme="majorBidi" w:hAnsiTheme="majorBidi" w:cstheme="majorBidi"/>
          <w:color w:val="000000"/>
          <w:sz w:val="24"/>
          <w:szCs w:val="24"/>
        </w:rPr>
        <w:t xml:space="preserve"> to help guide you</w:t>
      </w:r>
    </w:p>
    <w:p w:rsidR="00956FBC" w:rsidRDefault="00956FBC" w:rsidP="00695308">
      <w:pPr>
        <w:pStyle w:val="ListParagraph"/>
        <w:numPr>
          <w:ilvl w:val="0"/>
          <w:numId w:val="72"/>
        </w:numPr>
        <w:tabs>
          <w:tab w:val="left" w:pos="180"/>
        </w:tabs>
        <w:spacing w:after="0" w:line="240" w:lineRule="auto"/>
        <w:rPr>
          <w:rFonts w:asciiTheme="majorBidi" w:hAnsiTheme="majorBidi" w:cstheme="majorBidi"/>
          <w:color w:val="000000"/>
          <w:sz w:val="24"/>
          <w:szCs w:val="24"/>
        </w:rPr>
      </w:pPr>
      <w:r w:rsidRPr="00956FBC">
        <w:rPr>
          <w:rFonts w:asciiTheme="majorBidi" w:hAnsiTheme="majorBidi" w:cstheme="majorBidi"/>
          <w:color w:val="000000"/>
          <w:sz w:val="24"/>
          <w:szCs w:val="24"/>
        </w:rPr>
        <w:t>Prepare a 5-minute presentation on your recommendations</w:t>
      </w:r>
    </w:p>
    <w:p w:rsidR="004B63D2" w:rsidRPr="00956FBC" w:rsidRDefault="004B63D2" w:rsidP="004B63D2">
      <w:pPr>
        <w:pStyle w:val="ListParagraph"/>
        <w:tabs>
          <w:tab w:val="left" w:pos="180"/>
        </w:tabs>
        <w:spacing w:after="0" w:line="240" w:lineRule="auto"/>
        <w:ind w:left="1440"/>
        <w:rPr>
          <w:rFonts w:asciiTheme="majorBidi" w:hAnsiTheme="majorBidi" w:cstheme="majorBidi"/>
          <w:color w:val="000000"/>
          <w:sz w:val="24"/>
          <w:szCs w:val="24"/>
        </w:rPr>
      </w:pPr>
    </w:p>
    <w:p w:rsidR="00C24369" w:rsidRPr="004B63D2" w:rsidRDefault="00A95E31" w:rsidP="004B63D2">
      <w:pPr>
        <w:shd w:val="clear" w:color="auto" w:fill="F2F2F2" w:themeFill="background1" w:themeFillShade="F2"/>
        <w:tabs>
          <w:tab w:val="left" w:pos="180"/>
        </w:tabs>
        <w:spacing w:after="0" w:line="240" w:lineRule="auto"/>
        <w:rPr>
          <w:rFonts w:asciiTheme="majorBidi" w:hAnsiTheme="majorBidi" w:cstheme="majorBidi"/>
          <w:b/>
          <w:bCs/>
          <w:color w:val="000000"/>
          <w:sz w:val="24"/>
          <w:szCs w:val="24"/>
        </w:rPr>
      </w:pPr>
      <w:r w:rsidRPr="004B63D2">
        <w:rPr>
          <w:rFonts w:asciiTheme="majorBidi" w:hAnsiTheme="majorBidi" w:cstheme="majorBidi"/>
          <w:b/>
          <w:bCs/>
          <w:color w:val="000000"/>
          <w:sz w:val="24"/>
          <w:szCs w:val="24"/>
        </w:rPr>
        <w:t>Implementation of nutrition programs using gender and GBV lens</w:t>
      </w:r>
    </w:p>
    <w:p w:rsidR="00A95E31" w:rsidRDefault="00A95E31" w:rsidP="00BC5852">
      <w:pPr>
        <w:tabs>
          <w:tab w:val="left" w:pos="180"/>
        </w:tabs>
        <w:spacing w:after="0" w:line="240" w:lineRule="auto"/>
        <w:ind w:left="360"/>
        <w:rPr>
          <w:rFonts w:asciiTheme="majorBidi" w:hAnsiTheme="majorBidi" w:cstheme="majorBidi"/>
          <w:color w:val="000000"/>
          <w:sz w:val="24"/>
          <w:szCs w:val="24"/>
        </w:rPr>
      </w:pPr>
      <w:r>
        <w:rPr>
          <w:rFonts w:asciiTheme="majorBidi" w:hAnsiTheme="majorBidi" w:cstheme="majorBidi"/>
          <w:color w:val="000000"/>
          <w:sz w:val="24"/>
          <w:szCs w:val="24"/>
        </w:rPr>
        <w:t xml:space="preserve">This part of the session focuses on the design of gender and GBV responsive nutrition programs in terms of activities and real examples as </w:t>
      </w:r>
      <w:r w:rsidR="00BC5852">
        <w:rPr>
          <w:rFonts w:asciiTheme="majorBidi" w:hAnsiTheme="majorBidi" w:cstheme="majorBidi"/>
          <w:color w:val="000000"/>
          <w:sz w:val="24"/>
          <w:szCs w:val="24"/>
        </w:rPr>
        <w:t>well as ethical considerations. It</w:t>
      </w:r>
      <w:r>
        <w:rPr>
          <w:rFonts w:asciiTheme="majorBidi" w:hAnsiTheme="majorBidi" w:cstheme="majorBidi"/>
          <w:color w:val="000000"/>
          <w:sz w:val="24"/>
          <w:szCs w:val="24"/>
        </w:rPr>
        <w:t xml:space="preserve"> also provides the participants with an opportunity to apply what they have learned through an exercise.</w:t>
      </w:r>
    </w:p>
    <w:p w:rsidR="00A95E31" w:rsidRDefault="00A95E31" w:rsidP="00695308">
      <w:pPr>
        <w:pStyle w:val="ListParagraph"/>
        <w:numPr>
          <w:ilvl w:val="0"/>
          <w:numId w:val="38"/>
        </w:numPr>
        <w:tabs>
          <w:tab w:val="left" w:pos="180"/>
        </w:tabs>
        <w:spacing w:after="0" w:line="240" w:lineRule="auto"/>
        <w:ind w:left="990"/>
        <w:rPr>
          <w:rFonts w:asciiTheme="majorBidi" w:hAnsiTheme="majorBidi" w:cstheme="majorBidi"/>
          <w:color w:val="000000"/>
          <w:sz w:val="24"/>
          <w:szCs w:val="24"/>
        </w:rPr>
      </w:pPr>
      <w:r>
        <w:rPr>
          <w:rFonts w:asciiTheme="majorBidi" w:hAnsiTheme="majorBidi" w:cstheme="majorBidi"/>
          <w:color w:val="000000"/>
          <w:sz w:val="24"/>
          <w:szCs w:val="24"/>
        </w:rPr>
        <w:t>Remind the participants that gender and GBV responsive nutrition prog</w:t>
      </w:r>
      <w:r w:rsidR="009529E8">
        <w:rPr>
          <w:rFonts w:asciiTheme="majorBidi" w:hAnsiTheme="majorBidi" w:cstheme="majorBidi"/>
          <w:color w:val="000000"/>
          <w:sz w:val="24"/>
          <w:szCs w:val="24"/>
        </w:rPr>
        <w:t xml:space="preserve">rams is about good programming, hence </w:t>
      </w:r>
      <w:r>
        <w:rPr>
          <w:rFonts w:asciiTheme="majorBidi" w:hAnsiTheme="majorBidi" w:cstheme="majorBidi"/>
          <w:color w:val="000000"/>
          <w:sz w:val="24"/>
          <w:szCs w:val="24"/>
        </w:rPr>
        <w:t xml:space="preserve">one of the ways to </w:t>
      </w:r>
      <w:r w:rsidR="009529E8">
        <w:rPr>
          <w:rFonts w:asciiTheme="majorBidi" w:hAnsiTheme="majorBidi" w:cstheme="majorBidi"/>
          <w:color w:val="000000"/>
          <w:sz w:val="24"/>
          <w:szCs w:val="24"/>
        </w:rPr>
        <w:t xml:space="preserve">address </w:t>
      </w:r>
      <w:r>
        <w:rPr>
          <w:rFonts w:asciiTheme="majorBidi" w:hAnsiTheme="majorBidi" w:cstheme="majorBidi"/>
          <w:color w:val="000000"/>
          <w:sz w:val="24"/>
          <w:szCs w:val="24"/>
        </w:rPr>
        <w:t>gender inequality and mitigate</w:t>
      </w:r>
      <w:r w:rsidRPr="00A95E31">
        <w:rPr>
          <w:rFonts w:asciiTheme="majorBidi" w:hAnsiTheme="majorBidi" w:cstheme="majorBidi"/>
          <w:color w:val="000000"/>
          <w:sz w:val="24"/>
          <w:szCs w:val="24"/>
        </w:rPr>
        <w:t xml:space="preserve"> </w:t>
      </w:r>
      <w:r w:rsidRPr="00A95E31">
        <w:rPr>
          <w:rFonts w:asciiTheme="majorBidi" w:hAnsiTheme="majorBidi" w:cstheme="majorBidi"/>
          <w:color w:val="000000"/>
          <w:sz w:val="24"/>
          <w:szCs w:val="24"/>
        </w:rPr>
        <w:lastRenderedPageBreak/>
        <w:t>GBV risks in</w:t>
      </w:r>
      <w:r>
        <w:rPr>
          <w:rFonts w:asciiTheme="majorBidi" w:hAnsiTheme="majorBidi" w:cstheme="majorBidi"/>
          <w:color w:val="000000"/>
          <w:sz w:val="24"/>
          <w:szCs w:val="24"/>
        </w:rPr>
        <w:t xml:space="preserve"> nutrition programming is</w:t>
      </w:r>
      <w:r w:rsidRPr="00A95E31">
        <w:rPr>
          <w:rFonts w:asciiTheme="majorBidi" w:hAnsiTheme="majorBidi" w:cstheme="majorBidi"/>
          <w:color w:val="000000"/>
          <w:sz w:val="24"/>
          <w:szCs w:val="24"/>
        </w:rPr>
        <w:t xml:space="preserve"> done through strengthening the availability, accessibility, acceptability and quality of the nutrition services and </w:t>
      </w:r>
      <w:r w:rsidR="00BC5852" w:rsidRPr="00A95E31">
        <w:rPr>
          <w:rFonts w:asciiTheme="majorBidi" w:hAnsiTheme="majorBidi" w:cstheme="majorBidi"/>
          <w:color w:val="000000"/>
          <w:sz w:val="24"/>
          <w:szCs w:val="24"/>
        </w:rPr>
        <w:t>programs</w:t>
      </w:r>
      <w:r>
        <w:rPr>
          <w:rFonts w:asciiTheme="majorBidi" w:hAnsiTheme="majorBidi" w:cstheme="majorBidi"/>
          <w:color w:val="000000"/>
          <w:sz w:val="24"/>
          <w:szCs w:val="24"/>
        </w:rPr>
        <w:t>.</w:t>
      </w:r>
      <w:r w:rsidR="0071423C">
        <w:rPr>
          <w:rFonts w:asciiTheme="majorBidi" w:hAnsiTheme="majorBidi" w:cstheme="majorBidi"/>
          <w:color w:val="000000"/>
          <w:sz w:val="24"/>
          <w:szCs w:val="24"/>
        </w:rPr>
        <w:t xml:space="preserve"> Slides 70 and 71</w:t>
      </w:r>
      <w:r w:rsidR="008F6A64">
        <w:rPr>
          <w:rFonts w:asciiTheme="majorBidi" w:hAnsiTheme="majorBidi" w:cstheme="majorBidi"/>
          <w:color w:val="000000"/>
          <w:sz w:val="24"/>
          <w:szCs w:val="24"/>
        </w:rPr>
        <w:t>.</w:t>
      </w:r>
    </w:p>
    <w:p w:rsidR="009529E8" w:rsidRPr="009529E8" w:rsidRDefault="00A95E31" w:rsidP="00695308">
      <w:pPr>
        <w:pStyle w:val="ListParagraph"/>
        <w:numPr>
          <w:ilvl w:val="0"/>
          <w:numId w:val="38"/>
        </w:numPr>
        <w:tabs>
          <w:tab w:val="left" w:pos="180"/>
        </w:tabs>
        <w:spacing w:after="0" w:line="240" w:lineRule="auto"/>
        <w:ind w:left="990"/>
        <w:rPr>
          <w:rFonts w:asciiTheme="majorBidi" w:hAnsiTheme="majorBidi" w:cstheme="majorBidi"/>
          <w:color w:val="000000"/>
          <w:sz w:val="24"/>
          <w:szCs w:val="24"/>
        </w:rPr>
      </w:pPr>
      <w:r>
        <w:rPr>
          <w:rFonts w:asciiTheme="majorBidi" w:hAnsiTheme="majorBidi" w:cstheme="majorBidi"/>
          <w:color w:val="000000"/>
          <w:sz w:val="24"/>
          <w:szCs w:val="24"/>
        </w:rPr>
        <w:t>Explain and unpack each component of the AAAQ framework for nutrition programs</w:t>
      </w:r>
      <w:r w:rsidR="0080429E">
        <w:rPr>
          <w:rFonts w:asciiTheme="majorBidi" w:hAnsiTheme="majorBidi" w:cstheme="majorBidi"/>
          <w:color w:val="000000"/>
          <w:sz w:val="24"/>
          <w:szCs w:val="24"/>
        </w:rPr>
        <w:t>- slide 72</w:t>
      </w:r>
      <w:r>
        <w:rPr>
          <w:rFonts w:asciiTheme="majorBidi" w:hAnsiTheme="majorBidi" w:cstheme="majorBidi"/>
          <w:color w:val="000000"/>
          <w:sz w:val="24"/>
          <w:szCs w:val="24"/>
        </w:rPr>
        <w:t>.</w:t>
      </w:r>
    </w:p>
    <w:p w:rsidR="009529E8" w:rsidRPr="009529E8" w:rsidRDefault="009529E8" w:rsidP="00695308">
      <w:pPr>
        <w:pStyle w:val="ListParagraph"/>
        <w:numPr>
          <w:ilvl w:val="0"/>
          <w:numId w:val="39"/>
        </w:numPr>
        <w:tabs>
          <w:tab w:val="left" w:pos="180"/>
        </w:tabs>
        <w:spacing w:after="0" w:line="240" w:lineRule="auto"/>
        <w:ind w:left="1710"/>
        <w:rPr>
          <w:rFonts w:asciiTheme="majorBidi" w:hAnsiTheme="majorBidi" w:cstheme="majorBidi"/>
          <w:color w:val="000000"/>
          <w:sz w:val="24"/>
          <w:szCs w:val="24"/>
        </w:rPr>
      </w:pPr>
      <w:r w:rsidRPr="009529E8">
        <w:rPr>
          <w:rFonts w:asciiTheme="majorBidi" w:hAnsiTheme="majorBidi" w:cstheme="majorBidi"/>
          <w:color w:val="000000"/>
          <w:sz w:val="24"/>
          <w:szCs w:val="24"/>
        </w:rPr>
        <w:t>Availability: There are sufficient quantity of functioning nutrition facilities, goods and services, and programs which cover gaps and ensure an acceptable ratio of skilled nutrition workers to the population needs</w:t>
      </w:r>
    </w:p>
    <w:p w:rsidR="009529E8" w:rsidRPr="009529E8" w:rsidRDefault="009529E8" w:rsidP="00695308">
      <w:pPr>
        <w:pStyle w:val="ListParagraph"/>
        <w:numPr>
          <w:ilvl w:val="0"/>
          <w:numId w:val="39"/>
        </w:numPr>
        <w:tabs>
          <w:tab w:val="left" w:pos="180"/>
        </w:tabs>
        <w:spacing w:after="0" w:line="240" w:lineRule="auto"/>
        <w:ind w:left="1710"/>
        <w:rPr>
          <w:rFonts w:asciiTheme="majorBidi" w:hAnsiTheme="majorBidi" w:cstheme="majorBidi"/>
          <w:color w:val="000000"/>
          <w:sz w:val="24"/>
          <w:szCs w:val="24"/>
        </w:rPr>
      </w:pPr>
      <w:r w:rsidRPr="009529E8">
        <w:rPr>
          <w:rFonts w:asciiTheme="majorBidi" w:hAnsiTheme="majorBidi" w:cstheme="majorBidi"/>
          <w:color w:val="000000"/>
          <w:sz w:val="24"/>
          <w:szCs w:val="24"/>
        </w:rPr>
        <w:t xml:space="preserve">Accessibility: There are nutrition facilities, goods, and services that are safely accessible, affordable and that there is enough information about them communicated to the population without discrimination </w:t>
      </w:r>
    </w:p>
    <w:p w:rsidR="009529E8" w:rsidRPr="009529E8" w:rsidRDefault="009529E8" w:rsidP="00695308">
      <w:pPr>
        <w:pStyle w:val="ListParagraph"/>
        <w:numPr>
          <w:ilvl w:val="0"/>
          <w:numId w:val="39"/>
        </w:numPr>
        <w:tabs>
          <w:tab w:val="left" w:pos="180"/>
        </w:tabs>
        <w:spacing w:after="0" w:line="240" w:lineRule="auto"/>
        <w:ind w:left="1710"/>
        <w:rPr>
          <w:rFonts w:asciiTheme="majorBidi" w:hAnsiTheme="majorBidi" w:cstheme="majorBidi"/>
          <w:color w:val="000000"/>
          <w:sz w:val="24"/>
          <w:szCs w:val="24"/>
        </w:rPr>
      </w:pPr>
      <w:r w:rsidRPr="009529E8">
        <w:rPr>
          <w:rFonts w:asciiTheme="majorBidi" w:hAnsiTheme="majorBidi" w:cstheme="majorBidi"/>
          <w:color w:val="000000"/>
          <w:sz w:val="24"/>
          <w:szCs w:val="24"/>
        </w:rPr>
        <w:t>Acceptability: There are nutrition facilities, goods, and services that are culturally appropriate, sensitive to gender and age, respect confidentiality and improve the nutrition status of those concerned</w:t>
      </w:r>
    </w:p>
    <w:p w:rsidR="00A95E31" w:rsidRDefault="009529E8" w:rsidP="00695308">
      <w:pPr>
        <w:pStyle w:val="ListParagraph"/>
        <w:numPr>
          <w:ilvl w:val="0"/>
          <w:numId w:val="39"/>
        </w:numPr>
        <w:tabs>
          <w:tab w:val="left" w:pos="180"/>
        </w:tabs>
        <w:spacing w:after="0" w:line="240" w:lineRule="auto"/>
        <w:ind w:left="1710"/>
        <w:rPr>
          <w:rFonts w:asciiTheme="majorBidi" w:hAnsiTheme="majorBidi" w:cstheme="majorBidi"/>
          <w:color w:val="000000"/>
          <w:sz w:val="24"/>
          <w:szCs w:val="24"/>
        </w:rPr>
      </w:pPr>
      <w:r w:rsidRPr="009529E8">
        <w:rPr>
          <w:rFonts w:asciiTheme="majorBidi" w:hAnsiTheme="majorBidi" w:cstheme="majorBidi"/>
          <w:color w:val="000000"/>
          <w:sz w:val="24"/>
          <w:szCs w:val="24"/>
        </w:rPr>
        <w:t>Quality: There are nutrition facilities, goods, and services that are scientifically and medically approved and of good quality.</w:t>
      </w:r>
    </w:p>
    <w:p w:rsidR="009529E8" w:rsidRDefault="009529E8" w:rsidP="00695308">
      <w:pPr>
        <w:pStyle w:val="ListParagraph"/>
        <w:numPr>
          <w:ilvl w:val="0"/>
          <w:numId w:val="40"/>
        </w:numPr>
        <w:tabs>
          <w:tab w:val="left" w:pos="180"/>
        </w:tabs>
        <w:spacing w:after="0" w:line="240" w:lineRule="auto"/>
        <w:ind w:left="1080"/>
        <w:rPr>
          <w:rFonts w:asciiTheme="majorBidi" w:hAnsiTheme="majorBidi" w:cstheme="majorBidi"/>
          <w:color w:val="000000"/>
          <w:sz w:val="24"/>
          <w:szCs w:val="24"/>
        </w:rPr>
      </w:pPr>
      <w:r w:rsidRPr="009529E8">
        <w:rPr>
          <w:rFonts w:asciiTheme="majorBidi" w:hAnsiTheme="majorBidi" w:cstheme="majorBidi"/>
          <w:color w:val="000000"/>
          <w:sz w:val="24"/>
          <w:szCs w:val="24"/>
        </w:rPr>
        <w:t>There are some common gender and GBV-related considerations when implementing nutrition programming that include three areas of responsibilities: programming, policies and communication. These considerations should be adapted to each context, always taking into account the essential rights, expressed needs and identified resources of the target community.</w:t>
      </w:r>
    </w:p>
    <w:p w:rsidR="009529E8" w:rsidRDefault="0080429E" w:rsidP="00695308">
      <w:pPr>
        <w:pStyle w:val="ListParagraph"/>
        <w:numPr>
          <w:ilvl w:val="0"/>
          <w:numId w:val="40"/>
        </w:numPr>
        <w:tabs>
          <w:tab w:val="left" w:pos="180"/>
        </w:tabs>
        <w:spacing w:after="0" w:line="240" w:lineRule="auto"/>
        <w:ind w:left="1080"/>
        <w:rPr>
          <w:rFonts w:asciiTheme="majorBidi" w:hAnsiTheme="majorBidi" w:cstheme="majorBidi"/>
          <w:color w:val="000000"/>
          <w:sz w:val="24"/>
          <w:szCs w:val="24"/>
        </w:rPr>
      </w:pPr>
      <w:r>
        <w:rPr>
          <w:rFonts w:asciiTheme="majorBidi" w:hAnsiTheme="majorBidi" w:cstheme="majorBidi"/>
          <w:color w:val="000000"/>
          <w:sz w:val="24"/>
          <w:szCs w:val="24"/>
        </w:rPr>
        <w:t>Read from slides 73 and 7</w:t>
      </w:r>
      <w:r w:rsidR="008F6A64">
        <w:rPr>
          <w:rFonts w:asciiTheme="majorBidi" w:hAnsiTheme="majorBidi" w:cstheme="majorBidi"/>
          <w:color w:val="000000"/>
          <w:sz w:val="24"/>
          <w:szCs w:val="24"/>
        </w:rPr>
        <w:t>4</w:t>
      </w:r>
      <w:r w:rsidR="009529E8">
        <w:rPr>
          <w:rFonts w:asciiTheme="majorBidi" w:hAnsiTheme="majorBidi" w:cstheme="majorBidi"/>
          <w:color w:val="000000"/>
          <w:sz w:val="24"/>
          <w:szCs w:val="24"/>
        </w:rPr>
        <w:t xml:space="preserve"> examples of key considerations</w:t>
      </w:r>
    </w:p>
    <w:p w:rsidR="009529E8" w:rsidRDefault="003349E0" w:rsidP="00695308">
      <w:pPr>
        <w:pStyle w:val="ListParagraph"/>
        <w:numPr>
          <w:ilvl w:val="0"/>
          <w:numId w:val="40"/>
        </w:numPr>
        <w:tabs>
          <w:tab w:val="left" w:pos="180"/>
        </w:tabs>
        <w:spacing w:after="0" w:line="240" w:lineRule="auto"/>
        <w:ind w:left="1080"/>
        <w:rPr>
          <w:rFonts w:asciiTheme="majorBidi" w:hAnsiTheme="majorBidi" w:cstheme="majorBidi"/>
          <w:color w:val="000000"/>
          <w:sz w:val="24"/>
          <w:szCs w:val="24"/>
        </w:rPr>
      </w:pPr>
      <w:r>
        <w:rPr>
          <w:rFonts w:asciiTheme="majorBidi" w:hAnsiTheme="majorBidi" w:cstheme="majorBidi"/>
          <w:color w:val="000000"/>
          <w:sz w:val="24"/>
          <w:szCs w:val="24"/>
        </w:rPr>
        <w:t>Emphasize</w:t>
      </w:r>
      <w:r w:rsidR="00FC437B">
        <w:rPr>
          <w:rFonts w:asciiTheme="majorBidi" w:hAnsiTheme="majorBidi" w:cstheme="majorBidi"/>
          <w:color w:val="000000"/>
          <w:sz w:val="24"/>
          <w:szCs w:val="24"/>
        </w:rPr>
        <w:t xml:space="preserve"> and explain from slide 7</w:t>
      </w:r>
      <w:r w:rsidR="00B95D80">
        <w:rPr>
          <w:rFonts w:asciiTheme="majorBidi" w:hAnsiTheme="majorBidi" w:cstheme="majorBidi"/>
          <w:color w:val="000000"/>
          <w:sz w:val="24"/>
          <w:szCs w:val="24"/>
        </w:rPr>
        <w:t>5</w:t>
      </w:r>
      <w:r>
        <w:rPr>
          <w:rFonts w:asciiTheme="majorBidi" w:hAnsiTheme="majorBidi" w:cstheme="majorBidi"/>
          <w:color w:val="000000"/>
          <w:sz w:val="24"/>
          <w:szCs w:val="24"/>
        </w:rPr>
        <w:t xml:space="preserve"> that </w:t>
      </w:r>
      <w:r w:rsidRPr="003349E0">
        <w:rPr>
          <w:rFonts w:asciiTheme="majorBidi" w:hAnsiTheme="majorBidi" w:cstheme="majorBidi"/>
          <w:color w:val="000000"/>
          <w:sz w:val="24"/>
          <w:szCs w:val="24"/>
        </w:rPr>
        <w:t>nutrition activities and services should be guided by the concept of Do No Harm. The concept of ‘do no harm’ means that humanitarian organizations must strive to “minimize the harm they may inadvertently be doing by being present and providing assistance.” Such unintended negative consequences may be wide-ranging and extremely complex. Nutrition actors can reinforce the ‘do no harm’ principle in their gender and GBV-related work through careful attention to the human rights-based, survivor-</w:t>
      </w:r>
      <w:r w:rsidR="00FC437B" w:rsidRPr="003349E0">
        <w:rPr>
          <w:rFonts w:asciiTheme="majorBidi" w:hAnsiTheme="majorBidi" w:cstheme="majorBidi"/>
          <w:color w:val="000000"/>
          <w:sz w:val="24"/>
          <w:szCs w:val="24"/>
        </w:rPr>
        <w:t>centered</w:t>
      </w:r>
      <w:r w:rsidRPr="003349E0">
        <w:rPr>
          <w:rFonts w:asciiTheme="majorBidi" w:hAnsiTheme="majorBidi" w:cstheme="majorBidi"/>
          <w:color w:val="000000"/>
          <w:sz w:val="24"/>
          <w:szCs w:val="24"/>
        </w:rPr>
        <w:t>, community-based and systems approaches.</w:t>
      </w:r>
    </w:p>
    <w:p w:rsidR="003349E0" w:rsidRDefault="003349E0" w:rsidP="00695308">
      <w:pPr>
        <w:pStyle w:val="ListParagraph"/>
        <w:numPr>
          <w:ilvl w:val="0"/>
          <w:numId w:val="40"/>
        </w:numPr>
        <w:tabs>
          <w:tab w:val="left" w:pos="180"/>
        </w:tabs>
        <w:spacing w:after="0" w:line="240" w:lineRule="auto"/>
        <w:ind w:left="1080"/>
        <w:rPr>
          <w:rFonts w:asciiTheme="majorBidi" w:hAnsiTheme="majorBidi" w:cstheme="majorBidi"/>
          <w:color w:val="000000"/>
          <w:sz w:val="24"/>
          <w:szCs w:val="24"/>
        </w:rPr>
      </w:pPr>
      <w:r>
        <w:rPr>
          <w:rFonts w:asciiTheme="majorBidi" w:hAnsiTheme="majorBidi" w:cstheme="majorBidi"/>
          <w:color w:val="000000"/>
          <w:sz w:val="24"/>
          <w:szCs w:val="24"/>
        </w:rPr>
        <w:t>Explain that Do No Harm should be applied based on the ethics, dignity and safety framework</w:t>
      </w:r>
      <w:r w:rsidR="00FC437B">
        <w:rPr>
          <w:rFonts w:asciiTheme="majorBidi" w:hAnsiTheme="majorBidi" w:cstheme="majorBidi"/>
          <w:color w:val="000000"/>
          <w:sz w:val="24"/>
          <w:szCs w:val="24"/>
        </w:rPr>
        <w:t>- slide 76</w:t>
      </w:r>
    </w:p>
    <w:p w:rsidR="003349E0" w:rsidRDefault="003349E0" w:rsidP="00695308">
      <w:pPr>
        <w:pStyle w:val="ListParagraph"/>
        <w:numPr>
          <w:ilvl w:val="0"/>
          <w:numId w:val="41"/>
        </w:numPr>
        <w:tabs>
          <w:tab w:val="left" w:pos="180"/>
        </w:tabs>
        <w:spacing w:after="0" w:line="240" w:lineRule="auto"/>
        <w:ind w:left="1620"/>
        <w:rPr>
          <w:rFonts w:asciiTheme="majorBidi" w:hAnsiTheme="majorBidi" w:cstheme="majorBidi"/>
          <w:color w:val="000000"/>
          <w:sz w:val="24"/>
          <w:szCs w:val="24"/>
        </w:rPr>
      </w:pPr>
      <w:r>
        <w:rPr>
          <w:rFonts w:asciiTheme="majorBidi" w:hAnsiTheme="majorBidi" w:cstheme="majorBidi"/>
          <w:color w:val="000000"/>
          <w:sz w:val="24"/>
          <w:szCs w:val="24"/>
        </w:rPr>
        <w:t>Ethical considerations include – but not limited to- ensuring</w:t>
      </w:r>
      <w:r w:rsidRPr="003349E0">
        <w:rPr>
          <w:rFonts w:asciiTheme="majorBidi" w:hAnsiTheme="majorBidi" w:cstheme="majorBidi"/>
          <w:color w:val="000000"/>
          <w:sz w:val="24"/>
          <w:szCs w:val="24"/>
        </w:rPr>
        <w:t xml:space="preserve"> that all staff including frontline workers are</w:t>
      </w:r>
      <w:r>
        <w:rPr>
          <w:rFonts w:asciiTheme="majorBidi" w:hAnsiTheme="majorBidi" w:cstheme="majorBidi"/>
          <w:color w:val="000000"/>
          <w:sz w:val="24"/>
          <w:szCs w:val="24"/>
        </w:rPr>
        <w:t xml:space="preserve"> trained on CoC, GBV principles and referrals. Nutrition staff may face disclosures of GBV incidents from the beneficiaries who are coming to receive nutrition services. This is particularly why staff should be trained and updated on GBV safe and ethical referrals.</w:t>
      </w:r>
    </w:p>
    <w:p w:rsidR="003349E0" w:rsidRDefault="003349E0" w:rsidP="00695308">
      <w:pPr>
        <w:pStyle w:val="ListParagraph"/>
        <w:numPr>
          <w:ilvl w:val="0"/>
          <w:numId w:val="41"/>
        </w:numPr>
        <w:tabs>
          <w:tab w:val="left" w:pos="180"/>
        </w:tabs>
        <w:spacing w:after="0" w:line="240" w:lineRule="auto"/>
        <w:ind w:left="1620"/>
        <w:rPr>
          <w:rFonts w:asciiTheme="majorBidi" w:hAnsiTheme="majorBidi" w:cstheme="majorBidi"/>
          <w:color w:val="000000"/>
          <w:sz w:val="24"/>
          <w:szCs w:val="24"/>
        </w:rPr>
      </w:pPr>
      <w:r>
        <w:rPr>
          <w:rFonts w:asciiTheme="majorBidi" w:hAnsiTheme="majorBidi" w:cstheme="majorBidi"/>
          <w:color w:val="000000"/>
          <w:sz w:val="24"/>
          <w:szCs w:val="24"/>
        </w:rPr>
        <w:t>Preserving and promoting dignity means that t</w:t>
      </w:r>
      <w:r w:rsidRPr="003349E0">
        <w:rPr>
          <w:rFonts w:asciiTheme="majorBidi" w:hAnsiTheme="majorBidi" w:cstheme="majorBidi"/>
          <w:color w:val="000000"/>
          <w:sz w:val="24"/>
          <w:szCs w:val="24"/>
        </w:rPr>
        <w:t>he opinions of the affected population i.e. girls and women are reflected in t</w:t>
      </w:r>
      <w:r>
        <w:rPr>
          <w:rFonts w:asciiTheme="majorBidi" w:hAnsiTheme="majorBidi" w:cstheme="majorBidi"/>
          <w:color w:val="000000"/>
          <w:sz w:val="24"/>
          <w:szCs w:val="24"/>
        </w:rPr>
        <w:t>he project and facility design which should be culturally acceptable and they know</w:t>
      </w:r>
      <w:r w:rsidRPr="003349E0">
        <w:rPr>
          <w:rFonts w:asciiTheme="majorBidi" w:hAnsiTheme="majorBidi" w:cstheme="majorBidi"/>
          <w:color w:val="000000"/>
          <w:sz w:val="24"/>
          <w:szCs w:val="24"/>
        </w:rPr>
        <w:t xml:space="preserve"> that they have rights to the humanitarian services.</w:t>
      </w:r>
    </w:p>
    <w:p w:rsidR="003349E0" w:rsidRDefault="003349E0" w:rsidP="00695308">
      <w:pPr>
        <w:pStyle w:val="ListParagraph"/>
        <w:numPr>
          <w:ilvl w:val="0"/>
          <w:numId w:val="41"/>
        </w:numPr>
        <w:tabs>
          <w:tab w:val="left" w:pos="180"/>
        </w:tabs>
        <w:spacing w:after="0" w:line="240" w:lineRule="auto"/>
        <w:ind w:left="1620"/>
        <w:rPr>
          <w:rFonts w:asciiTheme="majorBidi" w:hAnsiTheme="majorBidi" w:cstheme="majorBidi"/>
          <w:color w:val="000000"/>
          <w:sz w:val="24"/>
          <w:szCs w:val="24"/>
        </w:rPr>
      </w:pPr>
      <w:r>
        <w:rPr>
          <w:rFonts w:asciiTheme="majorBidi" w:hAnsiTheme="majorBidi" w:cstheme="majorBidi"/>
          <w:color w:val="000000"/>
          <w:sz w:val="24"/>
          <w:szCs w:val="24"/>
        </w:rPr>
        <w:t xml:space="preserve">Promoting safety means that </w:t>
      </w:r>
      <w:r w:rsidRPr="003349E0">
        <w:rPr>
          <w:rFonts w:asciiTheme="majorBidi" w:hAnsiTheme="majorBidi" w:cstheme="majorBidi"/>
          <w:color w:val="000000"/>
          <w:sz w:val="24"/>
          <w:szCs w:val="24"/>
        </w:rPr>
        <w:t>for</w:t>
      </w:r>
      <w:r>
        <w:rPr>
          <w:rFonts w:asciiTheme="majorBidi" w:hAnsiTheme="majorBidi" w:cstheme="majorBidi"/>
          <w:color w:val="000000"/>
          <w:sz w:val="24"/>
          <w:szCs w:val="24"/>
        </w:rPr>
        <w:t xml:space="preserve"> the affected population </w:t>
      </w:r>
      <w:r w:rsidR="00545330">
        <w:rPr>
          <w:rFonts w:asciiTheme="majorBidi" w:hAnsiTheme="majorBidi" w:cstheme="majorBidi"/>
          <w:color w:val="000000"/>
          <w:sz w:val="24"/>
          <w:szCs w:val="24"/>
        </w:rPr>
        <w:t>i.e.</w:t>
      </w:r>
      <w:r>
        <w:rPr>
          <w:rFonts w:asciiTheme="majorBidi" w:hAnsiTheme="majorBidi" w:cstheme="majorBidi"/>
          <w:color w:val="000000"/>
          <w:sz w:val="24"/>
          <w:szCs w:val="24"/>
        </w:rPr>
        <w:t>: girls and women enjoy</w:t>
      </w:r>
      <w:r w:rsidRPr="003349E0">
        <w:rPr>
          <w:rFonts w:asciiTheme="majorBidi" w:hAnsiTheme="majorBidi" w:cstheme="majorBidi"/>
          <w:color w:val="000000"/>
          <w:sz w:val="24"/>
          <w:szCs w:val="24"/>
        </w:rPr>
        <w:t xml:space="preserve"> “safe” access to and usage of the facilities/se</w:t>
      </w:r>
      <w:r>
        <w:rPr>
          <w:rFonts w:asciiTheme="majorBidi" w:hAnsiTheme="majorBidi" w:cstheme="majorBidi"/>
          <w:color w:val="000000"/>
          <w:sz w:val="24"/>
          <w:szCs w:val="24"/>
        </w:rPr>
        <w:t>rvices through addressing the physical and social barriers of access.</w:t>
      </w:r>
    </w:p>
    <w:p w:rsidR="003349E0" w:rsidRDefault="008231EE" w:rsidP="00695308">
      <w:pPr>
        <w:pStyle w:val="ListParagraph"/>
        <w:numPr>
          <w:ilvl w:val="0"/>
          <w:numId w:val="42"/>
        </w:numPr>
        <w:tabs>
          <w:tab w:val="left" w:pos="180"/>
        </w:tabs>
        <w:spacing w:after="0" w:line="240" w:lineRule="auto"/>
        <w:ind w:left="1080"/>
        <w:rPr>
          <w:rFonts w:asciiTheme="majorBidi" w:hAnsiTheme="majorBidi" w:cstheme="majorBidi"/>
          <w:color w:val="000000"/>
          <w:sz w:val="24"/>
          <w:szCs w:val="24"/>
        </w:rPr>
      </w:pPr>
      <w:r>
        <w:rPr>
          <w:rFonts w:asciiTheme="majorBidi" w:hAnsiTheme="majorBidi" w:cstheme="majorBidi"/>
          <w:color w:val="000000"/>
          <w:sz w:val="24"/>
          <w:szCs w:val="24"/>
        </w:rPr>
        <w:t xml:space="preserve"> Explain the survivor centered approach key </w:t>
      </w:r>
      <w:r w:rsidR="00BC5852">
        <w:rPr>
          <w:rFonts w:asciiTheme="majorBidi" w:hAnsiTheme="majorBidi" w:cstheme="majorBidi"/>
          <w:color w:val="000000"/>
          <w:sz w:val="24"/>
          <w:szCs w:val="24"/>
        </w:rPr>
        <w:t>principles</w:t>
      </w:r>
      <w:r w:rsidR="00FC437B">
        <w:rPr>
          <w:rFonts w:asciiTheme="majorBidi" w:hAnsiTheme="majorBidi" w:cstheme="majorBidi"/>
          <w:color w:val="000000"/>
          <w:sz w:val="24"/>
          <w:szCs w:val="24"/>
        </w:rPr>
        <w:t>- slide 77</w:t>
      </w:r>
    </w:p>
    <w:p w:rsidR="008231EE" w:rsidRPr="008231EE" w:rsidRDefault="008231EE" w:rsidP="00695308">
      <w:pPr>
        <w:pStyle w:val="ListParagraph"/>
        <w:numPr>
          <w:ilvl w:val="0"/>
          <w:numId w:val="43"/>
        </w:numPr>
        <w:tabs>
          <w:tab w:val="left" w:pos="180"/>
        </w:tabs>
        <w:spacing w:after="0" w:line="240" w:lineRule="auto"/>
        <w:ind w:left="1620"/>
        <w:rPr>
          <w:rFonts w:asciiTheme="majorBidi" w:hAnsiTheme="majorBidi" w:cstheme="majorBidi"/>
          <w:color w:val="000000"/>
          <w:sz w:val="24"/>
          <w:szCs w:val="24"/>
        </w:rPr>
      </w:pPr>
      <w:r w:rsidRPr="008231EE">
        <w:rPr>
          <w:rFonts w:asciiTheme="majorBidi" w:hAnsiTheme="majorBidi" w:cstheme="majorBidi"/>
          <w:color w:val="000000"/>
          <w:sz w:val="24"/>
          <w:szCs w:val="24"/>
        </w:rPr>
        <w:lastRenderedPageBreak/>
        <w:t>Respecting the wishes of the survivor might mean that you do not refer to services if you do not have approval, do not impose priorities on the survivor or decide on his/her behalf</w:t>
      </w:r>
    </w:p>
    <w:p w:rsidR="008231EE" w:rsidRPr="008231EE" w:rsidRDefault="008231EE" w:rsidP="00695308">
      <w:pPr>
        <w:pStyle w:val="ListParagraph"/>
        <w:numPr>
          <w:ilvl w:val="0"/>
          <w:numId w:val="43"/>
        </w:numPr>
        <w:tabs>
          <w:tab w:val="left" w:pos="180"/>
        </w:tabs>
        <w:spacing w:after="0" w:line="240" w:lineRule="auto"/>
        <w:ind w:left="1620"/>
        <w:rPr>
          <w:rFonts w:asciiTheme="majorBidi" w:hAnsiTheme="majorBidi" w:cstheme="majorBidi"/>
          <w:color w:val="000000"/>
          <w:sz w:val="24"/>
          <w:szCs w:val="24"/>
        </w:rPr>
      </w:pPr>
      <w:r w:rsidRPr="008231EE">
        <w:rPr>
          <w:rFonts w:asciiTheme="majorBidi" w:hAnsiTheme="majorBidi" w:cstheme="majorBidi"/>
          <w:color w:val="000000"/>
          <w:sz w:val="24"/>
          <w:szCs w:val="24"/>
        </w:rPr>
        <w:t>Safety means that all actions that are done with the survivor need to take into consideration her safety. It might mean that need to secure a safe space to talk to the survivor or protect him/her from disclosing a GBV incident inform of others</w:t>
      </w:r>
    </w:p>
    <w:p w:rsidR="008231EE" w:rsidRPr="008231EE" w:rsidRDefault="008231EE" w:rsidP="00695308">
      <w:pPr>
        <w:pStyle w:val="ListParagraph"/>
        <w:numPr>
          <w:ilvl w:val="0"/>
          <w:numId w:val="43"/>
        </w:numPr>
        <w:tabs>
          <w:tab w:val="left" w:pos="180"/>
        </w:tabs>
        <w:spacing w:after="0" w:line="240" w:lineRule="auto"/>
        <w:ind w:left="1620"/>
        <w:rPr>
          <w:rFonts w:asciiTheme="majorBidi" w:hAnsiTheme="majorBidi" w:cstheme="majorBidi"/>
          <w:color w:val="000000"/>
          <w:sz w:val="24"/>
          <w:szCs w:val="24"/>
        </w:rPr>
      </w:pPr>
      <w:r w:rsidRPr="008231EE">
        <w:rPr>
          <w:rFonts w:asciiTheme="majorBidi" w:hAnsiTheme="majorBidi" w:cstheme="majorBidi"/>
          <w:color w:val="000000"/>
          <w:sz w:val="24"/>
          <w:szCs w:val="24"/>
        </w:rPr>
        <w:t>Confidentiality refers to the right of the survivor to tell her story to whom he/she wishes. This includes not sharing her information and story with anyone without a consent. In case of referrals the survivor decides on the level of information to be shared and with whom</w:t>
      </w:r>
    </w:p>
    <w:p w:rsidR="008231EE" w:rsidRPr="008231EE" w:rsidRDefault="008231EE" w:rsidP="00695308">
      <w:pPr>
        <w:pStyle w:val="ListParagraph"/>
        <w:numPr>
          <w:ilvl w:val="0"/>
          <w:numId w:val="43"/>
        </w:numPr>
        <w:tabs>
          <w:tab w:val="left" w:pos="180"/>
        </w:tabs>
        <w:spacing w:after="0" w:line="240" w:lineRule="auto"/>
        <w:ind w:left="1620"/>
        <w:rPr>
          <w:rFonts w:asciiTheme="majorBidi" w:hAnsiTheme="majorBidi" w:cstheme="majorBidi"/>
          <w:color w:val="000000"/>
          <w:sz w:val="24"/>
          <w:szCs w:val="24"/>
        </w:rPr>
      </w:pPr>
      <w:r w:rsidRPr="008231EE">
        <w:rPr>
          <w:rFonts w:asciiTheme="majorBidi" w:hAnsiTheme="majorBidi" w:cstheme="majorBidi"/>
          <w:color w:val="000000"/>
          <w:sz w:val="24"/>
          <w:szCs w:val="24"/>
        </w:rPr>
        <w:t xml:space="preserve">Non- discrimination refers to equal and fair treatment to all survivors regardless of the age, nationality, race, </w:t>
      </w:r>
      <w:r w:rsidR="00545330" w:rsidRPr="008231EE">
        <w:rPr>
          <w:rFonts w:asciiTheme="majorBidi" w:hAnsiTheme="majorBidi" w:cstheme="majorBidi"/>
          <w:color w:val="000000"/>
          <w:sz w:val="24"/>
          <w:szCs w:val="24"/>
        </w:rPr>
        <w:t>etc.</w:t>
      </w:r>
    </w:p>
    <w:p w:rsidR="008231EE" w:rsidRDefault="008231EE" w:rsidP="00695308">
      <w:pPr>
        <w:pStyle w:val="ListParagraph"/>
        <w:numPr>
          <w:ilvl w:val="0"/>
          <w:numId w:val="43"/>
        </w:numPr>
        <w:tabs>
          <w:tab w:val="left" w:pos="180"/>
        </w:tabs>
        <w:spacing w:after="0" w:line="240" w:lineRule="auto"/>
        <w:ind w:left="1620"/>
        <w:rPr>
          <w:rFonts w:asciiTheme="majorBidi" w:hAnsiTheme="majorBidi" w:cstheme="majorBidi"/>
          <w:color w:val="000000"/>
          <w:sz w:val="24"/>
          <w:szCs w:val="24"/>
        </w:rPr>
      </w:pPr>
      <w:r>
        <w:rPr>
          <w:rFonts w:asciiTheme="majorBidi" w:hAnsiTheme="majorBidi" w:cstheme="majorBidi"/>
          <w:color w:val="000000"/>
          <w:sz w:val="24"/>
          <w:szCs w:val="24"/>
        </w:rPr>
        <w:t>Staff need to be t</w:t>
      </w:r>
      <w:r w:rsidRPr="008231EE">
        <w:rPr>
          <w:rFonts w:asciiTheme="majorBidi" w:hAnsiTheme="majorBidi" w:cstheme="majorBidi"/>
          <w:color w:val="000000"/>
          <w:sz w:val="24"/>
          <w:szCs w:val="24"/>
        </w:rPr>
        <w:t>rain</w:t>
      </w:r>
      <w:r>
        <w:rPr>
          <w:rFonts w:asciiTheme="majorBidi" w:hAnsiTheme="majorBidi" w:cstheme="majorBidi"/>
          <w:color w:val="000000"/>
          <w:sz w:val="24"/>
          <w:szCs w:val="24"/>
        </w:rPr>
        <w:t xml:space="preserve">ed </w:t>
      </w:r>
      <w:r w:rsidRPr="008231EE">
        <w:rPr>
          <w:rFonts w:asciiTheme="majorBidi" w:hAnsiTheme="majorBidi" w:cstheme="majorBidi"/>
          <w:color w:val="000000"/>
          <w:sz w:val="24"/>
          <w:szCs w:val="24"/>
        </w:rPr>
        <w:t>on survivor-</w:t>
      </w:r>
      <w:r w:rsidR="00770730" w:rsidRPr="008231EE">
        <w:rPr>
          <w:rFonts w:asciiTheme="majorBidi" w:hAnsiTheme="majorBidi" w:cstheme="majorBidi"/>
          <w:color w:val="000000"/>
          <w:sz w:val="24"/>
          <w:szCs w:val="24"/>
        </w:rPr>
        <w:t>centered</w:t>
      </w:r>
      <w:r w:rsidRPr="008231EE">
        <w:rPr>
          <w:rFonts w:asciiTheme="majorBidi" w:hAnsiTheme="majorBidi" w:cstheme="majorBidi"/>
          <w:color w:val="000000"/>
          <w:sz w:val="24"/>
          <w:szCs w:val="24"/>
        </w:rPr>
        <w:t xml:space="preserve"> principles and how to refer a survivor for care and support</w:t>
      </w:r>
      <w:r w:rsidR="00770730">
        <w:rPr>
          <w:rFonts w:asciiTheme="majorBidi" w:hAnsiTheme="majorBidi" w:cstheme="majorBidi"/>
          <w:color w:val="000000"/>
          <w:sz w:val="24"/>
          <w:szCs w:val="24"/>
        </w:rPr>
        <w:t>.</w:t>
      </w:r>
    </w:p>
    <w:p w:rsidR="00770730" w:rsidRDefault="00770730" w:rsidP="00695308">
      <w:pPr>
        <w:pStyle w:val="ListParagraph"/>
        <w:numPr>
          <w:ilvl w:val="0"/>
          <w:numId w:val="42"/>
        </w:numPr>
        <w:tabs>
          <w:tab w:val="left" w:pos="180"/>
        </w:tabs>
        <w:spacing w:after="0" w:line="240" w:lineRule="auto"/>
        <w:ind w:left="1170"/>
        <w:rPr>
          <w:rFonts w:asciiTheme="majorBidi" w:hAnsiTheme="majorBidi" w:cstheme="majorBidi"/>
          <w:color w:val="000000"/>
          <w:sz w:val="24"/>
          <w:szCs w:val="24"/>
        </w:rPr>
      </w:pPr>
      <w:r>
        <w:rPr>
          <w:rFonts w:asciiTheme="majorBidi" w:hAnsiTheme="majorBidi" w:cstheme="majorBidi"/>
          <w:color w:val="000000"/>
          <w:sz w:val="24"/>
          <w:szCs w:val="24"/>
        </w:rPr>
        <w:t xml:space="preserve">   Highlight real examples and promising practice for gender and GBV responsive interventions.</w:t>
      </w:r>
      <w:r w:rsidR="00FC437B">
        <w:rPr>
          <w:rFonts w:asciiTheme="majorBidi" w:hAnsiTheme="majorBidi" w:cstheme="majorBidi"/>
          <w:color w:val="000000"/>
          <w:sz w:val="24"/>
          <w:szCs w:val="24"/>
        </w:rPr>
        <w:t xml:space="preserve"> Slides 78-8</w:t>
      </w:r>
      <w:r w:rsidR="00B95D80">
        <w:rPr>
          <w:rFonts w:asciiTheme="majorBidi" w:hAnsiTheme="majorBidi" w:cstheme="majorBidi"/>
          <w:color w:val="000000"/>
          <w:sz w:val="24"/>
          <w:szCs w:val="24"/>
        </w:rPr>
        <w:t>2</w:t>
      </w:r>
    </w:p>
    <w:p w:rsidR="00770730" w:rsidRPr="00770730" w:rsidRDefault="00770730" w:rsidP="00695308">
      <w:pPr>
        <w:pStyle w:val="ListParagraph"/>
        <w:numPr>
          <w:ilvl w:val="0"/>
          <w:numId w:val="44"/>
        </w:numPr>
        <w:tabs>
          <w:tab w:val="left" w:pos="180"/>
        </w:tabs>
        <w:spacing w:after="0" w:line="240" w:lineRule="auto"/>
        <w:ind w:left="1620"/>
        <w:rPr>
          <w:rFonts w:asciiTheme="majorBidi" w:hAnsiTheme="majorBidi" w:cstheme="majorBidi"/>
          <w:color w:val="000000"/>
          <w:sz w:val="24"/>
          <w:szCs w:val="24"/>
        </w:rPr>
      </w:pPr>
      <w:r>
        <w:rPr>
          <w:rFonts w:asciiTheme="majorBidi" w:hAnsiTheme="majorBidi" w:cstheme="majorBidi"/>
          <w:color w:val="000000"/>
          <w:sz w:val="24"/>
          <w:szCs w:val="24"/>
        </w:rPr>
        <w:t>South Sudan</w:t>
      </w:r>
      <w:r w:rsidR="00FC437B">
        <w:rPr>
          <w:rFonts w:asciiTheme="majorBidi" w:hAnsiTheme="majorBidi" w:cstheme="majorBidi"/>
          <w:color w:val="000000"/>
          <w:sz w:val="24"/>
          <w:szCs w:val="24"/>
        </w:rPr>
        <w:t xml:space="preserve"> 1</w:t>
      </w:r>
      <w:r>
        <w:rPr>
          <w:rFonts w:asciiTheme="majorBidi" w:hAnsiTheme="majorBidi" w:cstheme="majorBidi"/>
          <w:color w:val="000000"/>
          <w:sz w:val="24"/>
          <w:szCs w:val="24"/>
        </w:rPr>
        <w:t xml:space="preserve">: </w:t>
      </w:r>
      <w:r w:rsidRPr="00770730">
        <w:rPr>
          <w:rFonts w:asciiTheme="majorBidi" w:hAnsiTheme="majorBidi" w:cstheme="majorBidi"/>
          <w:color w:val="000000"/>
          <w:sz w:val="24"/>
          <w:szCs w:val="24"/>
        </w:rPr>
        <w:t>Since frontline nutrition staff are trusted by the community and nutrition programming is sometimes the only humanitarian service that women and girls regularly access, UNICEF has identiﬁed nutrition workers as a key target group for capacity building on GBV. Over the past year, UNICEF has supported its implementing partners and the broader Nutrition Cluster on:</w:t>
      </w:r>
    </w:p>
    <w:p w:rsidR="00770730" w:rsidRPr="00770730" w:rsidRDefault="00770730" w:rsidP="00770730">
      <w:pPr>
        <w:pStyle w:val="ListParagraph"/>
        <w:tabs>
          <w:tab w:val="left" w:pos="180"/>
        </w:tabs>
        <w:spacing w:after="0" w:line="240" w:lineRule="auto"/>
        <w:ind w:left="1620"/>
        <w:rPr>
          <w:rFonts w:asciiTheme="majorBidi" w:hAnsiTheme="majorBidi" w:cstheme="majorBidi"/>
          <w:color w:val="000000"/>
          <w:sz w:val="24"/>
          <w:szCs w:val="24"/>
        </w:rPr>
      </w:pPr>
      <w:r w:rsidRPr="00770730">
        <w:rPr>
          <w:rFonts w:asciiTheme="majorBidi" w:hAnsiTheme="majorBidi" w:cstheme="majorBidi"/>
          <w:color w:val="000000"/>
          <w:sz w:val="24"/>
          <w:szCs w:val="24"/>
        </w:rPr>
        <w:t>promoting the recruitment and retention of female staff,</w:t>
      </w:r>
      <w:r>
        <w:rPr>
          <w:rFonts w:asciiTheme="majorBidi" w:hAnsiTheme="majorBidi" w:cstheme="majorBidi"/>
          <w:color w:val="000000"/>
          <w:sz w:val="24"/>
          <w:szCs w:val="24"/>
        </w:rPr>
        <w:t xml:space="preserve"> </w:t>
      </w:r>
      <w:r w:rsidRPr="00770730">
        <w:rPr>
          <w:rFonts w:asciiTheme="majorBidi" w:hAnsiTheme="majorBidi" w:cstheme="majorBidi"/>
          <w:color w:val="000000"/>
          <w:sz w:val="24"/>
          <w:szCs w:val="24"/>
        </w:rPr>
        <w:t>ensuring that nutrition workers are familiar with the available GBV response services and are trained on how to safely and appropriately provide referrals to survivors,</w:t>
      </w:r>
      <w:r>
        <w:rPr>
          <w:rFonts w:asciiTheme="majorBidi" w:hAnsiTheme="majorBidi" w:cstheme="majorBidi"/>
          <w:color w:val="000000"/>
          <w:sz w:val="24"/>
          <w:szCs w:val="24"/>
        </w:rPr>
        <w:t xml:space="preserve"> </w:t>
      </w:r>
      <w:r w:rsidRPr="00770730">
        <w:rPr>
          <w:rFonts w:asciiTheme="majorBidi" w:hAnsiTheme="majorBidi" w:cstheme="majorBidi"/>
          <w:color w:val="000000"/>
          <w:sz w:val="24"/>
          <w:szCs w:val="24"/>
        </w:rPr>
        <w:t>encouraging all nutrition workers to have codes of conduct in place, and engaging</w:t>
      </w:r>
      <w:r>
        <w:rPr>
          <w:rFonts w:asciiTheme="majorBidi" w:hAnsiTheme="majorBidi" w:cstheme="majorBidi"/>
          <w:color w:val="000000"/>
          <w:sz w:val="24"/>
          <w:szCs w:val="24"/>
        </w:rPr>
        <w:t xml:space="preserve"> in multi sector safety audits.</w:t>
      </w:r>
    </w:p>
    <w:p w:rsidR="00770730" w:rsidRDefault="00770730" w:rsidP="00770730">
      <w:pPr>
        <w:pStyle w:val="ListParagraph"/>
        <w:tabs>
          <w:tab w:val="left" w:pos="180"/>
        </w:tabs>
        <w:spacing w:after="0" w:line="240" w:lineRule="auto"/>
        <w:ind w:left="1620"/>
        <w:rPr>
          <w:rFonts w:asciiTheme="majorBidi" w:hAnsiTheme="majorBidi" w:cstheme="majorBidi"/>
          <w:color w:val="000000"/>
          <w:sz w:val="24"/>
          <w:szCs w:val="24"/>
        </w:rPr>
      </w:pPr>
      <w:r w:rsidRPr="00770730">
        <w:rPr>
          <w:rFonts w:asciiTheme="majorBidi" w:hAnsiTheme="majorBidi" w:cstheme="majorBidi"/>
          <w:color w:val="000000"/>
          <w:sz w:val="24"/>
          <w:szCs w:val="24"/>
        </w:rPr>
        <w:t>UNICEF has also supported the South Sudan Ministry of Health to incorporate key messages on the linkage between child marriage/early pregnancy and nutrition outcomes into their standard Infant and Young Child Feeding IEC materials. Going forward, UNICEF and partners will work with mother support groups at select stabilization centers and OTPs to raise awareness of available GBV services</w:t>
      </w:r>
      <w:r>
        <w:rPr>
          <w:rFonts w:asciiTheme="majorBidi" w:hAnsiTheme="majorBidi" w:cstheme="majorBidi"/>
          <w:color w:val="000000"/>
          <w:sz w:val="24"/>
          <w:szCs w:val="24"/>
        </w:rPr>
        <w:t>.</w:t>
      </w:r>
    </w:p>
    <w:p w:rsidR="00770730" w:rsidRDefault="00DB5B7B" w:rsidP="00695308">
      <w:pPr>
        <w:pStyle w:val="ListParagraph"/>
        <w:numPr>
          <w:ilvl w:val="0"/>
          <w:numId w:val="44"/>
        </w:numPr>
        <w:tabs>
          <w:tab w:val="left" w:pos="180"/>
        </w:tabs>
        <w:spacing w:after="0" w:line="240" w:lineRule="auto"/>
        <w:ind w:left="1530"/>
        <w:rPr>
          <w:rFonts w:asciiTheme="majorBidi" w:hAnsiTheme="majorBidi" w:cstheme="majorBidi"/>
          <w:color w:val="000000"/>
          <w:sz w:val="24"/>
          <w:szCs w:val="24"/>
        </w:rPr>
      </w:pPr>
      <w:r>
        <w:rPr>
          <w:rFonts w:asciiTheme="majorBidi" w:hAnsiTheme="majorBidi" w:cstheme="majorBidi"/>
          <w:color w:val="000000"/>
          <w:sz w:val="24"/>
          <w:szCs w:val="24"/>
        </w:rPr>
        <w:t xml:space="preserve">Bangladesh: </w:t>
      </w:r>
      <w:r w:rsidRPr="00DB5B7B">
        <w:rPr>
          <w:rFonts w:asciiTheme="majorBidi" w:hAnsiTheme="majorBidi" w:cstheme="majorBidi"/>
          <w:color w:val="000000"/>
          <w:sz w:val="24"/>
          <w:szCs w:val="24"/>
        </w:rPr>
        <w:t>Based on recommendations from the Inter-Agency Standing Committee (IASC), Action Against Hunger (ACF) have developed a guidance note to assist nutrition and Mental Health and Care Practices (MHCP) staff to provide safe, confidential and compassionate referrals to GBV services. After receiving a basic training, the frontline nutrition staff will use the guidance note to offer referral services to clients from ACF nutrition centers who require and request support for GBV services. This in turn will allow the centers to be entry points for women and girls who come to receive nutrition services and who disclose a GBV incident and request help.</w:t>
      </w:r>
    </w:p>
    <w:p w:rsidR="007745B3" w:rsidRPr="007745B3" w:rsidRDefault="007745B3" w:rsidP="00695308">
      <w:pPr>
        <w:pStyle w:val="ListParagraph"/>
        <w:numPr>
          <w:ilvl w:val="0"/>
          <w:numId w:val="44"/>
        </w:numPr>
        <w:tabs>
          <w:tab w:val="left" w:pos="180"/>
        </w:tabs>
        <w:spacing w:after="0" w:line="240" w:lineRule="auto"/>
        <w:ind w:left="1440"/>
        <w:rPr>
          <w:rFonts w:asciiTheme="majorBidi" w:hAnsiTheme="majorBidi" w:cstheme="majorBidi"/>
          <w:color w:val="000000"/>
          <w:sz w:val="24"/>
          <w:szCs w:val="24"/>
        </w:rPr>
      </w:pPr>
      <w:r>
        <w:rPr>
          <w:rFonts w:asciiTheme="majorBidi" w:hAnsiTheme="majorBidi" w:cstheme="majorBidi"/>
          <w:color w:val="000000"/>
          <w:sz w:val="24"/>
          <w:szCs w:val="24"/>
        </w:rPr>
        <w:t xml:space="preserve">Nigeria: </w:t>
      </w:r>
      <w:r w:rsidRPr="007745B3">
        <w:rPr>
          <w:rFonts w:asciiTheme="majorBidi" w:hAnsiTheme="majorBidi" w:cstheme="majorBidi"/>
          <w:color w:val="000000"/>
          <w:sz w:val="24"/>
          <w:szCs w:val="24"/>
        </w:rPr>
        <w:t xml:space="preserve">It has been observed by INTERSOS that host communities in Magumeri LGA, especially women and girls, face immense risks to their safety to access nutrition services. Women and girls, along with their children and younger siblings, are less likely to reach nutrition services due to safety concerns and, in some instances, men restricting or refusing women’s travel to these services. </w:t>
      </w:r>
      <w:r w:rsidRPr="007745B3">
        <w:rPr>
          <w:rFonts w:asciiTheme="majorBidi" w:hAnsiTheme="majorBidi" w:cstheme="majorBidi"/>
          <w:color w:val="000000"/>
          <w:sz w:val="24"/>
          <w:szCs w:val="24"/>
        </w:rPr>
        <w:lastRenderedPageBreak/>
        <w:t xml:space="preserve">Existing data sources indicate that these factors exacerbate existing disparities in malnutrition rates and increased risk of morbidity and mortality. </w:t>
      </w:r>
    </w:p>
    <w:p w:rsidR="007745B3" w:rsidRPr="007745B3" w:rsidRDefault="007745B3" w:rsidP="006B644F">
      <w:pPr>
        <w:pStyle w:val="ListParagraph"/>
        <w:tabs>
          <w:tab w:val="left" w:pos="180"/>
        </w:tabs>
        <w:spacing w:after="0" w:line="240" w:lineRule="auto"/>
        <w:ind w:left="1440"/>
        <w:rPr>
          <w:rFonts w:asciiTheme="majorBidi" w:hAnsiTheme="majorBidi" w:cstheme="majorBidi"/>
          <w:color w:val="000000"/>
          <w:sz w:val="24"/>
          <w:szCs w:val="24"/>
        </w:rPr>
      </w:pPr>
      <w:r w:rsidRPr="007745B3">
        <w:rPr>
          <w:rFonts w:asciiTheme="majorBidi" w:hAnsiTheme="majorBidi" w:cstheme="majorBidi"/>
          <w:color w:val="000000"/>
          <w:sz w:val="24"/>
          <w:szCs w:val="24"/>
        </w:rPr>
        <w:t>Intensive consultations with women and girls to better understand (1) how to place OTP sites in convenient, reachable and safe locations, (2) how to deliver services in a manner that is culturally appropriate for women and children with a diversity of needs and protection concerns and (3) the community’s perceptions of existing interventions.</w:t>
      </w:r>
    </w:p>
    <w:p w:rsidR="00DB5B7B" w:rsidRDefault="007745B3" w:rsidP="006B644F">
      <w:pPr>
        <w:pStyle w:val="ListParagraph"/>
        <w:tabs>
          <w:tab w:val="left" w:pos="180"/>
        </w:tabs>
        <w:spacing w:after="0" w:line="240" w:lineRule="auto"/>
        <w:ind w:left="1440"/>
        <w:rPr>
          <w:rFonts w:asciiTheme="majorBidi" w:hAnsiTheme="majorBidi" w:cstheme="majorBidi"/>
          <w:color w:val="000000"/>
          <w:sz w:val="24"/>
          <w:szCs w:val="24"/>
        </w:rPr>
      </w:pPr>
      <w:r w:rsidRPr="007745B3">
        <w:rPr>
          <w:rFonts w:asciiTheme="majorBidi" w:hAnsiTheme="majorBidi" w:cstheme="majorBidi"/>
          <w:color w:val="000000"/>
          <w:sz w:val="24"/>
          <w:szCs w:val="24"/>
        </w:rPr>
        <w:t>As a result, INTERSOS expanded nutrition services in Magumeri LGA via seven additional OTP centers with linked mother-to-mother support groups. In consultation and close coordination with INTERSOS’ protection team, shelter options were provided through nutrition/livelihood/protection services to those survivors who chose to disclose their experiences to INTERSOS personnel</w:t>
      </w:r>
    </w:p>
    <w:p w:rsidR="00667376" w:rsidRDefault="00287361" w:rsidP="00695308">
      <w:pPr>
        <w:pStyle w:val="ListParagraph"/>
        <w:numPr>
          <w:ilvl w:val="0"/>
          <w:numId w:val="44"/>
        </w:numPr>
        <w:tabs>
          <w:tab w:val="left" w:pos="180"/>
        </w:tabs>
        <w:spacing w:after="0" w:line="240" w:lineRule="auto"/>
        <w:ind w:left="1440"/>
        <w:rPr>
          <w:rFonts w:asciiTheme="majorBidi" w:hAnsiTheme="majorBidi" w:cstheme="majorBidi"/>
          <w:color w:val="000000"/>
          <w:sz w:val="24"/>
          <w:szCs w:val="24"/>
        </w:rPr>
      </w:pPr>
      <w:r>
        <w:rPr>
          <w:rFonts w:asciiTheme="majorBidi" w:hAnsiTheme="majorBidi" w:cstheme="majorBidi"/>
          <w:color w:val="000000"/>
          <w:sz w:val="24"/>
          <w:szCs w:val="24"/>
        </w:rPr>
        <w:t xml:space="preserve">Ethiopia: </w:t>
      </w:r>
      <w:r w:rsidRPr="00287361">
        <w:rPr>
          <w:rFonts w:asciiTheme="majorBidi" w:hAnsiTheme="majorBidi" w:cstheme="majorBidi"/>
          <w:color w:val="000000"/>
          <w:sz w:val="24"/>
          <w:szCs w:val="24"/>
        </w:rPr>
        <w:t>A GBV case worker stays in IYCF centers and provide information on GBV to the users. Any people who want to access GBV services can seek support from the GBV case worke</w:t>
      </w:r>
      <w:r>
        <w:rPr>
          <w:rFonts w:asciiTheme="majorBidi" w:hAnsiTheme="majorBidi" w:cstheme="majorBidi"/>
          <w:color w:val="000000"/>
          <w:sz w:val="24"/>
          <w:szCs w:val="24"/>
        </w:rPr>
        <w:t xml:space="preserve">r or directly access to services this will lead to increase in </w:t>
      </w:r>
      <w:r w:rsidRPr="00287361">
        <w:rPr>
          <w:rFonts w:asciiTheme="majorBidi" w:hAnsiTheme="majorBidi" w:cstheme="majorBidi"/>
          <w:color w:val="000000"/>
          <w:sz w:val="24"/>
          <w:szCs w:val="24"/>
        </w:rPr>
        <w:t xml:space="preserve">women </w:t>
      </w:r>
      <w:r>
        <w:rPr>
          <w:rFonts w:asciiTheme="majorBidi" w:hAnsiTheme="majorBidi" w:cstheme="majorBidi"/>
          <w:color w:val="000000"/>
          <w:sz w:val="24"/>
          <w:szCs w:val="24"/>
        </w:rPr>
        <w:t xml:space="preserve">who </w:t>
      </w:r>
      <w:r w:rsidRPr="00287361">
        <w:rPr>
          <w:rFonts w:asciiTheme="majorBidi" w:hAnsiTheme="majorBidi" w:cstheme="majorBidi"/>
          <w:color w:val="000000"/>
          <w:sz w:val="24"/>
          <w:szCs w:val="24"/>
        </w:rPr>
        <w:t xml:space="preserve">access </w:t>
      </w:r>
      <w:r>
        <w:rPr>
          <w:rFonts w:asciiTheme="majorBidi" w:hAnsiTheme="majorBidi" w:cstheme="majorBidi"/>
          <w:color w:val="000000"/>
          <w:sz w:val="24"/>
          <w:szCs w:val="24"/>
        </w:rPr>
        <w:t xml:space="preserve">women friendly space and </w:t>
      </w:r>
      <w:r w:rsidRPr="00287361">
        <w:rPr>
          <w:rFonts w:asciiTheme="majorBidi" w:hAnsiTheme="majorBidi" w:cstheme="majorBidi"/>
          <w:color w:val="000000"/>
          <w:sz w:val="24"/>
          <w:szCs w:val="24"/>
        </w:rPr>
        <w:t xml:space="preserve">survivors of GBV </w:t>
      </w:r>
      <w:r>
        <w:rPr>
          <w:rFonts w:asciiTheme="majorBidi" w:hAnsiTheme="majorBidi" w:cstheme="majorBidi"/>
          <w:color w:val="000000"/>
          <w:sz w:val="24"/>
          <w:szCs w:val="24"/>
        </w:rPr>
        <w:t xml:space="preserve">who </w:t>
      </w:r>
      <w:r w:rsidRPr="00287361">
        <w:rPr>
          <w:rFonts w:asciiTheme="majorBidi" w:hAnsiTheme="majorBidi" w:cstheme="majorBidi"/>
          <w:color w:val="000000"/>
          <w:sz w:val="24"/>
          <w:szCs w:val="24"/>
        </w:rPr>
        <w:t>seek support through the case worker. A simple collaboration like this can save life. When women receive adequate care, there is positive effect to nutrition outcome of children and the women.</w:t>
      </w:r>
    </w:p>
    <w:p w:rsidR="00667376" w:rsidRDefault="00776275" w:rsidP="00695308">
      <w:pPr>
        <w:pStyle w:val="ListParagraph"/>
        <w:numPr>
          <w:ilvl w:val="0"/>
          <w:numId w:val="44"/>
        </w:numPr>
        <w:tabs>
          <w:tab w:val="left" w:pos="180"/>
        </w:tabs>
        <w:spacing w:after="0" w:line="240" w:lineRule="auto"/>
        <w:ind w:left="1440"/>
        <w:rPr>
          <w:rFonts w:asciiTheme="majorBidi" w:hAnsiTheme="majorBidi" w:cstheme="majorBidi"/>
          <w:color w:val="000000"/>
          <w:sz w:val="24"/>
          <w:szCs w:val="24"/>
        </w:rPr>
      </w:pPr>
      <w:r>
        <w:rPr>
          <w:rFonts w:asciiTheme="majorBidi" w:hAnsiTheme="majorBidi" w:cstheme="majorBidi"/>
          <w:color w:val="000000"/>
          <w:sz w:val="24"/>
          <w:szCs w:val="24"/>
        </w:rPr>
        <w:t>South Sudan 2: The nutrition cluster has Integrated</w:t>
      </w:r>
      <w:r w:rsidRPr="00776275">
        <w:rPr>
          <w:rFonts w:asciiTheme="majorBidi" w:hAnsiTheme="majorBidi" w:cstheme="majorBidi"/>
          <w:color w:val="000000"/>
          <w:sz w:val="24"/>
          <w:szCs w:val="24"/>
        </w:rPr>
        <w:t xml:space="preserve"> GBV messages into IYCF card. </w:t>
      </w:r>
      <w:r>
        <w:rPr>
          <w:rFonts w:asciiTheme="majorBidi" w:hAnsiTheme="majorBidi" w:cstheme="majorBidi"/>
          <w:color w:val="000000"/>
          <w:sz w:val="24"/>
          <w:szCs w:val="24"/>
        </w:rPr>
        <w:t>Since n</w:t>
      </w:r>
      <w:r w:rsidRPr="00776275">
        <w:rPr>
          <w:rFonts w:asciiTheme="majorBidi" w:hAnsiTheme="majorBidi" w:cstheme="majorBidi"/>
          <w:color w:val="000000"/>
          <w:sz w:val="24"/>
          <w:szCs w:val="24"/>
        </w:rPr>
        <w:t>utrition has bigger and different outreach from GBV actors. This integration can disseminate critical message.</w:t>
      </w:r>
    </w:p>
    <w:p w:rsidR="007D1532" w:rsidRPr="004B63D2" w:rsidRDefault="00BA353C" w:rsidP="00695308">
      <w:pPr>
        <w:pStyle w:val="ListParagraph"/>
        <w:numPr>
          <w:ilvl w:val="0"/>
          <w:numId w:val="73"/>
        </w:numPr>
        <w:tabs>
          <w:tab w:val="left" w:pos="180"/>
        </w:tabs>
        <w:spacing w:after="0" w:line="240" w:lineRule="auto"/>
        <w:rPr>
          <w:rFonts w:asciiTheme="majorBidi" w:hAnsiTheme="majorBidi" w:cstheme="majorBidi"/>
          <w:color w:val="000000"/>
          <w:sz w:val="24"/>
          <w:szCs w:val="24"/>
        </w:rPr>
      </w:pPr>
      <w:r w:rsidRPr="00BA353C">
        <w:rPr>
          <w:rFonts w:asciiTheme="majorBidi" w:hAnsiTheme="majorBidi" w:cstheme="majorBidi"/>
          <w:color w:val="000000"/>
          <w:sz w:val="24"/>
          <w:szCs w:val="24"/>
        </w:rPr>
        <w:t>Exercise- Formulating gender and GBV responsive interventions</w:t>
      </w:r>
      <w:r w:rsidR="003257B9">
        <w:rPr>
          <w:rFonts w:asciiTheme="majorBidi" w:hAnsiTheme="majorBidi" w:cstheme="majorBidi"/>
          <w:color w:val="000000"/>
          <w:sz w:val="24"/>
          <w:szCs w:val="24"/>
        </w:rPr>
        <w:t xml:space="preserve">- slide </w:t>
      </w:r>
      <w:r w:rsidR="00FC437B">
        <w:rPr>
          <w:rFonts w:asciiTheme="majorBidi" w:hAnsiTheme="majorBidi" w:cstheme="majorBidi"/>
          <w:color w:val="000000"/>
          <w:sz w:val="24"/>
          <w:szCs w:val="24"/>
        </w:rPr>
        <w:t>83</w:t>
      </w:r>
      <w:r>
        <w:rPr>
          <w:rFonts w:asciiTheme="majorBidi" w:hAnsiTheme="majorBidi" w:cstheme="majorBidi"/>
          <w:color w:val="000000"/>
          <w:sz w:val="24"/>
          <w:szCs w:val="24"/>
        </w:rPr>
        <w:t xml:space="preserve">: </w:t>
      </w:r>
      <w:r w:rsidR="007D1532" w:rsidRPr="00956FBC">
        <w:rPr>
          <w:rFonts w:asciiTheme="majorBidi" w:hAnsiTheme="majorBidi" w:cstheme="majorBidi"/>
          <w:color w:val="000000"/>
          <w:sz w:val="24"/>
          <w:szCs w:val="24"/>
        </w:rPr>
        <w:t>During this exercise, participants will look at a real sample proposals and recommend improvements that ensure integrating GBV ri</w:t>
      </w:r>
      <w:r w:rsidR="007D1532">
        <w:rPr>
          <w:rFonts w:asciiTheme="majorBidi" w:hAnsiTheme="majorBidi" w:cstheme="majorBidi"/>
          <w:color w:val="000000"/>
          <w:sz w:val="24"/>
          <w:szCs w:val="24"/>
        </w:rPr>
        <w:t xml:space="preserve">sk mitigation into the </w:t>
      </w:r>
      <w:r w:rsidR="007D1532">
        <w:rPr>
          <w:rFonts w:asciiTheme="majorBidi" w:hAnsiTheme="majorBidi" w:cstheme="majorBidi"/>
          <w:color w:val="000000"/>
          <w:sz w:val="24"/>
          <w:szCs w:val="24"/>
        </w:rPr>
        <w:t xml:space="preserve">implementation section of the </w:t>
      </w:r>
      <w:r w:rsidR="007D1532">
        <w:rPr>
          <w:rFonts w:asciiTheme="majorBidi" w:hAnsiTheme="majorBidi" w:cstheme="majorBidi"/>
          <w:color w:val="000000"/>
          <w:sz w:val="24"/>
          <w:szCs w:val="24"/>
        </w:rPr>
        <w:t xml:space="preserve">proposal. </w:t>
      </w:r>
      <w:r w:rsidR="007D1532" w:rsidRPr="004B63D2">
        <w:rPr>
          <w:rFonts w:asciiTheme="majorBidi" w:hAnsiTheme="majorBidi" w:cstheme="majorBidi"/>
          <w:color w:val="000000"/>
          <w:sz w:val="24"/>
          <w:szCs w:val="24"/>
        </w:rPr>
        <w:t>Instructions</w:t>
      </w:r>
      <w:r w:rsidR="007D1532">
        <w:rPr>
          <w:rFonts w:asciiTheme="majorBidi" w:hAnsiTheme="majorBidi" w:cstheme="majorBidi"/>
          <w:color w:val="000000"/>
          <w:sz w:val="24"/>
          <w:szCs w:val="24"/>
        </w:rPr>
        <w:t xml:space="preserve"> are as follows:</w:t>
      </w:r>
    </w:p>
    <w:p w:rsidR="00B95A55" w:rsidRDefault="007D1532" w:rsidP="00695308">
      <w:pPr>
        <w:pStyle w:val="ListParagraph"/>
        <w:numPr>
          <w:ilvl w:val="0"/>
          <w:numId w:val="72"/>
        </w:numPr>
        <w:tabs>
          <w:tab w:val="left" w:pos="180"/>
        </w:tabs>
        <w:spacing w:after="0" w:line="240" w:lineRule="auto"/>
        <w:rPr>
          <w:rFonts w:asciiTheme="majorBidi" w:hAnsiTheme="majorBidi" w:cstheme="majorBidi"/>
          <w:color w:val="000000"/>
          <w:sz w:val="24"/>
          <w:szCs w:val="24"/>
        </w:rPr>
      </w:pPr>
      <w:r w:rsidRPr="00956FBC">
        <w:rPr>
          <w:rFonts w:asciiTheme="majorBidi" w:hAnsiTheme="majorBidi" w:cstheme="majorBidi"/>
          <w:color w:val="000000"/>
          <w:sz w:val="24"/>
          <w:szCs w:val="24"/>
        </w:rPr>
        <w:t xml:space="preserve">Split the participants </w:t>
      </w:r>
      <w:r w:rsidR="00B95A55">
        <w:rPr>
          <w:rFonts w:asciiTheme="majorBidi" w:hAnsiTheme="majorBidi" w:cstheme="majorBidi"/>
          <w:color w:val="000000"/>
          <w:sz w:val="24"/>
          <w:szCs w:val="24"/>
        </w:rPr>
        <w:t xml:space="preserve">into </w:t>
      </w:r>
      <w:r>
        <w:rPr>
          <w:rFonts w:asciiTheme="majorBidi" w:hAnsiTheme="majorBidi" w:cstheme="majorBidi"/>
          <w:color w:val="000000"/>
          <w:sz w:val="24"/>
          <w:szCs w:val="24"/>
        </w:rPr>
        <w:t>the same</w:t>
      </w:r>
      <w:r w:rsidRPr="00956FBC">
        <w:rPr>
          <w:rFonts w:asciiTheme="majorBidi" w:hAnsiTheme="majorBidi" w:cstheme="majorBidi"/>
          <w:color w:val="000000"/>
          <w:sz w:val="24"/>
          <w:szCs w:val="24"/>
        </w:rPr>
        <w:t xml:space="preserve"> 4 groups</w:t>
      </w:r>
      <w:r>
        <w:rPr>
          <w:rFonts w:asciiTheme="majorBidi" w:hAnsiTheme="majorBidi" w:cstheme="majorBidi"/>
          <w:color w:val="000000"/>
          <w:sz w:val="24"/>
          <w:szCs w:val="24"/>
        </w:rPr>
        <w:t xml:space="preserve"> that worked on the resource mobilization exercise. </w:t>
      </w:r>
    </w:p>
    <w:p w:rsidR="007D1532" w:rsidRPr="00030F9A" w:rsidRDefault="007D1532" w:rsidP="00695308">
      <w:pPr>
        <w:pStyle w:val="ListParagraph"/>
        <w:numPr>
          <w:ilvl w:val="0"/>
          <w:numId w:val="72"/>
        </w:numPr>
        <w:tabs>
          <w:tab w:val="left" w:pos="180"/>
        </w:tabs>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Ask e</w:t>
      </w:r>
      <w:r w:rsidRPr="00956FBC">
        <w:rPr>
          <w:rFonts w:asciiTheme="majorBidi" w:hAnsiTheme="majorBidi" w:cstheme="majorBidi"/>
          <w:color w:val="000000"/>
          <w:sz w:val="24"/>
          <w:szCs w:val="24"/>
        </w:rPr>
        <w:t xml:space="preserve">ach group </w:t>
      </w:r>
      <w:r>
        <w:rPr>
          <w:rFonts w:asciiTheme="majorBidi" w:hAnsiTheme="majorBidi" w:cstheme="majorBidi"/>
          <w:color w:val="000000"/>
          <w:sz w:val="24"/>
          <w:szCs w:val="24"/>
        </w:rPr>
        <w:t>to review the description and impleme</w:t>
      </w:r>
      <w:r w:rsidR="00B95A55">
        <w:rPr>
          <w:rFonts w:asciiTheme="majorBidi" w:hAnsiTheme="majorBidi" w:cstheme="majorBidi"/>
          <w:color w:val="000000"/>
          <w:sz w:val="24"/>
          <w:szCs w:val="24"/>
        </w:rPr>
        <w:t>ntation section of the proposal sample</w:t>
      </w:r>
      <w:r w:rsidR="00030F9A">
        <w:rPr>
          <w:rFonts w:asciiTheme="majorBidi" w:hAnsiTheme="majorBidi" w:cstheme="majorBidi"/>
          <w:color w:val="000000"/>
          <w:sz w:val="24"/>
          <w:szCs w:val="24"/>
        </w:rPr>
        <w:t xml:space="preserve"> </w:t>
      </w:r>
      <w:r w:rsidRPr="00030F9A">
        <w:rPr>
          <w:rFonts w:asciiTheme="majorBidi" w:hAnsiTheme="majorBidi" w:cstheme="majorBidi"/>
          <w:color w:val="000000"/>
          <w:sz w:val="24"/>
          <w:szCs w:val="24"/>
        </w:rPr>
        <w:t>and discuss how it can better reflect GBV risk mitigation consideration</w:t>
      </w:r>
      <w:r w:rsidR="00030F9A">
        <w:rPr>
          <w:rFonts w:asciiTheme="majorBidi" w:hAnsiTheme="majorBidi" w:cstheme="majorBidi"/>
          <w:color w:val="000000"/>
          <w:sz w:val="24"/>
          <w:szCs w:val="24"/>
        </w:rPr>
        <w:t xml:space="preserve">s. Use the implementation </w:t>
      </w:r>
      <w:r w:rsidRPr="00030F9A">
        <w:rPr>
          <w:rFonts w:asciiTheme="majorBidi" w:hAnsiTheme="majorBidi" w:cstheme="majorBidi"/>
          <w:color w:val="000000"/>
          <w:sz w:val="24"/>
          <w:szCs w:val="24"/>
        </w:rPr>
        <w:t>discussion guide to frame your work. Ideally have someone in your group keep track of your recommendations for the presentation.</w:t>
      </w:r>
    </w:p>
    <w:p w:rsidR="007D1532" w:rsidRPr="004B63D2" w:rsidRDefault="007D1532" w:rsidP="00695308">
      <w:pPr>
        <w:pStyle w:val="ListParagraph"/>
        <w:numPr>
          <w:ilvl w:val="0"/>
          <w:numId w:val="72"/>
        </w:numPr>
        <w:tabs>
          <w:tab w:val="left" w:pos="180"/>
        </w:tabs>
        <w:spacing w:after="0" w:line="240" w:lineRule="auto"/>
        <w:rPr>
          <w:rFonts w:asciiTheme="majorBidi" w:hAnsiTheme="majorBidi" w:cstheme="majorBidi"/>
          <w:color w:val="000000"/>
          <w:sz w:val="24"/>
          <w:szCs w:val="24"/>
        </w:rPr>
      </w:pPr>
      <w:r w:rsidRPr="004B63D2">
        <w:rPr>
          <w:rFonts w:asciiTheme="majorBidi" w:hAnsiTheme="majorBidi" w:cstheme="majorBidi"/>
          <w:color w:val="000000"/>
          <w:sz w:val="24"/>
          <w:szCs w:val="24"/>
        </w:rPr>
        <w:t xml:space="preserve">Use the </w:t>
      </w:r>
      <w:r w:rsidR="00030F9A">
        <w:rPr>
          <w:rFonts w:asciiTheme="majorBidi" w:hAnsiTheme="majorBidi" w:cstheme="majorBidi"/>
          <w:color w:val="000000"/>
          <w:sz w:val="24"/>
          <w:szCs w:val="24"/>
        </w:rPr>
        <w:t>implementation</w:t>
      </w:r>
      <w:r w:rsidRPr="004B63D2">
        <w:rPr>
          <w:rFonts w:asciiTheme="majorBidi" w:hAnsiTheme="majorBidi" w:cstheme="majorBidi"/>
          <w:color w:val="000000"/>
          <w:sz w:val="24"/>
          <w:szCs w:val="24"/>
        </w:rPr>
        <w:t xml:space="preserve"> section of the GBV Guidelines</w:t>
      </w:r>
      <w:r w:rsidR="00030F9A">
        <w:rPr>
          <w:rFonts w:asciiTheme="majorBidi" w:hAnsiTheme="majorBidi" w:cstheme="majorBidi"/>
          <w:color w:val="000000"/>
          <w:sz w:val="24"/>
          <w:szCs w:val="24"/>
        </w:rPr>
        <w:t>- nutrition TAG pages 44- 47</w:t>
      </w:r>
      <w:r w:rsidRPr="004B63D2">
        <w:rPr>
          <w:rFonts w:asciiTheme="majorBidi" w:hAnsiTheme="majorBidi" w:cstheme="majorBidi"/>
          <w:color w:val="000000"/>
          <w:sz w:val="24"/>
          <w:szCs w:val="24"/>
        </w:rPr>
        <w:t xml:space="preserve"> to help guide you</w:t>
      </w:r>
    </w:p>
    <w:p w:rsidR="007D1532" w:rsidRDefault="007D1532" w:rsidP="00695308">
      <w:pPr>
        <w:pStyle w:val="ListParagraph"/>
        <w:numPr>
          <w:ilvl w:val="0"/>
          <w:numId w:val="72"/>
        </w:numPr>
        <w:tabs>
          <w:tab w:val="left" w:pos="180"/>
        </w:tabs>
        <w:spacing w:after="0" w:line="240" w:lineRule="auto"/>
        <w:rPr>
          <w:rFonts w:asciiTheme="majorBidi" w:hAnsiTheme="majorBidi" w:cstheme="majorBidi"/>
          <w:color w:val="000000"/>
          <w:sz w:val="24"/>
          <w:szCs w:val="24"/>
        </w:rPr>
      </w:pPr>
      <w:r w:rsidRPr="00956FBC">
        <w:rPr>
          <w:rFonts w:asciiTheme="majorBidi" w:hAnsiTheme="majorBidi" w:cstheme="majorBidi"/>
          <w:color w:val="000000"/>
          <w:sz w:val="24"/>
          <w:szCs w:val="24"/>
        </w:rPr>
        <w:t>Prepare a 5-minute presentation on your recommendations</w:t>
      </w:r>
    </w:p>
    <w:p w:rsidR="005D6DA4" w:rsidRDefault="005D6DA4" w:rsidP="005D6DA4">
      <w:pPr>
        <w:pStyle w:val="ListParagraph"/>
        <w:tabs>
          <w:tab w:val="left" w:pos="180"/>
        </w:tabs>
        <w:spacing w:after="0" w:line="240" w:lineRule="auto"/>
        <w:ind w:left="2820"/>
        <w:rPr>
          <w:rFonts w:asciiTheme="majorBidi" w:hAnsiTheme="majorBidi" w:cstheme="majorBidi"/>
          <w:color w:val="000000"/>
          <w:sz w:val="24"/>
          <w:szCs w:val="24"/>
        </w:rPr>
      </w:pPr>
    </w:p>
    <w:p w:rsidR="005D6DA4" w:rsidRDefault="005D6DA4" w:rsidP="008A78D9">
      <w:pPr>
        <w:shd w:val="clear" w:color="auto" w:fill="F2F2F2" w:themeFill="background1" w:themeFillShade="F2"/>
        <w:tabs>
          <w:tab w:val="left" w:pos="180"/>
        </w:tabs>
        <w:spacing w:after="0" w:line="240" w:lineRule="auto"/>
        <w:rPr>
          <w:rFonts w:asciiTheme="majorBidi" w:hAnsiTheme="majorBidi" w:cstheme="majorBidi"/>
          <w:b/>
          <w:bCs/>
          <w:color w:val="000000"/>
          <w:sz w:val="24"/>
          <w:szCs w:val="24"/>
        </w:rPr>
      </w:pPr>
      <w:r w:rsidRPr="00F40231">
        <w:rPr>
          <w:rFonts w:asciiTheme="majorBidi" w:hAnsiTheme="majorBidi" w:cstheme="majorBidi"/>
          <w:b/>
          <w:bCs/>
          <w:color w:val="000000"/>
          <w:sz w:val="24"/>
          <w:szCs w:val="24"/>
          <w:shd w:val="clear" w:color="auto" w:fill="F2F2F2" w:themeFill="background1" w:themeFillShade="F2"/>
        </w:rPr>
        <w:t>Monitoring of gender and GBV issues in nutrition programming</w:t>
      </w:r>
    </w:p>
    <w:p w:rsidR="005D6DA4" w:rsidRDefault="005D6DA4" w:rsidP="008A78D9">
      <w:p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This last part of the session focuses on explaining the importance of monitoring </w:t>
      </w:r>
      <w:r w:rsidR="008A78D9">
        <w:rPr>
          <w:rFonts w:asciiTheme="majorBidi" w:hAnsiTheme="majorBidi" w:cstheme="majorBidi"/>
          <w:color w:val="000000"/>
          <w:sz w:val="24"/>
          <w:szCs w:val="24"/>
        </w:rPr>
        <w:t>the activities</w:t>
      </w:r>
      <w:r>
        <w:rPr>
          <w:rFonts w:asciiTheme="majorBidi" w:hAnsiTheme="majorBidi" w:cstheme="majorBidi"/>
          <w:color w:val="000000"/>
          <w:sz w:val="24"/>
          <w:szCs w:val="24"/>
        </w:rPr>
        <w:t xml:space="preserve"> including conducting safety audits as well as setting gender and GBV related indicators. It also provides participants with real example</w:t>
      </w:r>
      <w:r w:rsidR="00E15975">
        <w:rPr>
          <w:rFonts w:asciiTheme="majorBidi" w:hAnsiTheme="majorBidi" w:cstheme="majorBidi"/>
          <w:color w:val="000000"/>
          <w:sz w:val="24"/>
          <w:szCs w:val="24"/>
        </w:rPr>
        <w:t>s</w:t>
      </w:r>
      <w:r>
        <w:rPr>
          <w:rFonts w:asciiTheme="majorBidi" w:hAnsiTheme="majorBidi" w:cstheme="majorBidi"/>
          <w:color w:val="000000"/>
          <w:sz w:val="24"/>
          <w:szCs w:val="24"/>
        </w:rPr>
        <w:t xml:space="preserve"> and an opportunity to apply what they have learned through an exercise.</w:t>
      </w:r>
    </w:p>
    <w:p w:rsidR="005D6DA4" w:rsidRPr="005D6DA4" w:rsidRDefault="005D6DA4" w:rsidP="00695308">
      <w:pPr>
        <w:pStyle w:val="ListParagraph"/>
        <w:numPr>
          <w:ilvl w:val="0"/>
          <w:numId w:val="42"/>
        </w:numPr>
        <w:tabs>
          <w:tab w:val="left" w:pos="180"/>
        </w:tabs>
        <w:spacing w:after="0" w:line="240" w:lineRule="auto"/>
        <w:ind w:left="720"/>
        <w:rPr>
          <w:rFonts w:asciiTheme="majorBidi" w:hAnsiTheme="majorBidi" w:cstheme="majorBidi"/>
          <w:color w:val="000000"/>
          <w:sz w:val="24"/>
          <w:szCs w:val="24"/>
        </w:rPr>
      </w:pPr>
      <w:r>
        <w:rPr>
          <w:rFonts w:asciiTheme="majorBidi" w:hAnsiTheme="majorBidi" w:cstheme="majorBidi"/>
          <w:color w:val="000000"/>
          <w:sz w:val="24"/>
          <w:szCs w:val="24"/>
        </w:rPr>
        <w:t>Introduce the topic by explaining</w:t>
      </w:r>
      <w:r w:rsidR="00FC437B">
        <w:rPr>
          <w:rFonts w:asciiTheme="majorBidi" w:hAnsiTheme="majorBidi" w:cstheme="majorBidi"/>
          <w:color w:val="000000"/>
          <w:sz w:val="24"/>
          <w:szCs w:val="24"/>
        </w:rPr>
        <w:t xml:space="preserve"> from slides 84, 85 and 8</w:t>
      </w:r>
      <w:r w:rsidR="00284E47">
        <w:rPr>
          <w:rFonts w:asciiTheme="majorBidi" w:hAnsiTheme="majorBidi" w:cstheme="majorBidi"/>
          <w:color w:val="000000"/>
          <w:sz w:val="24"/>
          <w:szCs w:val="24"/>
        </w:rPr>
        <w:t>6</w:t>
      </w:r>
      <w:r>
        <w:rPr>
          <w:rFonts w:asciiTheme="majorBidi" w:hAnsiTheme="majorBidi" w:cstheme="majorBidi"/>
          <w:color w:val="000000"/>
          <w:sz w:val="24"/>
          <w:szCs w:val="24"/>
        </w:rPr>
        <w:t xml:space="preserve"> that the </w:t>
      </w:r>
      <w:r w:rsidRPr="005D6DA4">
        <w:rPr>
          <w:rFonts w:asciiTheme="majorBidi" w:hAnsiTheme="majorBidi" w:cstheme="majorBidi"/>
          <w:color w:val="000000"/>
          <w:sz w:val="24"/>
          <w:szCs w:val="24"/>
        </w:rPr>
        <w:t xml:space="preserve">monitoring of the gender considerations and GBV risks should look at the participation of and accountability to women and girls and the gender, social and cultural norms affecting nutrition and feeding practices and the safety and access risks for women, girls and other </w:t>
      </w:r>
      <w:r w:rsidRPr="005D6DA4">
        <w:rPr>
          <w:rFonts w:asciiTheme="majorBidi" w:hAnsiTheme="majorBidi" w:cstheme="majorBidi"/>
          <w:color w:val="000000"/>
          <w:sz w:val="24"/>
          <w:szCs w:val="24"/>
        </w:rPr>
        <w:lastRenderedPageBreak/>
        <w:t>vulnerable groups related to nutrition services. Continuous routine monitoring is recommended and can take place at the different steps of the project cycle. E.g.: strategic planning and resource mobilization, implementation and at the end of the project.</w:t>
      </w:r>
    </w:p>
    <w:p w:rsidR="005D6DA4" w:rsidRPr="005D6DA4" w:rsidRDefault="005D6DA4" w:rsidP="00695308">
      <w:pPr>
        <w:pStyle w:val="ListParagraph"/>
        <w:numPr>
          <w:ilvl w:val="0"/>
          <w:numId w:val="42"/>
        </w:numPr>
        <w:tabs>
          <w:tab w:val="left" w:pos="180"/>
        </w:tabs>
        <w:spacing w:after="0" w:line="240" w:lineRule="auto"/>
        <w:ind w:left="720"/>
        <w:rPr>
          <w:rFonts w:asciiTheme="majorBidi" w:hAnsiTheme="majorBidi" w:cstheme="majorBidi"/>
          <w:color w:val="000000"/>
          <w:sz w:val="24"/>
          <w:szCs w:val="24"/>
        </w:rPr>
      </w:pPr>
      <w:r w:rsidRPr="005D6DA4">
        <w:rPr>
          <w:rFonts w:asciiTheme="majorBidi" w:hAnsiTheme="majorBidi" w:cstheme="majorBidi"/>
          <w:color w:val="000000"/>
          <w:sz w:val="24"/>
          <w:szCs w:val="24"/>
        </w:rPr>
        <w:t>A good way to do monitoring is through integrating Gender and GBV lens into the regular monitoring of the markers of good programming – such as access, acceptability, availability, quality of services.</w:t>
      </w:r>
    </w:p>
    <w:p w:rsidR="005D6DA4" w:rsidRDefault="005D6DA4" w:rsidP="00695308">
      <w:pPr>
        <w:pStyle w:val="ListParagraph"/>
        <w:numPr>
          <w:ilvl w:val="0"/>
          <w:numId w:val="42"/>
        </w:numPr>
        <w:tabs>
          <w:tab w:val="left" w:pos="180"/>
        </w:tabs>
        <w:spacing w:after="0" w:line="240" w:lineRule="auto"/>
        <w:ind w:left="720"/>
        <w:rPr>
          <w:rFonts w:asciiTheme="majorBidi" w:hAnsiTheme="majorBidi" w:cstheme="majorBidi"/>
          <w:color w:val="000000"/>
          <w:sz w:val="24"/>
          <w:szCs w:val="24"/>
        </w:rPr>
      </w:pPr>
      <w:r w:rsidRPr="005D6DA4">
        <w:rPr>
          <w:rFonts w:asciiTheme="majorBidi" w:hAnsiTheme="majorBidi" w:cstheme="majorBidi"/>
          <w:color w:val="000000"/>
          <w:sz w:val="24"/>
          <w:szCs w:val="24"/>
        </w:rPr>
        <w:t>The gender and safety issues related to the availability, accessibility, acceptability and quality of services can be done through safety audits and/or examining safety perceptio</w:t>
      </w:r>
      <w:r>
        <w:rPr>
          <w:rFonts w:asciiTheme="majorBidi" w:hAnsiTheme="majorBidi" w:cstheme="majorBidi"/>
          <w:color w:val="000000"/>
          <w:sz w:val="24"/>
          <w:szCs w:val="24"/>
        </w:rPr>
        <w:t>ns of the affected communities.</w:t>
      </w:r>
    </w:p>
    <w:p w:rsidR="005D6DA4" w:rsidRDefault="005D6DA4" w:rsidP="00695308">
      <w:pPr>
        <w:pStyle w:val="ListParagraph"/>
        <w:numPr>
          <w:ilvl w:val="0"/>
          <w:numId w:val="42"/>
        </w:numPr>
        <w:tabs>
          <w:tab w:val="left" w:pos="180"/>
        </w:tabs>
        <w:spacing w:after="0" w:line="240" w:lineRule="auto"/>
        <w:ind w:left="720"/>
        <w:rPr>
          <w:rFonts w:asciiTheme="majorBidi" w:hAnsiTheme="majorBidi" w:cstheme="majorBidi"/>
          <w:color w:val="000000"/>
          <w:sz w:val="24"/>
          <w:szCs w:val="24"/>
        </w:rPr>
      </w:pPr>
      <w:r w:rsidRPr="005D6DA4">
        <w:rPr>
          <w:rFonts w:asciiTheme="majorBidi" w:hAnsiTheme="majorBidi" w:cstheme="majorBidi"/>
          <w:color w:val="000000"/>
          <w:sz w:val="24"/>
          <w:szCs w:val="24"/>
        </w:rPr>
        <w:t xml:space="preserve">Depending in which step of the project the safety monitoring takes place, it can either look at GBV risks related to nutrition programs or the effectiveness of the gender considerations and the GBV risk mitigation strategies that are implemented. </w:t>
      </w:r>
    </w:p>
    <w:p w:rsidR="005D6DA4" w:rsidRDefault="005D6DA4" w:rsidP="00695308">
      <w:pPr>
        <w:pStyle w:val="ListParagraph"/>
        <w:numPr>
          <w:ilvl w:val="0"/>
          <w:numId w:val="42"/>
        </w:numPr>
        <w:tabs>
          <w:tab w:val="left" w:pos="180"/>
        </w:tabs>
        <w:spacing w:after="0" w:line="240" w:lineRule="auto"/>
        <w:ind w:left="720"/>
        <w:rPr>
          <w:rFonts w:asciiTheme="majorBidi" w:hAnsiTheme="majorBidi" w:cstheme="majorBidi"/>
          <w:color w:val="000000"/>
          <w:sz w:val="24"/>
          <w:szCs w:val="24"/>
        </w:rPr>
      </w:pPr>
      <w:r w:rsidRPr="005D6DA4">
        <w:rPr>
          <w:rFonts w:asciiTheme="majorBidi" w:hAnsiTheme="majorBidi" w:cstheme="majorBidi"/>
          <w:color w:val="000000"/>
          <w:sz w:val="24"/>
          <w:szCs w:val="24"/>
        </w:rPr>
        <w:t>The routine monitoring data along with community consultation and the collected SADD should jointly be used to enhance nutrition programs safety, achieve nutrition-specific goals and targets, address needs of affected communities and ensure accountability to affected communities.</w:t>
      </w:r>
    </w:p>
    <w:p w:rsidR="00C43B75" w:rsidRPr="00C43B75" w:rsidRDefault="00C43B75" w:rsidP="00695308">
      <w:pPr>
        <w:pStyle w:val="ListParagraph"/>
        <w:numPr>
          <w:ilvl w:val="0"/>
          <w:numId w:val="42"/>
        </w:numPr>
        <w:tabs>
          <w:tab w:val="left" w:pos="180"/>
        </w:tabs>
        <w:spacing w:after="0" w:line="240" w:lineRule="auto"/>
        <w:ind w:left="720"/>
        <w:rPr>
          <w:rFonts w:asciiTheme="majorBidi" w:hAnsiTheme="majorBidi" w:cstheme="majorBidi"/>
          <w:color w:val="000000"/>
          <w:sz w:val="24"/>
          <w:szCs w:val="24"/>
        </w:rPr>
      </w:pPr>
      <w:r>
        <w:rPr>
          <w:rFonts w:asciiTheme="majorBidi" w:hAnsiTheme="majorBidi" w:cstheme="majorBidi"/>
          <w:color w:val="000000"/>
          <w:sz w:val="24"/>
          <w:szCs w:val="24"/>
        </w:rPr>
        <w:t>Pinpoint that t</w:t>
      </w:r>
      <w:r w:rsidRPr="00C43B75">
        <w:rPr>
          <w:rFonts w:asciiTheme="majorBidi" w:hAnsiTheme="majorBidi" w:cstheme="majorBidi"/>
          <w:color w:val="000000"/>
          <w:sz w:val="24"/>
          <w:szCs w:val="24"/>
        </w:rPr>
        <w:t>he generated data should be handled with caution due to its sensitivity. It is the responsibility of all nutrition actors to ensure safety, confidentiality and informed consent when collecting or sharing data. In general, data gathered around individual GBV cases and quantitative GBV incident data should not be shared for coordination, donor reports, advocacy material, or used for making decisions on GBV risk mitigation strategies. The most appropriate and safe data to be shared and used to inform nutrition programs, advocacy, coordination and feed into donor reports, sitreps, etc. is the qualitative data around gender considerations and GBV risks that is gathered through monitoring and community feedback mechanisms.</w:t>
      </w:r>
    </w:p>
    <w:p w:rsidR="005D6DA4" w:rsidRDefault="00284E47" w:rsidP="00695308">
      <w:pPr>
        <w:pStyle w:val="ListParagraph"/>
        <w:numPr>
          <w:ilvl w:val="0"/>
          <w:numId w:val="42"/>
        </w:numPr>
        <w:tabs>
          <w:tab w:val="left" w:pos="180"/>
        </w:tabs>
        <w:spacing w:after="0" w:line="240" w:lineRule="auto"/>
        <w:ind w:left="720"/>
        <w:rPr>
          <w:rFonts w:asciiTheme="majorBidi" w:hAnsiTheme="majorBidi" w:cstheme="majorBidi"/>
          <w:color w:val="000000"/>
          <w:sz w:val="24"/>
          <w:szCs w:val="24"/>
        </w:rPr>
      </w:pPr>
      <w:r>
        <w:rPr>
          <w:rFonts w:asciiTheme="majorBidi" w:hAnsiTheme="majorBidi" w:cstheme="majorBidi"/>
          <w:color w:val="000000"/>
          <w:sz w:val="24"/>
          <w:szCs w:val="24"/>
        </w:rPr>
        <w:t>Explain and h</w:t>
      </w:r>
      <w:r w:rsidR="005D6DA4">
        <w:rPr>
          <w:rFonts w:asciiTheme="majorBidi" w:hAnsiTheme="majorBidi" w:cstheme="majorBidi"/>
          <w:color w:val="000000"/>
          <w:sz w:val="24"/>
          <w:szCs w:val="24"/>
        </w:rPr>
        <w:t xml:space="preserve">ighlight </w:t>
      </w:r>
      <w:r w:rsidR="00FC437B">
        <w:rPr>
          <w:rFonts w:asciiTheme="majorBidi" w:hAnsiTheme="majorBidi" w:cstheme="majorBidi"/>
          <w:color w:val="000000"/>
          <w:sz w:val="24"/>
          <w:szCs w:val="24"/>
        </w:rPr>
        <w:t>from slide 8</w:t>
      </w:r>
      <w:r>
        <w:rPr>
          <w:rFonts w:asciiTheme="majorBidi" w:hAnsiTheme="majorBidi" w:cstheme="majorBidi"/>
          <w:color w:val="000000"/>
          <w:sz w:val="24"/>
          <w:szCs w:val="24"/>
        </w:rPr>
        <w:t xml:space="preserve">7 </w:t>
      </w:r>
      <w:r w:rsidR="005D6DA4">
        <w:rPr>
          <w:rFonts w:asciiTheme="majorBidi" w:hAnsiTheme="majorBidi" w:cstheme="majorBidi"/>
          <w:color w:val="000000"/>
          <w:sz w:val="24"/>
          <w:szCs w:val="24"/>
        </w:rPr>
        <w:t>that safety means in service delivery means that the service does not cause or increase the likelihood of GBV, p</w:t>
      </w:r>
      <w:r w:rsidR="005D6DA4" w:rsidRPr="005D6DA4">
        <w:rPr>
          <w:rFonts w:asciiTheme="majorBidi" w:hAnsiTheme="majorBidi" w:cstheme="majorBidi"/>
          <w:color w:val="000000"/>
          <w:sz w:val="24"/>
          <w:szCs w:val="24"/>
        </w:rPr>
        <w:t>roactively facilitates and monitors vulnerable groups’ equal access to services</w:t>
      </w:r>
      <w:r w:rsidR="005D6DA4">
        <w:rPr>
          <w:rFonts w:asciiTheme="majorBidi" w:hAnsiTheme="majorBidi" w:cstheme="majorBidi"/>
          <w:color w:val="000000"/>
          <w:sz w:val="24"/>
          <w:szCs w:val="24"/>
        </w:rPr>
        <w:t xml:space="preserve"> and i</w:t>
      </w:r>
      <w:r w:rsidR="005D6DA4" w:rsidRPr="005D6DA4">
        <w:rPr>
          <w:rFonts w:asciiTheme="majorBidi" w:hAnsiTheme="majorBidi" w:cstheme="majorBidi"/>
          <w:color w:val="000000"/>
          <w:sz w:val="24"/>
          <w:szCs w:val="24"/>
        </w:rPr>
        <w:t>s responsive to gender and GBV risks in the environment.</w:t>
      </w:r>
      <w:r w:rsidR="005D6DA4">
        <w:rPr>
          <w:rFonts w:asciiTheme="majorBidi" w:hAnsiTheme="majorBidi" w:cstheme="majorBidi"/>
          <w:color w:val="000000"/>
          <w:sz w:val="24"/>
          <w:szCs w:val="24"/>
        </w:rPr>
        <w:t xml:space="preserve"> Safety considerations include </w:t>
      </w:r>
      <w:r w:rsidR="005D6DA4" w:rsidRPr="005D6DA4">
        <w:rPr>
          <w:rFonts w:asciiTheme="majorBidi" w:hAnsiTheme="majorBidi" w:cstheme="majorBidi"/>
          <w:color w:val="000000"/>
          <w:sz w:val="24"/>
          <w:szCs w:val="24"/>
        </w:rPr>
        <w:t xml:space="preserve">staff/volunteers, programs, coordination, operations </w:t>
      </w:r>
      <w:r w:rsidR="00545330" w:rsidRPr="005D6DA4">
        <w:rPr>
          <w:rFonts w:asciiTheme="majorBidi" w:hAnsiTheme="majorBidi" w:cstheme="majorBidi"/>
          <w:color w:val="000000"/>
          <w:sz w:val="24"/>
          <w:szCs w:val="24"/>
        </w:rPr>
        <w:t>etc</w:t>
      </w:r>
      <w:r w:rsidR="00545330">
        <w:rPr>
          <w:rFonts w:asciiTheme="majorBidi" w:hAnsiTheme="majorBidi" w:cstheme="majorBidi"/>
          <w:color w:val="000000"/>
          <w:sz w:val="24"/>
          <w:szCs w:val="24"/>
        </w:rPr>
        <w:t>.</w:t>
      </w:r>
    </w:p>
    <w:p w:rsidR="005D6DA4" w:rsidRPr="005D6DA4" w:rsidRDefault="005D6DA4" w:rsidP="00695308">
      <w:pPr>
        <w:pStyle w:val="ListParagraph"/>
        <w:numPr>
          <w:ilvl w:val="0"/>
          <w:numId w:val="42"/>
        </w:numPr>
        <w:ind w:left="720"/>
        <w:rPr>
          <w:rFonts w:asciiTheme="majorBidi" w:hAnsiTheme="majorBidi" w:cstheme="majorBidi"/>
          <w:color w:val="000000"/>
          <w:sz w:val="24"/>
          <w:szCs w:val="24"/>
        </w:rPr>
      </w:pPr>
      <w:r w:rsidRPr="005D6DA4">
        <w:rPr>
          <w:rFonts w:asciiTheme="majorBidi" w:hAnsiTheme="majorBidi" w:cstheme="majorBidi"/>
          <w:color w:val="000000"/>
          <w:sz w:val="24"/>
          <w:szCs w:val="24"/>
        </w:rPr>
        <w:t>Ask why is this important an</w:t>
      </w:r>
      <w:r w:rsidR="008728CE">
        <w:rPr>
          <w:rFonts w:asciiTheme="majorBidi" w:hAnsiTheme="majorBidi" w:cstheme="majorBidi"/>
          <w:color w:val="000000"/>
          <w:sz w:val="24"/>
          <w:szCs w:val="24"/>
        </w:rPr>
        <w:t>d how safety concerns affect our</w:t>
      </w:r>
      <w:r w:rsidRPr="005D6DA4">
        <w:rPr>
          <w:rFonts w:asciiTheme="majorBidi" w:hAnsiTheme="majorBidi" w:cstheme="majorBidi"/>
          <w:color w:val="000000"/>
          <w:sz w:val="24"/>
          <w:szCs w:val="24"/>
        </w:rPr>
        <w:t xml:space="preserve"> programs and take few answers</w:t>
      </w:r>
    </w:p>
    <w:p w:rsidR="005D6DA4" w:rsidRPr="005D6DA4" w:rsidRDefault="00284E47" w:rsidP="00695308">
      <w:pPr>
        <w:pStyle w:val="ListParagraph"/>
        <w:numPr>
          <w:ilvl w:val="0"/>
          <w:numId w:val="42"/>
        </w:numPr>
        <w:tabs>
          <w:tab w:val="left" w:pos="180"/>
        </w:tabs>
        <w:spacing w:after="0" w:line="240" w:lineRule="auto"/>
        <w:ind w:left="720"/>
        <w:rPr>
          <w:rFonts w:asciiTheme="majorBidi" w:hAnsiTheme="majorBidi" w:cstheme="majorBidi"/>
          <w:color w:val="000000"/>
          <w:sz w:val="24"/>
          <w:szCs w:val="24"/>
        </w:rPr>
      </w:pPr>
      <w:r>
        <w:rPr>
          <w:rFonts w:asciiTheme="majorBidi" w:hAnsiTheme="majorBidi" w:cstheme="majorBidi"/>
          <w:color w:val="000000"/>
          <w:sz w:val="24"/>
          <w:szCs w:val="24"/>
        </w:rPr>
        <w:t>Show slide</w:t>
      </w:r>
      <w:r w:rsidR="00CF72A0">
        <w:rPr>
          <w:rFonts w:asciiTheme="majorBidi" w:hAnsiTheme="majorBidi" w:cstheme="majorBidi"/>
          <w:color w:val="000000"/>
          <w:sz w:val="24"/>
          <w:szCs w:val="24"/>
        </w:rPr>
        <w:t>s</w:t>
      </w:r>
      <w:r w:rsidR="00FC437B">
        <w:rPr>
          <w:rFonts w:asciiTheme="majorBidi" w:hAnsiTheme="majorBidi" w:cstheme="majorBidi"/>
          <w:color w:val="000000"/>
          <w:sz w:val="24"/>
          <w:szCs w:val="24"/>
        </w:rPr>
        <w:t xml:space="preserve"> 8</w:t>
      </w:r>
      <w:r>
        <w:rPr>
          <w:rFonts w:asciiTheme="majorBidi" w:hAnsiTheme="majorBidi" w:cstheme="majorBidi"/>
          <w:color w:val="000000"/>
          <w:sz w:val="24"/>
          <w:szCs w:val="24"/>
        </w:rPr>
        <w:t xml:space="preserve">8 </w:t>
      </w:r>
      <w:r w:rsidR="00CF72A0">
        <w:rPr>
          <w:rFonts w:asciiTheme="majorBidi" w:hAnsiTheme="majorBidi" w:cstheme="majorBidi"/>
          <w:color w:val="000000"/>
          <w:sz w:val="24"/>
          <w:szCs w:val="24"/>
        </w:rPr>
        <w:t>and</w:t>
      </w:r>
      <w:r w:rsidR="00FC437B">
        <w:rPr>
          <w:rFonts w:asciiTheme="majorBidi" w:hAnsiTheme="majorBidi" w:cstheme="majorBidi"/>
          <w:color w:val="000000"/>
          <w:sz w:val="24"/>
          <w:szCs w:val="24"/>
        </w:rPr>
        <w:t xml:space="preserve"> 8</w:t>
      </w:r>
      <w:r w:rsidR="00CF72A0">
        <w:rPr>
          <w:rFonts w:asciiTheme="majorBidi" w:hAnsiTheme="majorBidi" w:cstheme="majorBidi"/>
          <w:color w:val="000000"/>
          <w:sz w:val="24"/>
          <w:szCs w:val="24"/>
        </w:rPr>
        <w:t xml:space="preserve">9 </w:t>
      </w:r>
      <w:r>
        <w:rPr>
          <w:rFonts w:asciiTheme="majorBidi" w:hAnsiTheme="majorBidi" w:cstheme="majorBidi"/>
          <w:color w:val="000000"/>
          <w:sz w:val="24"/>
          <w:szCs w:val="24"/>
        </w:rPr>
        <w:t xml:space="preserve">and explain: </w:t>
      </w:r>
      <w:r w:rsidR="005D6DA4" w:rsidRPr="005D6DA4">
        <w:rPr>
          <w:rFonts w:asciiTheme="majorBidi" w:hAnsiTheme="majorBidi" w:cstheme="majorBidi"/>
          <w:color w:val="000000"/>
          <w:sz w:val="24"/>
          <w:szCs w:val="24"/>
        </w:rPr>
        <w:t xml:space="preserve">Safety Audit is a simple and practical way to collect information related to GBV-related safety risks and can be incorporated into regular nutrition assessment/monitoring activities. It includes an observation component where physical/hardware GBV related risks are identified and consultations through focused group discussions and key informant interviews to understand accessibility challenges and safety concerns. </w:t>
      </w:r>
    </w:p>
    <w:p w:rsidR="005D6DA4" w:rsidRDefault="008728CE" w:rsidP="00695308">
      <w:pPr>
        <w:pStyle w:val="ListParagraph"/>
        <w:numPr>
          <w:ilvl w:val="0"/>
          <w:numId w:val="42"/>
        </w:numPr>
        <w:tabs>
          <w:tab w:val="left" w:pos="180"/>
        </w:tabs>
        <w:spacing w:after="0" w:line="240" w:lineRule="auto"/>
        <w:ind w:left="720"/>
        <w:rPr>
          <w:rFonts w:asciiTheme="majorBidi" w:hAnsiTheme="majorBidi" w:cstheme="majorBidi"/>
          <w:color w:val="000000"/>
          <w:sz w:val="24"/>
          <w:szCs w:val="24"/>
        </w:rPr>
      </w:pPr>
      <w:r>
        <w:rPr>
          <w:rFonts w:asciiTheme="majorBidi" w:hAnsiTheme="majorBidi" w:cstheme="majorBidi"/>
          <w:color w:val="000000"/>
          <w:sz w:val="24"/>
          <w:szCs w:val="24"/>
        </w:rPr>
        <w:t>Example of promising practice- South Sudan</w:t>
      </w:r>
      <w:r w:rsidR="00FC437B">
        <w:rPr>
          <w:rFonts w:asciiTheme="majorBidi" w:hAnsiTheme="majorBidi" w:cstheme="majorBidi"/>
          <w:color w:val="000000"/>
          <w:sz w:val="24"/>
          <w:szCs w:val="24"/>
        </w:rPr>
        <w:t>- slide 90</w:t>
      </w:r>
      <w:r w:rsidR="00CF72A0">
        <w:rPr>
          <w:rFonts w:asciiTheme="majorBidi" w:hAnsiTheme="majorBidi" w:cstheme="majorBidi"/>
          <w:color w:val="000000"/>
          <w:sz w:val="24"/>
          <w:szCs w:val="24"/>
        </w:rPr>
        <w:t>:</w:t>
      </w:r>
    </w:p>
    <w:p w:rsidR="008728CE" w:rsidRPr="008728CE" w:rsidRDefault="008728CE" w:rsidP="00695308">
      <w:pPr>
        <w:pStyle w:val="ListParagraph"/>
        <w:numPr>
          <w:ilvl w:val="0"/>
          <w:numId w:val="45"/>
        </w:numPr>
        <w:tabs>
          <w:tab w:val="left" w:pos="180"/>
        </w:tabs>
        <w:spacing w:after="0" w:line="240" w:lineRule="auto"/>
        <w:ind w:left="1440"/>
        <w:rPr>
          <w:rFonts w:asciiTheme="majorBidi" w:hAnsiTheme="majorBidi" w:cstheme="majorBidi"/>
          <w:color w:val="000000"/>
          <w:sz w:val="24"/>
          <w:szCs w:val="24"/>
        </w:rPr>
      </w:pPr>
      <w:r w:rsidRPr="008728CE">
        <w:rPr>
          <w:rFonts w:asciiTheme="majorBidi" w:hAnsiTheme="majorBidi" w:cstheme="majorBidi"/>
          <w:color w:val="000000"/>
          <w:sz w:val="24"/>
          <w:szCs w:val="24"/>
        </w:rPr>
        <w:t xml:space="preserve">Action Against Hunger (ACF) has developed a tool to identify potential GBV related risks at and around the nutrition centers. This tool focuses on three sectors (WASH, Nutrition/Health and Protection/GBV). It allows ACF to identify key issues that could affect the safety of the beneficiaries and consequently find ways to mitigate and prevent these risks as well as identify effective program elements to ensure safety of the beneficiaries at the sites of operation. The key components of this toolkit include: </w:t>
      </w:r>
    </w:p>
    <w:p w:rsidR="008728CE" w:rsidRDefault="008728CE" w:rsidP="00695308">
      <w:pPr>
        <w:pStyle w:val="ListParagraph"/>
        <w:numPr>
          <w:ilvl w:val="0"/>
          <w:numId w:val="46"/>
        </w:numPr>
        <w:tabs>
          <w:tab w:val="left" w:pos="180"/>
        </w:tabs>
        <w:spacing w:after="0" w:line="240" w:lineRule="auto"/>
        <w:ind w:left="2340"/>
        <w:rPr>
          <w:rFonts w:asciiTheme="majorBidi" w:hAnsiTheme="majorBidi" w:cstheme="majorBidi"/>
          <w:color w:val="000000"/>
          <w:sz w:val="24"/>
          <w:szCs w:val="24"/>
        </w:rPr>
      </w:pPr>
      <w:r w:rsidRPr="008728CE">
        <w:rPr>
          <w:rFonts w:asciiTheme="majorBidi" w:hAnsiTheme="majorBidi" w:cstheme="majorBidi"/>
          <w:color w:val="000000"/>
          <w:sz w:val="24"/>
          <w:szCs w:val="24"/>
        </w:rPr>
        <w:lastRenderedPageBreak/>
        <w:t>An observation checklist</w:t>
      </w:r>
    </w:p>
    <w:p w:rsidR="008728CE" w:rsidRDefault="008728CE" w:rsidP="00695308">
      <w:pPr>
        <w:pStyle w:val="ListParagraph"/>
        <w:numPr>
          <w:ilvl w:val="0"/>
          <w:numId w:val="46"/>
        </w:numPr>
        <w:tabs>
          <w:tab w:val="left" w:pos="180"/>
        </w:tabs>
        <w:spacing w:after="0" w:line="240" w:lineRule="auto"/>
        <w:ind w:left="2340"/>
        <w:rPr>
          <w:rFonts w:asciiTheme="majorBidi" w:hAnsiTheme="majorBidi" w:cstheme="majorBidi"/>
          <w:color w:val="000000"/>
          <w:sz w:val="24"/>
          <w:szCs w:val="24"/>
        </w:rPr>
      </w:pPr>
      <w:r w:rsidRPr="008728CE">
        <w:rPr>
          <w:rFonts w:asciiTheme="majorBidi" w:hAnsiTheme="majorBidi" w:cstheme="majorBidi"/>
          <w:color w:val="000000"/>
          <w:sz w:val="24"/>
          <w:szCs w:val="24"/>
        </w:rPr>
        <w:t xml:space="preserve">Interview questionnaires that can be used in focus group discussions with beneficiaries </w:t>
      </w:r>
    </w:p>
    <w:p w:rsidR="008728CE" w:rsidRDefault="008728CE" w:rsidP="00695308">
      <w:pPr>
        <w:pStyle w:val="ListParagraph"/>
        <w:numPr>
          <w:ilvl w:val="0"/>
          <w:numId w:val="46"/>
        </w:numPr>
        <w:tabs>
          <w:tab w:val="left" w:pos="180"/>
        </w:tabs>
        <w:spacing w:after="0" w:line="240" w:lineRule="auto"/>
        <w:ind w:left="2340"/>
        <w:rPr>
          <w:rFonts w:asciiTheme="majorBidi" w:hAnsiTheme="majorBidi" w:cstheme="majorBidi"/>
          <w:color w:val="000000"/>
          <w:sz w:val="24"/>
          <w:szCs w:val="24"/>
        </w:rPr>
      </w:pPr>
      <w:r w:rsidRPr="008728CE">
        <w:rPr>
          <w:rFonts w:asciiTheme="majorBidi" w:hAnsiTheme="majorBidi" w:cstheme="majorBidi"/>
          <w:color w:val="000000"/>
          <w:sz w:val="24"/>
          <w:szCs w:val="24"/>
        </w:rPr>
        <w:t>Key informant interviews questionnaires with the staff at the site of operation</w:t>
      </w:r>
    </w:p>
    <w:p w:rsidR="00ED0B70" w:rsidRDefault="00FC437B" w:rsidP="00695308">
      <w:pPr>
        <w:pStyle w:val="ListParagraph"/>
        <w:numPr>
          <w:ilvl w:val="0"/>
          <w:numId w:val="47"/>
        </w:numPr>
        <w:tabs>
          <w:tab w:val="left" w:pos="180"/>
        </w:tabs>
        <w:spacing w:after="0" w:line="240" w:lineRule="auto"/>
        <w:ind w:left="630"/>
        <w:rPr>
          <w:rFonts w:asciiTheme="majorBidi" w:hAnsiTheme="majorBidi" w:cstheme="majorBidi"/>
          <w:color w:val="000000"/>
          <w:sz w:val="24"/>
          <w:szCs w:val="24"/>
        </w:rPr>
      </w:pPr>
      <w:r>
        <w:rPr>
          <w:rFonts w:asciiTheme="majorBidi" w:hAnsiTheme="majorBidi" w:cstheme="majorBidi"/>
          <w:color w:val="000000"/>
          <w:sz w:val="24"/>
          <w:szCs w:val="24"/>
        </w:rPr>
        <w:t>Show slide 9</w:t>
      </w:r>
      <w:r w:rsidR="00CF72A0">
        <w:rPr>
          <w:rFonts w:asciiTheme="majorBidi" w:hAnsiTheme="majorBidi" w:cstheme="majorBidi"/>
          <w:color w:val="000000"/>
          <w:sz w:val="24"/>
          <w:szCs w:val="24"/>
        </w:rPr>
        <w:t>1 and explain that i</w:t>
      </w:r>
      <w:r w:rsidR="00ED0B70" w:rsidRPr="00ED0B70">
        <w:rPr>
          <w:rFonts w:asciiTheme="majorBidi" w:hAnsiTheme="majorBidi" w:cstheme="majorBidi"/>
          <w:color w:val="000000"/>
          <w:sz w:val="24"/>
          <w:szCs w:val="24"/>
        </w:rPr>
        <w:t>n addition to the routine monitoring, it is important to use both quantitative and qualitative indicators and integrate them into the existing nutrition M&amp;E framework to measure the outcomes of activities undertaken across the program cycle, with the ultimate aim of maintaining effective programs and improving accountability</w:t>
      </w:r>
    </w:p>
    <w:p w:rsidR="00A04411" w:rsidRDefault="00CF72A0" w:rsidP="00695308">
      <w:pPr>
        <w:pStyle w:val="ListParagraph"/>
        <w:numPr>
          <w:ilvl w:val="0"/>
          <w:numId w:val="47"/>
        </w:numPr>
        <w:tabs>
          <w:tab w:val="left" w:pos="180"/>
        </w:tabs>
        <w:spacing w:after="0" w:line="240" w:lineRule="auto"/>
        <w:ind w:left="630"/>
        <w:rPr>
          <w:rFonts w:asciiTheme="majorBidi" w:hAnsiTheme="majorBidi" w:cstheme="majorBidi"/>
          <w:color w:val="000000"/>
          <w:sz w:val="24"/>
          <w:szCs w:val="24"/>
        </w:rPr>
      </w:pPr>
      <w:r>
        <w:rPr>
          <w:rFonts w:asciiTheme="majorBidi" w:hAnsiTheme="majorBidi" w:cstheme="majorBidi"/>
          <w:color w:val="000000"/>
          <w:sz w:val="24"/>
          <w:szCs w:val="24"/>
        </w:rPr>
        <w:t xml:space="preserve">Show </w:t>
      </w:r>
      <w:r w:rsidR="00A04411">
        <w:rPr>
          <w:rFonts w:asciiTheme="majorBidi" w:hAnsiTheme="majorBidi" w:cstheme="majorBidi"/>
          <w:color w:val="000000"/>
          <w:sz w:val="24"/>
          <w:szCs w:val="24"/>
        </w:rPr>
        <w:t xml:space="preserve">slide </w:t>
      </w:r>
      <w:r w:rsidR="00FC437B">
        <w:rPr>
          <w:rFonts w:asciiTheme="majorBidi" w:hAnsiTheme="majorBidi" w:cstheme="majorBidi"/>
          <w:color w:val="000000"/>
          <w:sz w:val="24"/>
          <w:szCs w:val="24"/>
        </w:rPr>
        <w:t>9</w:t>
      </w:r>
      <w:r>
        <w:rPr>
          <w:rFonts w:asciiTheme="majorBidi" w:hAnsiTheme="majorBidi" w:cstheme="majorBidi"/>
          <w:color w:val="000000"/>
          <w:sz w:val="24"/>
          <w:szCs w:val="24"/>
        </w:rPr>
        <w:t xml:space="preserve">2 </w:t>
      </w:r>
      <w:r w:rsidR="00A04411">
        <w:rPr>
          <w:rFonts w:asciiTheme="majorBidi" w:hAnsiTheme="majorBidi" w:cstheme="majorBidi"/>
          <w:color w:val="000000"/>
          <w:sz w:val="24"/>
          <w:szCs w:val="24"/>
        </w:rPr>
        <w:t>and read the sample of gender and GBV related indicators, while stressing that both quantitative and qualitative indicators are important</w:t>
      </w:r>
    </w:p>
    <w:p w:rsidR="00A04411" w:rsidRDefault="008E1992" w:rsidP="00695308">
      <w:pPr>
        <w:pStyle w:val="ListParagraph"/>
        <w:numPr>
          <w:ilvl w:val="0"/>
          <w:numId w:val="47"/>
        </w:numPr>
        <w:tabs>
          <w:tab w:val="left" w:pos="180"/>
        </w:tabs>
        <w:spacing w:after="0" w:line="240" w:lineRule="auto"/>
        <w:ind w:left="630"/>
        <w:rPr>
          <w:rFonts w:asciiTheme="majorBidi" w:hAnsiTheme="majorBidi" w:cstheme="majorBidi"/>
          <w:color w:val="000000"/>
          <w:sz w:val="24"/>
          <w:szCs w:val="24"/>
        </w:rPr>
      </w:pPr>
      <w:r>
        <w:rPr>
          <w:rFonts w:asciiTheme="majorBidi" w:hAnsiTheme="majorBidi" w:cstheme="majorBidi"/>
          <w:color w:val="000000"/>
          <w:sz w:val="24"/>
          <w:szCs w:val="24"/>
        </w:rPr>
        <w:t>Inform the participants that the full sample of indicators can be found in the M&amp;E section of the GBV Guidelines Nutrition TAG.</w:t>
      </w:r>
    </w:p>
    <w:p w:rsidR="00BA4924" w:rsidRPr="004B63D2" w:rsidRDefault="008E1992" w:rsidP="00695308">
      <w:pPr>
        <w:pStyle w:val="ListParagraph"/>
        <w:numPr>
          <w:ilvl w:val="0"/>
          <w:numId w:val="73"/>
        </w:numPr>
        <w:tabs>
          <w:tab w:val="left" w:pos="180"/>
        </w:tabs>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Exercise on r</w:t>
      </w:r>
      <w:r w:rsidRPr="008E1992">
        <w:rPr>
          <w:rFonts w:asciiTheme="majorBidi" w:hAnsiTheme="majorBidi" w:cstheme="majorBidi"/>
          <w:color w:val="000000"/>
          <w:sz w:val="24"/>
          <w:szCs w:val="24"/>
        </w:rPr>
        <w:t>eviewing an M&amp;E plan</w:t>
      </w:r>
      <w:r w:rsidR="00FC437B">
        <w:rPr>
          <w:rFonts w:asciiTheme="majorBidi" w:hAnsiTheme="majorBidi" w:cstheme="majorBidi"/>
          <w:color w:val="000000"/>
          <w:sz w:val="24"/>
          <w:szCs w:val="24"/>
        </w:rPr>
        <w:t>- slide 9</w:t>
      </w:r>
      <w:r w:rsidR="00CF72A0">
        <w:rPr>
          <w:rFonts w:asciiTheme="majorBidi" w:hAnsiTheme="majorBidi" w:cstheme="majorBidi"/>
          <w:color w:val="000000"/>
          <w:sz w:val="24"/>
          <w:szCs w:val="24"/>
        </w:rPr>
        <w:t>3</w:t>
      </w:r>
      <w:r w:rsidR="001F1AF0">
        <w:rPr>
          <w:rFonts w:asciiTheme="majorBidi" w:hAnsiTheme="majorBidi" w:cstheme="majorBidi"/>
          <w:color w:val="000000"/>
          <w:sz w:val="24"/>
          <w:szCs w:val="24"/>
        </w:rPr>
        <w:t xml:space="preserve">: </w:t>
      </w:r>
      <w:r w:rsidR="00BA4924" w:rsidRPr="00956FBC">
        <w:rPr>
          <w:rFonts w:asciiTheme="majorBidi" w:hAnsiTheme="majorBidi" w:cstheme="majorBidi"/>
          <w:color w:val="000000"/>
          <w:sz w:val="24"/>
          <w:szCs w:val="24"/>
        </w:rPr>
        <w:t>During this exercise, participants will look at a real sample proposals and recommend improvements that ensure integrating GBV ri</w:t>
      </w:r>
      <w:r w:rsidR="00BA4924">
        <w:rPr>
          <w:rFonts w:asciiTheme="majorBidi" w:hAnsiTheme="majorBidi" w:cstheme="majorBidi"/>
          <w:color w:val="000000"/>
          <w:sz w:val="24"/>
          <w:szCs w:val="24"/>
        </w:rPr>
        <w:t xml:space="preserve">sk mitigation into the </w:t>
      </w:r>
      <w:r w:rsidR="00BA4924">
        <w:rPr>
          <w:rFonts w:asciiTheme="majorBidi" w:hAnsiTheme="majorBidi" w:cstheme="majorBidi"/>
          <w:color w:val="000000"/>
          <w:sz w:val="24"/>
          <w:szCs w:val="24"/>
        </w:rPr>
        <w:t>M&amp;E</w:t>
      </w:r>
      <w:r w:rsidR="00BA4924">
        <w:rPr>
          <w:rFonts w:asciiTheme="majorBidi" w:hAnsiTheme="majorBidi" w:cstheme="majorBidi"/>
          <w:color w:val="000000"/>
          <w:sz w:val="24"/>
          <w:szCs w:val="24"/>
        </w:rPr>
        <w:t xml:space="preserve"> section of the proposal. </w:t>
      </w:r>
      <w:r w:rsidR="00BA4924" w:rsidRPr="004B63D2">
        <w:rPr>
          <w:rFonts w:asciiTheme="majorBidi" w:hAnsiTheme="majorBidi" w:cstheme="majorBidi"/>
          <w:color w:val="000000"/>
          <w:sz w:val="24"/>
          <w:szCs w:val="24"/>
        </w:rPr>
        <w:t>Instructions</w:t>
      </w:r>
      <w:r w:rsidR="00BA4924">
        <w:rPr>
          <w:rFonts w:asciiTheme="majorBidi" w:hAnsiTheme="majorBidi" w:cstheme="majorBidi"/>
          <w:color w:val="000000"/>
          <w:sz w:val="24"/>
          <w:szCs w:val="24"/>
        </w:rPr>
        <w:t xml:space="preserve"> are as follows:</w:t>
      </w:r>
    </w:p>
    <w:p w:rsidR="00BA4924" w:rsidRDefault="00BA4924" w:rsidP="00695308">
      <w:pPr>
        <w:pStyle w:val="ListParagraph"/>
        <w:numPr>
          <w:ilvl w:val="0"/>
          <w:numId w:val="72"/>
        </w:numPr>
        <w:tabs>
          <w:tab w:val="left" w:pos="180"/>
        </w:tabs>
        <w:spacing w:after="0" w:line="240" w:lineRule="auto"/>
        <w:rPr>
          <w:rFonts w:asciiTheme="majorBidi" w:hAnsiTheme="majorBidi" w:cstheme="majorBidi"/>
          <w:color w:val="000000"/>
          <w:sz w:val="24"/>
          <w:szCs w:val="24"/>
        </w:rPr>
      </w:pPr>
      <w:r w:rsidRPr="00956FBC">
        <w:rPr>
          <w:rFonts w:asciiTheme="majorBidi" w:hAnsiTheme="majorBidi" w:cstheme="majorBidi"/>
          <w:color w:val="000000"/>
          <w:sz w:val="24"/>
          <w:szCs w:val="24"/>
        </w:rPr>
        <w:t xml:space="preserve">Split the participants </w:t>
      </w:r>
      <w:r>
        <w:rPr>
          <w:rFonts w:asciiTheme="majorBidi" w:hAnsiTheme="majorBidi" w:cstheme="majorBidi"/>
          <w:color w:val="000000"/>
          <w:sz w:val="24"/>
          <w:szCs w:val="24"/>
        </w:rPr>
        <w:t>into the same</w:t>
      </w:r>
      <w:r w:rsidRPr="00956FBC">
        <w:rPr>
          <w:rFonts w:asciiTheme="majorBidi" w:hAnsiTheme="majorBidi" w:cstheme="majorBidi"/>
          <w:color w:val="000000"/>
          <w:sz w:val="24"/>
          <w:szCs w:val="24"/>
        </w:rPr>
        <w:t xml:space="preserve"> 4 groups</w:t>
      </w:r>
      <w:r>
        <w:rPr>
          <w:rFonts w:asciiTheme="majorBidi" w:hAnsiTheme="majorBidi" w:cstheme="majorBidi"/>
          <w:color w:val="000000"/>
          <w:sz w:val="24"/>
          <w:szCs w:val="24"/>
        </w:rPr>
        <w:t xml:space="preserve"> that wor</w:t>
      </w:r>
      <w:r>
        <w:rPr>
          <w:rFonts w:asciiTheme="majorBidi" w:hAnsiTheme="majorBidi" w:cstheme="majorBidi"/>
          <w:color w:val="000000"/>
          <w:sz w:val="24"/>
          <w:szCs w:val="24"/>
        </w:rPr>
        <w:t>ked on the implementation exercise</w:t>
      </w:r>
      <w:r>
        <w:rPr>
          <w:rFonts w:asciiTheme="majorBidi" w:hAnsiTheme="majorBidi" w:cstheme="majorBidi"/>
          <w:color w:val="000000"/>
          <w:sz w:val="24"/>
          <w:szCs w:val="24"/>
        </w:rPr>
        <w:t xml:space="preserve">. </w:t>
      </w:r>
    </w:p>
    <w:p w:rsidR="00BA4924" w:rsidRPr="00030F9A" w:rsidRDefault="00BA4924" w:rsidP="00695308">
      <w:pPr>
        <w:pStyle w:val="ListParagraph"/>
        <w:numPr>
          <w:ilvl w:val="0"/>
          <w:numId w:val="72"/>
        </w:numPr>
        <w:tabs>
          <w:tab w:val="left" w:pos="180"/>
        </w:tabs>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Ask e</w:t>
      </w:r>
      <w:r w:rsidRPr="00956FBC">
        <w:rPr>
          <w:rFonts w:asciiTheme="majorBidi" w:hAnsiTheme="majorBidi" w:cstheme="majorBidi"/>
          <w:color w:val="000000"/>
          <w:sz w:val="24"/>
          <w:szCs w:val="24"/>
        </w:rPr>
        <w:t xml:space="preserve">ach group </w:t>
      </w:r>
      <w:r>
        <w:rPr>
          <w:rFonts w:asciiTheme="majorBidi" w:hAnsiTheme="majorBidi" w:cstheme="majorBidi"/>
          <w:color w:val="000000"/>
          <w:sz w:val="24"/>
          <w:szCs w:val="24"/>
        </w:rPr>
        <w:t>to re</w:t>
      </w:r>
      <w:r>
        <w:rPr>
          <w:rFonts w:asciiTheme="majorBidi" w:hAnsiTheme="majorBidi" w:cstheme="majorBidi"/>
          <w:color w:val="000000"/>
          <w:sz w:val="24"/>
          <w:szCs w:val="24"/>
        </w:rPr>
        <w:t>view the M&amp;E</w:t>
      </w:r>
      <w:r>
        <w:rPr>
          <w:rFonts w:asciiTheme="majorBidi" w:hAnsiTheme="majorBidi" w:cstheme="majorBidi"/>
          <w:color w:val="000000"/>
          <w:sz w:val="24"/>
          <w:szCs w:val="24"/>
        </w:rPr>
        <w:t xml:space="preserve"> section of the proposal sample </w:t>
      </w:r>
      <w:r w:rsidRPr="00030F9A">
        <w:rPr>
          <w:rFonts w:asciiTheme="majorBidi" w:hAnsiTheme="majorBidi" w:cstheme="majorBidi"/>
          <w:color w:val="000000"/>
          <w:sz w:val="24"/>
          <w:szCs w:val="24"/>
        </w:rPr>
        <w:t>and discuss how it can better reflect</w:t>
      </w:r>
      <w:r>
        <w:rPr>
          <w:rFonts w:asciiTheme="majorBidi" w:hAnsiTheme="majorBidi" w:cstheme="majorBidi"/>
          <w:color w:val="000000"/>
          <w:sz w:val="24"/>
          <w:szCs w:val="24"/>
        </w:rPr>
        <w:t xml:space="preserve"> </w:t>
      </w:r>
      <w:r w:rsidRPr="00BA4924">
        <w:rPr>
          <w:rFonts w:asciiTheme="majorBidi" w:hAnsiTheme="majorBidi" w:cstheme="majorBidi"/>
          <w:color w:val="000000"/>
          <w:sz w:val="24"/>
          <w:szCs w:val="24"/>
        </w:rPr>
        <w:t>monitoring measures and gender/GBV sensitive indicators</w:t>
      </w:r>
      <w:r>
        <w:rPr>
          <w:rFonts w:asciiTheme="majorBidi" w:hAnsiTheme="majorBidi" w:cstheme="majorBidi"/>
          <w:color w:val="000000"/>
          <w:sz w:val="24"/>
          <w:szCs w:val="24"/>
        </w:rPr>
        <w:t>. Use the M&amp;E</w:t>
      </w:r>
      <w:r>
        <w:rPr>
          <w:rFonts w:asciiTheme="majorBidi" w:hAnsiTheme="majorBidi" w:cstheme="majorBidi"/>
          <w:color w:val="000000"/>
          <w:sz w:val="24"/>
          <w:szCs w:val="24"/>
        </w:rPr>
        <w:t xml:space="preserve"> </w:t>
      </w:r>
      <w:r w:rsidRPr="00030F9A">
        <w:rPr>
          <w:rFonts w:asciiTheme="majorBidi" w:hAnsiTheme="majorBidi" w:cstheme="majorBidi"/>
          <w:color w:val="000000"/>
          <w:sz w:val="24"/>
          <w:szCs w:val="24"/>
        </w:rPr>
        <w:t>discussion guide to frame your work. Ideally have someone in your group keep track of your recommendations for the presentation.</w:t>
      </w:r>
    </w:p>
    <w:p w:rsidR="00BA4924" w:rsidRPr="004B63D2" w:rsidRDefault="00BA4924" w:rsidP="00695308">
      <w:pPr>
        <w:pStyle w:val="ListParagraph"/>
        <w:numPr>
          <w:ilvl w:val="0"/>
          <w:numId w:val="72"/>
        </w:numPr>
        <w:tabs>
          <w:tab w:val="left" w:pos="180"/>
        </w:tabs>
        <w:spacing w:after="0" w:line="240" w:lineRule="auto"/>
        <w:rPr>
          <w:rFonts w:asciiTheme="majorBidi" w:hAnsiTheme="majorBidi" w:cstheme="majorBidi"/>
          <w:color w:val="000000"/>
          <w:sz w:val="24"/>
          <w:szCs w:val="24"/>
        </w:rPr>
      </w:pPr>
      <w:r w:rsidRPr="004B63D2">
        <w:rPr>
          <w:rFonts w:asciiTheme="majorBidi" w:hAnsiTheme="majorBidi" w:cstheme="majorBidi"/>
          <w:color w:val="000000"/>
          <w:sz w:val="24"/>
          <w:szCs w:val="24"/>
        </w:rPr>
        <w:t xml:space="preserve">Use the </w:t>
      </w:r>
      <w:r>
        <w:rPr>
          <w:rFonts w:asciiTheme="majorBidi" w:hAnsiTheme="majorBidi" w:cstheme="majorBidi"/>
          <w:color w:val="000000"/>
          <w:sz w:val="24"/>
          <w:szCs w:val="24"/>
        </w:rPr>
        <w:t>M&amp;E</w:t>
      </w:r>
      <w:r w:rsidRPr="004B63D2">
        <w:rPr>
          <w:rFonts w:asciiTheme="majorBidi" w:hAnsiTheme="majorBidi" w:cstheme="majorBidi"/>
          <w:color w:val="000000"/>
          <w:sz w:val="24"/>
          <w:szCs w:val="24"/>
        </w:rPr>
        <w:t xml:space="preserve"> section of the GBV Guidelines</w:t>
      </w:r>
      <w:r>
        <w:rPr>
          <w:rFonts w:asciiTheme="majorBidi" w:hAnsiTheme="majorBidi" w:cstheme="majorBidi"/>
          <w:color w:val="000000"/>
          <w:sz w:val="24"/>
          <w:szCs w:val="24"/>
        </w:rPr>
        <w:t xml:space="preserve">- nutrition TAG </w:t>
      </w:r>
      <w:r>
        <w:rPr>
          <w:rFonts w:asciiTheme="majorBidi" w:hAnsiTheme="majorBidi" w:cstheme="majorBidi"/>
          <w:color w:val="000000"/>
          <w:sz w:val="24"/>
          <w:szCs w:val="24"/>
        </w:rPr>
        <w:t>pages 52- 55</w:t>
      </w:r>
      <w:r w:rsidRPr="004B63D2">
        <w:rPr>
          <w:rFonts w:asciiTheme="majorBidi" w:hAnsiTheme="majorBidi" w:cstheme="majorBidi"/>
          <w:color w:val="000000"/>
          <w:sz w:val="24"/>
          <w:szCs w:val="24"/>
        </w:rPr>
        <w:t xml:space="preserve"> to help guide you</w:t>
      </w:r>
    </w:p>
    <w:p w:rsidR="00BA4924" w:rsidRDefault="00BA4924" w:rsidP="00695308">
      <w:pPr>
        <w:pStyle w:val="ListParagraph"/>
        <w:numPr>
          <w:ilvl w:val="0"/>
          <w:numId w:val="72"/>
        </w:numPr>
        <w:tabs>
          <w:tab w:val="left" w:pos="180"/>
        </w:tabs>
        <w:spacing w:after="0" w:line="240" w:lineRule="auto"/>
        <w:rPr>
          <w:rFonts w:asciiTheme="majorBidi" w:hAnsiTheme="majorBidi" w:cstheme="majorBidi"/>
          <w:color w:val="000000"/>
          <w:sz w:val="24"/>
          <w:szCs w:val="24"/>
        </w:rPr>
      </w:pPr>
      <w:r w:rsidRPr="00956FBC">
        <w:rPr>
          <w:rFonts w:asciiTheme="majorBidi" w:hAnsiTheme="majorBidi" w:cstheme="majorBidi"/>
          <w:color w:val="000000"/>
          <w:sz w:val="24"/>
          <w:szCs w:val="24"/>
        </w:rPr>
        <w:t>Prepare a 5-minute presentation on your recommendations</w:t>
      </w:r>
    </w:p>
    <w:p w:rsidR="00BA4924" w:rsidRPr="00BA4924" w:rsidRDefault="00BA4924" w:rsidP="00BA4924">
      <w:pPr>
        <w:tabs>
          <w:tab w:val="left" w:pos="180"/>
        </w:tabs>
        <w:spacing w:after="0" w:line="240" w:lineRule="auto"/>
        <w:rPr>
          <w:rFonts w:asciiTheme="majorBidi" w:hAnsiTheme="majorBidi" w:cstheme="majorBidi"/>
          <w:color w:val="000000"/>
          <w:sz w:val="24"/>
          <w:szCs w:val="24"/>
        </w:rPr>
      </w:pPr>
    </w:p>
    <w:p w:rsidR="0040649A" w:rsidRDefault="0040649A" w:rsidP="00695308">
      <w:pPr>
        <w:pStyle w:val="ListParagraph"/>
        <w:numPr>
          <w:ilvl w:val="0"/>
          <w:numId w:val="47"/>
        </w:numPr>
        <w:tabs>
          <w:tab w:val="left" w:pos="180"/>
        </w:tabs>
        <w:spacing w:after="0" w:line="240" w:lineRule="auto"/>
        <w:ind w:left="630"/>
        <w:rPr>
          <w:rFonts w:asciiTheme="majorBidi" w:hAnsiTheme="majorBidi" w:cstheme="majorBidi"/>
          <w:color w:val="000000"/>
          <w:sz w:val="24"/>
          <w:szCs w:val="24"/>
        </w:rPr>
      </w:pPr>
      <w:r>
        <w:rPr>
          <w:rFonts w:asciiTheme="majorBidi" w:hAnsiTheme="majorBidi" w:cstheme="majorBidi"/>
          <w:color w:val="000000"/>
          <w:sz w:val="24"/>
          <w:szCs w:val="24"/>
        </w:rPr>
        <w:t>Read and discuss with participants the take home messages</w:t>
      </w:r>
      <w:r w:rsidR="00FC437B">
        <w:rPr>
          <w:rFonts w:asciiTheme="majorBidi" w:hAnsiTheme="majorBidi" w:cstheme="majorBidi"/>
          <w:color w:val="000000"/>
          <w:sz w:val="24"/>
          <w:szCs w:val="24"/>
        </w:rPr>
        <w:t xml:space="preserve"> from slides 94-9</w:t>
      </w:r>
      <w:r w:rsidR="00CF72A0">
        <w:rPr>
          <w:rFonts w:asciiTheme="majorBidi" w:hAnsiTheme="majorBidi" w:cstheme="majorBidi"/>
          <w:color w:val="000000"/>
          <w:sz w:val="24"/>
          <w:szCs w:val="24"/>
        </w:rPr>
        <w:t>6</w:t>
      </w:r>
    </w:p>
    <w:p w:rsidR="0040649A" w:rsidRPr="0040649A" w:rsidRDefault="0040649A" w:rsidP="00695308">
      <w:pPr>
        <w:pStyle w:val="ListParagraph"/>
        <w:numPr>
          <w:ilvl w:val="0"/>
          <w:numId w:val="48"/>
        </w:numPr>
        <w:tabs>
          <w:tab w:val="left" w:pos="180"/>
        </w:tabs>
        <w:spacing w:after="0" w:line="240" w:lineRule="auto"/>
        <w:ind w:left="630"/>
        <w:rPr>
          <w:rFonts w:asciiTheme="majorBidi" w:hAnsiTheme="majorBidi" w:cstheme="majorBidi"/>
          <w:color w:val="000000"/>
          <w:sz w:val="24"/>
          <w:szCs w:val="24"/>
        </w:rPr>
      </w:pPr>
      <w:r>
        <w:rPr>
          <w:rFonts w:asciiTheme="majorBidi" w:hAnsiTheme="majorBidi" w:cstheme="majorBidi"/>
          <w:color w:val="000000"/>
          <w:sz w:val="24"/>
          <w:szCs w:val="24"/>
        </w:rPr>
        <w:t>Allow questions and ensure that all key messages are clear and well understood.</w:t>
      </w:r>
    </w:p>
    <w:p w:rsidR="00770730" w:rsidRPr="001F1AF0" w:rsidRDefault="00770730" w:rsidP="001F1AF0">
      <w:pPr>
        <w:tabs>
          <w:tab w:val="left" w:pos="180"/>
        </w:tabs>
        <w:spacing w:after="0" w:line="240" w:lineRule="auto"/>
        <w:ind w:left="2220"/>
        <w:rPr>
          <w:rFonts w:asciiTheme="majorBidi" w:hAnsiTheme="majorBidi" w:cstheme="majorBidi"/>
          <w:color w:val="000000"/>
          <w:sz w:val="24"/>
          <w:szCs w:val="24"/>
        </w:rPr>
      </w:pPr>
    </w:p>
    <w:p w:rsidR="00770730" w:rsidRPr="00770730" w:rsidRDefault="00770730" w:rsidP="00770730">
      <w:pPr>
        <w:pStyle w:val="ListParagraph"/>
        <w:tabs>
          <w:tab w:val="left" w:pos="180"/>
        </w:tabs>
        <w:spacing w:after="0" w:line="240" w:lineRule="auto"/>
        <w:ind w:left="2520"/>
        <w:rPr>
          <w:rFonts w:asciiTheme="majorBidi" w:hAnsiTheme="majorBidi" w:cstheme="majorBidi"/>
          <w:color w:val="000000"/>
          <w:sz w:val="24"/>
          <w:szCs w:val="24"/>
        </w:rPr>
      </w:pPr>
    </w:p>
    <w:p w:rsidR="003349E0" w:rsidRPr="003349E0" w:rsidRDefault="003349E0" w:rsidP="003349E0">
      <w:pPr>
        <w:pStyle w:val="ListParagraph"/>
        <w:tabs>
          <w:tab w:val="left" w:pos="180"/>
        </w:tabs>
        <w:spacing w:after="0" w:line="240" w:lineRule="auto"/>
        <w:ind w:left="2400"/>
        <w:rPr>
          <w:rFonts w:asciiTheme="majorBidi" w:hAnsiTheme="majorBidi" w:cstheme="majorBidi"/>
          <w:color w:val="000000"/>
          <w:sz w:val="24"/>
          <w:szCs w:val="24"/>
        </w:rPr>
      </w:pPr>
    </w:p>
    <w:p w:rsidR="00A95E31" w:rsidRPr="00A95E31" w:rsidRDefault="00A95E31" w:rsidP="00A95E31">
      <w:pPr>
        <w:tabs>
          <w:tab w:val="left" w:pos="180"/>
        </w:tabs>
        <w:spacing w:after="0" w:line="240" w:lineRule="auto"/>
        <w:rPr>
          <w:rFonts w:asciiTheme="majorBidi" w:hAnsiTheme="majorBidi" w:cstheme="majorBidi"/>
          <w:color w:val="000000"/>
          <w:sz w:val="24"/>
          <w:szCs w:val="24"/>
        </w:rPr>
      </w:pPr>
    </w:p>
    <w:p w:rsidR="00C246AD" w:rsidRPr="00C246AD" w:rsidRDefault="00C246AD" w:rsidP="00C246AD">
      <w:pPr>
        <w:tabs>
          <w:tab w:val="left" w:pos="180"/>
        </w:tabs>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               </w:t>
      </w:r>
    </w:p>
    <w:p w:rsidR="00702FB7" w:rsidRPr="00C246AD" w:rsidRDefault="00702FB7" w:rsidP="00C246AD">
      <w:pPr>
        <w:pStyle w:val="ListParagraph"/>
        <w:tabs>
          <w:tab w:val="left" w:pos="180"/>
        </w:tabs>
        <w:spacing w:after="0" w:line="240" w:lineRule="auto"/>
        <w:ind w:left="2520"/>
        <w:rPr>
          <w:rFonts w:asciiTheme="majorBidi" w:hAnsiTheme="majorBidi" w:cstheme="majorBidi"/>
          <w:color w:val="000000"/>
          <w:sz w:val="24"/>
          <w:szCs w:val="24"/>
        </w:rPr>
      </w:pPr>
      <w:r w:rsidRPr="00C246AD">
        <w:rPr>
          <w:rFonts w:asciiTheme="majorBidi" w:hAnsiTheme="majorBidi" w:cstheme="majorBidi"/>
          <w:color w:val="000000"/>
          <w:sz w:val="24"/>
          <w:szCs w:val="24"/>
        </w:rPr>
        <w:br/>
      </w:r>
    </w:p>
    <w:p w:rsidR="00F540A4" w:rsidRDefault="00F540A4" w:rsidP="00507E7C">
      <w:pPr>
        <w:tabs>
          <w:tab w:val="left" w:pos="180"/>
        </w:tabs>
        <w:spacing w:after="0" w:line="240" w:lineRule="auto"/>
        <w:ind w:left="270"/>
        <w:rPr>
          <w:rFonts w:asciiTheme="majorBidi" w:hAnsiTheme="majorBidi" w:cstheme="majorBidi"/>
          <w:color w:val="000000"/>
          <w:sz w:val="24"/>
          <w:szCs w:val="24"/>
        </w:rPr>
      </w:pPr>
    </w:p>
    <w:p w:rsidR="00F540A4" w:rsidRPr="00F540A4" w:rsidRDefault="00F540A4" w:rsidP="00F540A4">
      <w:pPr>
        <w:tabs>
          <w:tab w:val="left" w:pos="0"/>
        </w:tabs>
        <w:spacing w:after="0" w:line="240" w:lineRule="auto"/>
        <w:rPr>
          <w:rFonts w:asciiTheme="majorBidi" w:hAnsiTheme="majorBidi" w:cstheme="majorBidi"/>
          <w:color w:val="000000"/>
          <w:sz w:val="24"/>
          <w:szCs w:val="24"/>
        </w:rPr>
      </w:pPr>
    </w:p>
    <w:p w:rsidR="00C52246" w:rsidRPr="00C52246" w:rsidRDefault="00C52246" w:rsidP="00C52246">
      <w:pPr>
        <w:pStyle w:val="ListParagraph"/>
        <w:spacing w:after="0" w:line="240" w:lineRule="auto"/>
        <w:ind w:left="1890"/>
        <w:rPr>
          <w:rFonts w:asciiTheme="majorBidi" w:hAnsiTheme="majorBidi" w:cstheme="majorBidi"/>
          <w:color w:val="000000"/>
          <w:sz w:val="24"/>
          <w:szCs w:val="24"/>
        </w:rPr>
      </w:pPr>
    </w:p>
    <w:p w:rsidR="00D66CFF" w:rsidRPr="00C52246" w:rsidRDefault="00C52246" w:rsidP="00C52246">
      <w:pPr>
        <w:spacing w:after="0" w:line="240" w:lineRule="auto"/>
        <w:rPr>
          <w:rFonts w:asciiTheme="majorBidi" w:hAnsiTheme="majorBidi" w:cstheme="majorBidi"/>
          <w:color w:val="000000"/>
          <w:sz w:val="24"/>
          <w:szCs w:val="24"/>
        </w:rPr>
      </w:pPr>
      <w:r w:rsidRPr="00C52246">
        <w:rPr>
          <w:rFonts w:asciiTheme="majorBidi" w:hAnsiTheme="majorBidi" w:cstheme="majorBidi"/>
          <w:color w:val="000000"/>
          <w:sz w:val="24"/>
          <w:szCs w:val="24"/>
        </w:rPr>
        <w:br/>
      </w:r>
    </w:p>
    <w:p w:rsidR="002604ED" w:rsidRPr="008363C7" w:rsidRDefault="002604ED" w:rsidP="008363C7">
      <w:pPr>
        <w:pStyle w:val="ListParagraph"/>
        <w:spacing w:after="0" w:line="240" w:lineRule="auto"/>
        <w:rPr>
          <w:rFonts w:asciiTheme="majorBidi" w:hAnsiTheme="majorBidi" w:cstheme="majorBidi"/>
          <w:color w:val="000000"/>
          <w:sz w:val="24"/>
          <w:szCs w:val="24"/>
        </w:rPr>
      </w:pPr>
    </w:p>
    <w:p w:rsidR="00122D9B" w:rsidRPr="009E3CFE" w:rsidRDefault="00122D9B" w:rsidP="00122D9B">
      <w:pPr>
        <w:pStyle w:val="ListParagraph"/>
        <w:spacing w:after="0" w:line="240" w:lineRule="auto"/>
        <w:ind w:left="1440"/>
        <w:rPr>
          <w:rFonts w:eastAsia="MS Mincho" w:cstheme="minorHAnsi"/>
          <w:lang w:val="en-CA"/>
        </w:rPr>
      </w:pPr>
    </w:p>
    <w:p w:rsidR="009E3CFE" w:rsidRPr="009E3CFE" w:rsidRDefault="009E3CFE" w:rsidP="009E3CFE">
      <w:pPr>
        <w:pStyle w:val="ListParagraph"/>
        <w:spacing w:after="0" w:line="240" w:lineRule="auto"/>
        <w:ind w:left="1440"/>
        <w:rPr>
          <w:rFonts w:eastAsia="MS Mincho" w:cstheme="minorHAnsi"/>
          <w:lang w:val="en-CA"/>
        </w:rPr>
      </w:pPr>
    </w:p>
    <w:sectPr w:rsidR="009E3CFE" w:rsidRPr="009E3CF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308" w:rsidRDefault="00695308" w:rsidP="008C6C6A">
      <w:pPr>
        <w:spacing w:after="0" w:line="240" w:lineRule="auto"/>
      </w:pPr>
      <w:r>
        <w:separator/>
      </w:r>
    </w:p>
  </w:endnote>
  <w:endnote w:type="continuationSeparator" w:id="0">
    <w:p w:rsidR="00695308" w:rsidRDefault="00695308" w:rsidP="008C6C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308" w:rsidRDefault="00695308" w:rsidP="008C6C6A">
      <w:pPr>
        <w:spacing w:after="0" w:line="240" w:lineRule="auto"/>
      </w:pPr>
      <w:r>
        <w:separator/>
      </w:r>
    </w:p>
  </w:footnote>
  <w:footnote w:type="continuationSeparator" w:id="0">
    <w:p w:rsidR="00695308" w:rsidRDefault="00695308" w:rsidP="008C6C6A">
      <w:pPr>
        <w:spacing w:after="0" w:line="240" w:lineRule="auto"/>
      </w:pPr>
      <w:r>
        <w:continuationSeparator/>
      </w:r>
    </w:p>
  </w:footnote>
  <w:footnote w:id="1">
    <w:p w:rsidR="008C6C6A" w:rsidRDefault="008C6C6A">
      <w:pPr>
        <w:pStyle w:val="FootnoteText"/>
      </w:pPr>
      <w:r>
        <w:rPr>
          <w:rStyle w:val="FootnoteReference"/>
        </w:rPr>
        <w:footnoteRef/>
      </w:r>
      <w:r>
        <w:t xml:space="preserve"> The facilitator note of the GBV CC and referral module can be found in a separate document in the training package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67086"/>
    <w:multiLevelType w:val="hybridMultilevel"/>
    <w:tmpl w:val="4734EC56"/>
    <w:lvl w:ilvl="0" w:tplc="0409000D">
      <w:start w:val="1"/>
      <w:numFmt w:val="bullet"/>
      <w:lvlText w:val=""/>
      <w:lvlJc w:val="left"/>
      <w:pPr>
        <w:ind w:left="2250" w:hanging="360"/>
      </w:pPr>
      <w:rPr>
        <w:rFonts w:ascii="Wingdings" w:hAnsi="Wingdings"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 w15:restartNumberingAfterBreak="0">
    <w:nsid w:val="036F5A62"/>
    <w:multiLevelType w:val="hybridMultilevel"/>
    <w:tmpl w:val="32EE4C9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40014DB"/>
    <w:multiLevelType w:val="hybridMultilevel"/>
    <w:tmpl w:val="A4C0E7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A77CCD"/>
    <w:multiLevelType w:val="hybridMultilevel"/>
    <w:tmpl w:val="1CAC38E8"/>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4" w15:restartNumberingAfterBreak="0">
    <w:nsid w:val="05BB051B"/>
    <w:multiLevelType w:val="hybridMultilevel"/>
    <w:tmpl w:val="009492C6"/>
    <w:lvl w:ilvl="0" w:tplc="0409000B">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5" w15:restartNumberingAfterBreak="0">
    <w:nsid w:val="081A0077"/>
    <w:multiLevelType w:val="hybridMultilevel"/>
    <w:tmpl w:val="EEEC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36F18"/>
    <w:multiLevelType w:val="hybridMultilevel"/>
    <w:tmpl w:val="2BB05AE4"/>
    <w:lvl w:ilvl="0" w:tplc="0409000B">
      <w:start w:val="1"/>
      <w:numFmt w:val="bullet"/>
      <w:lvlText w:val=""/>
      <w:lvlJc w:val="left"/>
      <w:pPr>
        <w:ind w:left="2460" w:hanging="360"/>
      </w:pPr>
      <w:rPr>
        <w:rFonts w:ascii="Wingdings" w:hAnsi="Wingdings" w:hint="default"/>
      </w:rPr>
    </w:lvl>
    <w:lvl w:ilvl="1" w:tplc="04090003" w:tentative="1">
      <w:start w:val="1"/>
      <w:numFmt w:val="bullet"/>
      <w:lvlText w:val="o"/>
      <w:lvlJc w:val="left"/>
      <w:pPr>
        <w:ind w:left="3180" w:hanging="360"/>
      </w:pPr>
      <w:rPr>
        <w:rFonts w:ascii="Courier New" w:hAnsi="Courier New" w:cs="Courier New" w:hint="default"/>
      </w:rPr>
    </w:lvl>
    <w:lvl w:ilvl="2" w:tplc="04090005" w:tentative="1">
      <w:start w:val="1"/>
      <w:numFmt w:val="bullet"/>
      <w:lvlText w:val=""/>
      <w:lvlJc w:val="left"/>
      <w:pPr>
        <w:ind w:left="3900" w:hanging="360"/>
      </w:pPr>
      <w:rPr>
        <w:rFonts w:ascii="Wingdings" w:hAnsi="Wingdings" w:hint="default"/>
      </w:rPr>
    </w:lvl>
    <w:lvl w:ilvl="3" w:tplc="04090001" w:tentative="1">
      <w:start w:val="1"/>
      <w:numFmt w:val="bullet"/>
      <w:lvlText w:val=""/>
      <w:lvlJc w:val="left"/>
      <w:pPr>
        <w:ind w:left="4620" w:hanging="360"/>
      </w:pPr>
      <w:rPr>
        <w:rFonts w:ascii="Symbol" w:hAnsi="Symbol" w:hint="default"/>
      </w:rPr>
    </w:lvl>
    <w:lvl w:ilvl="4" w:tplc="04090003" w:tentative="1">
      <w:start w:val="1"/>
      <w:numFmt w:val="bullet"/>
      <w:lvlText w:val="o"/>
      <w:lvlJc w:val="left"/>
      <w:pPr>
        <w:ind w:left="5340" w:hanging="360"/>
      </w:pPr>
      <w:rPr>
        <w:rFonts w:ascii="Courier New" w:hAnsi="Courier New" w:cs="Courier New" w:hint="default"/>
      </w:rPr>
    </w:lvl>
    <w:lvl w:ilvl="5" w:tplc="04090005" w:tentative="1">
      <w:start w:val="1"/>
      <w:numFmt w:val="bullet"/>
      <w:lvlText w:val=""/>
      <w:lvlJc w:val="left"/>
      <w:pPr>
        <w:ind w:left="6060" w:hanging="360"/>
      </w:pPr>
      <w:rPr>
        <w:rFonts w:ascii="Wingdings" w:hAnsi="Wingdings" w:hint="default"/>
      </w:rPr>
    </w:lvl>
    <w:lvl w:ilvl="6" w:tplc="04090001" w:tentative="1">
      <w:start w:val="1"/>
      <w:numFmt w:val="bullet"/>
      <w:lvlText w:val=""/>
      <w:lvlJc w:val="left"/>
      <w:pPr>
        <w:ind w:left="6780" w:hanging="360"/>
      </w:pPr>
      <w:rPr>
        <w:rFonts w:ascii="Symbol" w:hAnsi="Symbol" w:hint="default"/>
      </w:rPr>
    </w:lvl>
    <w:lvl w:ilvl="7" w:tplc="04090003" w:tentative="1">
      <w:start w:val="1"/>
      <w:numFmt w:val="bullet"/>
      <w:lvlText w:val="o"/>
      <w:lvlJc w:val="left"/>
      <w:pPr>
        <w:ind w:left="7500" w:hanging="360"/>
      </w:pPr>
      <w:rPr>
        <w:rFonts w:ascii="Courier New" w:hAnsi="Courier New" w:cs="Courier New" w:hint="default"/>
      </w:rPr>
    </w:lvl>
    <w:lvl w:ilvl="8" w:tplc="04090005" w:tentative="1">
      <w:start w:val="1"/>
      <w:numFmt w:val="bullet"/>
      <w:lvlText w:val=""/>
      <w:lvlJc w:val="left"/>
      <w:pPr>
        <w:ind w:left="8220" w:hanging="360"/>
      </w:pPr>
      <w:rPr>
        <w:rFonts w:ascii="Wingdings" w:hAnsi="Wingdings" w:hint="default"/>
      </w:rPr>
    </w:lvl>
  </w:abstractNum>
  <w:abstractNum w:abstractNumId="7" w15:restartNumberingAfterBreak="0">
    <w:nsid w:val="0C06708B"/>
    <w:multiLevelType w:val="hybridMultilevel"/>
    <w:tmpl w:val="9B48B64C"/>
    <w:lvl w:ilvl="0" w:tplc="0409000D">
      <w:start w:val="1"/>
      <w:numFmt w:val="bullet"/>
      <w:lvlText w:val=""/>
      <w:lvlJc w:val="left"/>
      <w:pPr>
        <w:ind w:left="2490" w:hanging="360"/>
      </w:pPr>
      <w:rPr>
        <w:rFonts w:ascii="Wingdings" w:hAnsi="Wingdings" w:hint="default"/>
      </w:rPr>
    </w:lvl>
    <w:lvl w:ilvl="1" w:tplc="04090003" w:tentative="1">
      <w:start w:val="1"/>
      <w:numFmt w:val="bullet"/>
      <w:lvlText w:val="o"/>
      <w:lvlJc w:val="left"/>
      <w:pPr>
        <w:ind w:left="3210" w:hanging="360"/>
      </w:pPr>
      <w:rPr>
        <w:rFonts w:ascii="Courier New" w:hAnsi="Courier New" w:cs="Courier New" w:hint="default"/>
      </w:rPr>
    </w:lvl>
    <w:lvl w:ilvl="2" w:tplc="04090005" w:tentative="1">
      <w:start w:val="1"/>
      <w:numFmt w:val="bullet"/>
      <w:lvlText w:val=""/>
      <w:lvlJc w:val="left"/>
      <w:pPr>
        <w:ind w:left="3930" w:hanging="360"/>
      </w:pPr>
      <w:rPr>
        <w:rFonts w:ascii="Wingdings" w:hAnsi="Wingdings" w:hint="default"/>
      </w:rPr>
    </w:lvl>
    <w:lvl w:ilvl="3" w:tplc="04090001" w:tentative="1">
      <w:start w:val="1"/>
      <w:numFmt w:val="bullet"/>
      <w:lvlText w:val=""/>
      <w:lvlJc w:val="left"/>
      <w:pPr>
        <w:ind w:left="4650" w:hanging="360"/>
      </w:pPr>
      <w:rPr>
        <w:rFonts w:ascii="Symbol" w:hAnsi="Symbol" w:hint="default"/>
      </w:rPr>
    </w:lvl>
    <w:lvl w:ilvl="4" w:tplc="04090003" w:tentative="1">
      <w:start w:val="1"/>
      <w:numFmt w:val="bullet"/>
      <w:lvlText w:val="o"/>
      <w:lvlJc w:val="left"/>
      <w:pPr>
        <w:ind w:left="5370" w:hanging="360"/>
      </w:pPr>
      <w:rPr>
        <w:rFonts w:ascii="Courier New" w:hAnsi="Courier New" w:cs="Courier New" w:hint="default"/>
      </w:rPr>
    </w:lvl>
    <w:lvl w:ilvl="5" w:tplc="04090005" w:tentative="1">
      <w:start w:val="1"/>
      <w:numFmt w:val="bullet"/>
      <w:lvlText w:val=""/>
      <w:lvlJc w:val="left"/>
      <w:pPr>
        <w:ind w:left="6090" w:hanging="360"/>
      </w:pPr>
      <w:rPr>
        <w:rFonts w:ascii="Wingdings" w:hAnsi="Wingdings" w:hint="default"/>
      </w:rPr>
    </w:lvl>
    <w:lvl w:ilvl="6" w:tplc="04090001" w:tentative="1">
      <w:start w:val="1"/>
      <w:numFmt w:val="bullet"/>
      <w:lvlText w:val=""/>
      <w:lvlJc w:val="left"/>
      <w:pPr>
        <w:ind w:left="6810" w:hanging="360"/>
      </w:pPr>
      <w:rPr>
        <w:rFonts w:ascii="Symbol" w:hAnsi="Symbol" w:hint="default"/>
      </w:rPr>
    </w:lvl>
    <w:lvl w:ilvl="7" w:tplc="04090003" w:tentative="1">
      <w:start w:val="1"/>
      <w:numFmt w:val="bullet"/>
      <w:lvlText w:val="o"/>
      <w:lvlJc w:val="left"/>
      <w:pPr>
        <w:ind w:left="7530" w:hanging="360"/>
      </w:pPr>
      <w:rPr>
        <w:rFonts w:ascii="Courier New" w:hAnsi="Courier New" w:cs="Courier New" w:hint="default"/>
      </w:rPr>
    </w:lvl>
    <w:lvl w:ilvl="8" w:tplc="04090005" w:tentative="1">
      <w:start w:val="1"/>
      <w:numFmt w:val="bullet"/>
      <w:lvlText w:val=""/>
      <w:lvlJc w:val="left"/>
      <w:pPr>
        <w:ind w:left="8250" w:hanging="360"/>
      </w:pPr>
      <w:rPr>
        <w:rFonts w:ascii="Wingdings" w:hAnsi="Wingdings" w:hint="default"/>
      </w:rPr>
    </w:lvl>
  </w:abstractNum>
  <w:abstractNum w:abstractNumId="8" w15:restartNumberingAfterBreak="0">
    <w:nsid w:val="15396A78"/>
    <w:multiLevelType w:val="hybridMultilevel"/>
    <w:tmpl w:val="7A86C64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6697419"/>
    <w:multiLevelType w:val="hybridMultilevel"/>
    <w:tmpl w:val="78E0C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FE4305"/>
    <w:multiLevelType w:val="hybridMultilevel"/>
    <w:tmpl w:val="A06AA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3215D2"/>
    <w:multiLevelType w:val="hybridMultilevel"/>
    <w:tmpl w:val="96AE37B8"/>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192B460B"/>
    <w:multiLevelType w:val="hybridMultilevel"/>
    <w:tmpl w:val="142EA098"/>
    <w:lvl w:ilvl="0" w:tplc="0409000B">
      <w:start w:val="1"/>
      <w:numFmt w:val="bullet"/>
      <w:lvlText w:val=""/>
      <w:lvlJc w:val="left"/>
      <w:pPr>
        <w:ind w:left="2460" w:hanging="360"/>
      </w:pPr>
      <w:rPr>
        <w:rFonts w:ascii="Wingdings" w:hAnsi="Wingdings" w:hint="default"/>
      </w:rPr>
    </w:lvl>
    <w:lvl w:ilvl="1" w:tplc="04090003" w:tentative="1">
      <w:start w:val="1"/>
      <w:numFmt w:val="bullet"/>
      <w:lvlText w:val="o"/>
      <w:lvlJc w:val="left"/>
      <w:pPr>
        <w:ind w:left="3180" w:hanging="360"/>
      </w:pPr>
      <w:rPr>
        <w:rFonts w:ascii="Courier New" w:hAnsi="Courier New" w:cs="Courier New" w:hint="default"/>
      </w:rPr>
    </w:lvl>
    <w:lvl w:ilvl="2" w:tplc="04090005" w:tentative="1">
      <w:start w:val="1"/>
      <w:numFmt w:val="bullet"/>
      <w:lvlText w:val=""/>
      <w:lvlJc w:val="left"/>
      <w:pPr>
        <w:ind w:left="3900" w:hanging="360"/>
      </w:pPr>
      <w:rPr>
        <w:rFonts w:ascii="Wingdings" w:hAnsi="Wingdings" w:hint="default"/>
      </w:rPr>
    </w:lvl>
    <w:lvl w:ilvl="3" w:tplc="04090001" w:tentative="1">
      <w:start w:val="1"/>
      <w:numFmt w:val="bullet"/>
      <w:lvlText w:val=""/>
      <w:lvlJc w:val="left"/>
      <w:pPr>
        <w:ind w:left="4620" w:hanging="360"/>
      </w:pPr>
      <w:rPr>
        <w:rFonts w:ascii="Symbol" w:hAnsi="Symbol" w:hint="default"/>
      </w:rPr>
    </w:lvl>
    <w:lvl w:ilvl="4" w:tplc="04090003" w:tentative="1">
      <w:start w:val="1"/>
      <w:numFmt w:val="bullet"/>
      <w:lvlText w:val="o"/>
      <w:lvlJc w:val="left"/>
      <w:pPr>
        <w:ind w:left="5340" w:hanging="360"/>
      </w:pPr>
      <w:rPr>
        <w:rFonts w:ascii="Courier New" w:hAnsi="Courier New" w:cs="Courier New" w:hint="default"/>
      </w:rPr>
    </w:lvl>
    <w:lvl w:ilvl="5" w:tplc="04090005" w:tentative="1">
      <w:start w:val="1"/>
      <w:numFmt w:val="bullet"/>
      <w:lvlText w:val=""/>
      <w:lvlJc w:val="left"/>
      <w:pPr>
        <w:ind w:left="6060" w:hanging="360"/>
      </w:pPr>
      <w:rPr>
        <w:rFonts w:ascii="Wingdings" w:hAnsi="Wingdings" w:hint="default"/>
      </w:rPr>
    </w:lvl>
    <w:lvl w:ilvl="6" w:tplc="04090001" w:tentative="1">
      <w:start w:val="1"/>
      <w:numFmt w:val="bullet"/>
      <w:lvlText w:val=""/>
      <w:lvlJc w:val="left"/>
      <w:pPr>
        <w:ind w:left="6780" w:hanging="360"/>
      </w:pPr>
      <w:rPr>
        <w:rFonts w:ascii="Symbol" w:hAnsi="Symbol" w:hint="default"/>
      </w:rPr>
    </w:lvl>
    <w:lvl w:ilvl="7" w:tplc="04090003" w:tentative="1">
      <w:start w:val="1"/>
      <w:numFmt w:val="bullet"/>
      <w:lvlText w:val="o"/>
      <w:lvlJc w:val="left"/>
      <w:pPr>
        <w:ind w:left="7500" w:hanging="360"/>
      </w:pPr>
      <w:rPr>
        <w:rFonts w:ascii="Courier New" w:hAnsi="Courier New" w:cs="Courier New" w:hint="default"/>
      </w:rPr>
    </w:lvl>
    <w:lvl w:ilvl="8" w:tplc="04090005" w:tentative="1">
      <w:start w:val="1"/>
      <w:numFmt w:val="bullet"/>
      <w:lvlText w:val=""/>
      <w:lvlJc w:val="left"/>
      <w:pPr>
        <w:ind w:left="8220" w:hanging="360"/>
      </w:pPr>
      <w:rPr>
        <w:rFonts w:ascii="Wingdings" w:hAnsi="Wingdings" w:hint="default"/>
      </w:rPr>
    </w:lvl>
  </w:abstractNum>
  <w:abstractNum w:abstractNumId="13" w15:restartNumberingAfterBreak="0">
    <w:nsid w:val="1A5861D6"/>
    <w:multiLevelType w:val="hybridMultilevel"/>
    <w:tmpl w:val="5ABC530E"/>
    <w:lvl w:ilvl="0" w:tplc="04090001">
      <w:start w:val="1"/>
      <w:numFmt w:val="bullet"/>
      <w:lvlText w:val=""/>
      <w:lvlJc w:val="left"/>
      <w:pPr>
        <w:ind w:left="2580" w:hanging="360"/>
      </w:pPr>
      <w:rPr>
        <w:rFonts w:ascii="Symbol" w:hAnsi="Symbol"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14" w15:restartNumberingAfterBreak="0">
    <w:nsid w:val="1B8A2DAD"/>
    <w:multiLevelType w:val="hybridMultilevel"/>
    <w:tmpl w:val="423A25C2"/>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1C326D40"/>
    <w:multiLevelType w:val="hybridMultilevel"/>
    <w:tmpl w:val="0B1EDBB8"/>
    <w:lvl w:ilvl="0" w:tplc="5190736E">
      <w:numFmt w:val="bullet"/>
      <w:lvlText w:val="•"/>
      <w:lvlJc w:val="left"/>
      <w:pPr>
        <w:ind w:left="372" w:hanging="360"/>
      </w:pPr>
      <w:rPr>
        <w:rFonts w:ascii="Cambria" w:eastAsiaTheme="minorEastAsia" w:hAnsi="Cambria" w:cstheme="minorBidi" w:hint="default"/>
      </w:rPr>
    </w:lvl>
    <w:lvl w:ilvl="1" w:tplc="08090003">
      <w:start w:val="1"/>
      <w:numFmt w:val="bullet"/>
      <w:lvlText w:val="o"/>
      <w:lvlJc w:val="left"/>
      <w:pPr>
        <w:ind w:left="1092" w:hanging="360"/>
      </w:pPr>
      <w:rPr>
        <w:rFonts w:ascii="Courier New" w:hAnsi="Courier New" w:cs="Courier New" w:hint="default"/>
      </w:rPr>
    </w:lvl>
    <w:lvl w:ilvl="2" w:tplc="08090005">
      <w:start w:val="1"/>
      <w:numFmt w:val="bullet"/>
      <w:lvlText w:val=""/>
      <w:lvlJc w:val="left"/>
      <w:pPr>
        <w:ind w:left="1812" w:hanging="360"/>
      </w:pPr>
      <w:rPr>
        <w:rFonts w:ascii="Wingdings" w:hAnsi="Wingdings" w:hint="default"/>
      </w:rPr>
    </w:lvl>
    <w:lvl w:ilvl="3" w:tplc="08090001" w:tentative="1">
      <w:start w:val="1"/>
      <w:numFmt w:val="bullet"/>
      <w:lvlText w:val=""/>
      <w:lvlJc w:val="left"/>
      <w:pPr>
        <w:ind w:left="2532" w:hanging="360"/>
      </w:pPr>
      <w:rPr>
        <w:rFonts w:ascii="Symbol" w:hAnsi="Symbol" w:hint="default"/>
      </w:rPr>
    </w:lvl>
    <w:lvl w:ilvl="4" w:tplc="08090003" w:tentative="1">
      <w:start w:val="1"/>
      <w:numFmt w:val="bullet"/>
      <w:lvlText w:val="o"/>
      <w:lvlJc w:val="left"/>
      <w:pPr>
        <w:ind w:left="3252" w:hanging="360"/>
      </w:pPr>
      <w:rPr>
        <w:rFonts w:ascii="Courier New" w:hAnsi="Courier New" w:cs="Courier New" w:hint="default"/>
      </w:rPr>
    </w:lvl>
    <w:lvl w:ilvl="5" w:tplc="08090005" w:tentative="1">
      <w:start w:val="1"/>
      <w:numFmt w:val="bullet"/>
      <w:lvlText w:val=""/>
      <w:lvlJc w:val="left"/>
      <w:pPr>
        <w:ind w:left="3972" w:hanging="360"/>
      </w:pPr>
      <w:rPr>
        <w:rFonts w:ascii="Wingdings" w:hAnsi="Wingdings" w:hint="default"/>
      </w:rPr>
    </w:lvl>
    <w:lvl w:ilvl="6" w:tplc="08090001" w:tentative="1">
      <w:start w:val="1"/>
      <w:numFmt w:val="bullet"/>
      <w:lvlText w:val=""/>
      <w:lvlJc w:val="left"/>
      <w:pPr>
        <w:ind w:left="4692" w:hanging="360"/>
      </w:pPr>
      <w:rPr>
        <w:rFonts w:ascii="Symbol" w:hAnsi="Symbol" w:hint="default"/>
      </w:rPr>
    </w:lvl>
    <w:lvl w:ilvl="7" w:tplc="08090003" w:tentative="1">
      <w:start w:val="1"/>
      <w:numFmt w:val="bullet"/>
      <w:lvlText w:val="o"/>
      <w:lvlJc w:val="left"/>
      <w:pPr>
        <w:ind w:left="5412" w:hanging="360"/>
      </w:pPr>
      <w:rPr>
        <w:rFonts w:ascii="Courier New" w:hAnsi="Courier New" w:cs="Courier New" w:hint="default"/>
      </w:rPr>
    </w:lvl>
    <w:lvl w:ilvl="8" w:tplc="08090005" w:tentative="1">
      <w:start w:val="1"/>
      <w:numFmt w:val="bullet"/>
      <w:lvlText w:val=""/>
      <w:lvlJc w:val="left"/>
      <w:pPr>
        <w:ind w:left="6132" w:hanging="360"/>
      </w:pPr>
      <w:rPr>
        <w:rFonts w:ascii="Wingdings" w:hAnsi="Wingdings" w:hint="default"/>
      </w:rPr>
    </w:lvl>
  </w:abstractNum>
  <w:abstractNum w:abstractNumId="16" w15:restartNumberingAfterBreak="0">
    <w:nsid w:val="23C32092"/>
    <w:multiLevelType w:val="hybridMultilevel"/>
    <w:tmpl w:val="29642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2F4C98"/>
    <w:multiLevelType w:val="hybridMultilevel"/>
    <w:tmpl w:val="89F28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4A7182"/>
    <w:multiLevelType w:val="hybridMultilevel"/>
    <w:tmpl w:val="A4CA8D5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5624D2F"/>
    <w:multiLevelType w:val="hybridMultilevel"/>
    <w:tmpl w:val="4792397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5F96FE2"/>
    <w:multiLevelType w:val="hybridMultilevel"/>
    <w:tmpl w:val="FE5CA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6D629F3"/>
    <w:multiLevelType w:val="hybridMultilevel"/>
    <w:tmpl w:val="332EC9C6"/>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2" w15:restartNumberingAfterBreak="0">
    <w:nsid w:val="2AB1718A"/>
    <w:multiLevelType w:val="hybridMultilevel"/>
    <w:tmpl w:val="0C9E7008"/>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2E04123F"/>
    <w:multiLevelType w:val="hybridMultilevel"/>
    <w:tmpl w:val="79F88B4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F4C428A"/>
    <w:multiLevelType w:val="hybridMultilevel"/>
    <w:tmpl w:val="DE88C3C4"/>
    <w:lvl w:ilvl="0" w:tplc="5190736E">
      <w:numFmt w:val="bullet"/>
      <w:lvlText w:val="•"/>
      <w:lvlJc w:val="left"/>
      <w:pPr>
        <w:ind w:left="360" w:hanging="360"/>
      </w:pPr>
      <w:rPr>
        <w:rFonts w:ascii="Cambria" w:eastAsiaTheme="minorEastAsia" w:hAnsi="Cambria"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F866949"/>
    <w:multiLevelType w:val="hybridMultilevel"/>
    <w:tmpl w:val="BF7A4E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D43D97"/>
    <w:multiLevelType w:val="hybridMultilevel"/>
    <w:tmpl w:val="4DFC3040"/>
    <w:lvl w:ilvl="0" w:tplc="0409000B">
      <w:start w:val="1"/>
      <w:numFmt w:val="bullet"/>
      <w:lvlText w:val=""/>
      <w:lvlJc w:val="left"/>
      <w:pPr>
        <w:ind w:left="2820" w:hanging="360"/>
      </w:pPr>
      <w:rPr>
        <w:rFonts w:ascii="Wingdings" w:hAnsi="Wingdings" w:hint="default"/>
      </w:rPr>
    </w:lvl>
    <w:lvl w:ilvl="1" w:tplc="04090003" w:tentative="1">
      <w:start w:val="1"/>
      <w:numFmt w:val="bullet"/>
      <w:lvlText w:val="o"/>
      <w:lvlJc w:val="left"/>
      <w:pPr>
        <w:ind w:left="3540" w:hanging="360"/>
      </w:pPr>
      <w:rPr>
        <w:rFonts w:ascii="Courier New" w:hAnsi="Courier New" w:cs="Courier New" w:hint="default"/>
      </w:rPr>
    </w:lvl>
    <w:lvl w:ilvl="2" w:tplc="04090005" w:tentative="1">
      <w:start w:val="1"/>
      <w:numFmt w:val="bullet"/>
      <w:lvlText w:val=""/>
      <w:lvlJc w:val="left"/>
      <w:pPr>
        <w:ind w:left="4260" w:hanging="360"/>
      </w:pPr>
      <w:rPr>
        <w:rFonts w:ascii="Wingdings" w:hAnsi="Wingdings" w:hint="default"/>
      </w:rPr>
    </w:lvl>
    <w:lvl w:ilvl="3" w:tplc="04090001" w:tentative="1">
      <w:start w:val="1"/>
      <w:numFmt w:val="bullet"/>
      <w:lvlText w:val=""/>
      <w:lvlJc w:val="left"/>
      <w:pPr>
        <w:ind w:left="4980" w:hanging="360"/>
      </w:pPr>
      <w:rPr>
        <w:rFonts w:ascii="Symbol" w:hAnsi="Symbol" w:hint="default"/>
      </w:rPr>
    </w:lvl>
    <w:lvl w:ilvl="4" w:tplc="04090003" w:tentative="1">
      <w:start w:val="1"/>
      <w:numFmt w:val="bullet"/>
      <w:lvlText w:val="o"/>
      <w:lvlJc w:val="left"/>
      <w:pPr>
        <w:ind w:left="5700" w:hanging="360"/>
      </w:pPr>
      <w:rPr>
        <w:rFonts w:ascii="Courier New" w:hAnsi="Courier New" w:cs="Courier New" w:hint="default"/>
      </w:rPr>
    </w:lvl>
    <w:lvl w:ilvl="5" w:tplc="04090005" w:tentative="1">
      <w:start w:val="1"/>
      <w:numFmt w:val="bullet"/>
      <w:lvlText w:val=""/>
      <w:lvlJc w:val="left"/>
      <w:pPr>
        <w:ind w:left="6420" w:hanging="360"/>
      </w:pPr>
      <w:rPr>
        <w:rFonts w:ascii="Wingdings" w:hAnsi="Wingdings" w:hint="default"/>
      </w:rPr>
    </w:lvl>
    <w:lvl w:ilvl="6" w:tplc="04090001" w:tentative="1">
      <w:start w:val="1"/>
      <w:numFmt w:val="bullet"/>
      <w:lvlText w:val=""/>
      <w:lvlJc w:val="left"/>
      <w:pPr>
        <w:ind w:left="7140" w:hanging="360"/>
      </w:pPr>
      <w:rPr>
        <w:rFonts w:ascii="Symbol" w:hAnsi="Symbol" w:hint="default"/>
      </w:rPr>
    </w:lvl>
    <w:lvl w:ilvl="7" w:tplc="04090003" w:tentative="1">
      <w:start w:val="1"/>
      <w:numFmt w:val="bullet"/>
      <w:lvlText w:val="o"/>
      <w:lvlJc w:val="left"/>
      <w:pPr>
        <w:ind w:left="7860" w:hanging="360"/>
      </w:pPr>
      <w:rPr>
        <w:rFonts w:ascii="Courier New" w:hAnsi="Courier New" w:cs="Courier New" w:hint="default"/>
      </w:rPr>
    </w:lvl>
    <w:lvl w:ilvl="8" w:tplc="04090005" w:tentative="1">
      <w:start w:val="1"/>
      <w:numFmt w:val="bullet"/>
      <w:lvlText w:val=""/>
      <w:lvlJc w:val="left"/>
      <w:pPr>
        <w:ind w:left="8580" w:hanging="360"/>
      </w:pPr>
      <w:rPr>
        <w:rFonts w:ascii="Wingdings" w:hAnsi="Wingdings" w:hint="default"/>
      </w:rPr>
    </w:lvl>
  </w:abstractNum>
  <w:abstractNum w:abstractNumId="27" w15:restartNumberingAfterBreak="0">
    <w:nsid w:val="3221610C"/>
    <w:multiLevelType w:val="hybridMultilevel"/>
    <w:tmpl w:val="8D906A0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34F37ED0"/>
    <w:multiLevelType w:val="hybridMultilevel"/>
    <w:tmpl w:val="A860FA9A"/>
    <w:lvl w:ilvl="0" w:tplc="04090001">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29" w15:restartNumberingAfterBreak="0">
    <w:nsid w:val="36242F7E"/>
    <w:multiLevelType w:val="hybridMultilevel"/>
    <w:tmpl w:val="47A4D13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76F603E"/>
    <w:multiLevelType w:val="hybridMultilevel"/>
    <w:tmpl w:val="F1CCD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8282357"/>
    <w:multiLevelType w:val="hybridMultilevel"/>
    <w:tmpl w:val="CFEC49B2"/>
    <w:lvl w:ilvl="0" w:tplc="04090001">
      <w:start w:val="1"/>
      <w:numFmt w:val="bullet"/>
      <w:lvlText w:val=""/>
      <w:lvlJc w:val="left"/>
      <w:pPr>
        <w:ind w:left="975" w:hanging="360"/>
      </w:pPr>
      <w:rPr>
        <w:rFonts w:ascii="Symbol" w:hAnsi="Symbol" w:hint="default"/>
      </w:rPr>
    </w:lvl>
    <w:lvl w:ilvl="1" w:tplc="04090003" w:tentative="1">
      <w:start w:val="1"/>
      <w:numFmt w:val="bullet"/>
      <w:lvlText w:val="o"/>
      <w:lvlJc w:val="left"/>
      <w:pPr>
        <w:ind w:left="1695" w:hanging="360"/>
      </w:pPr>
      <w:rPr>
        <w:rFonts w:ascii="Courier New" w:hAnsi="Courier New" w:cs="Courier New" w:hint="default"/>
      </w:rPr>
    </w:lvl>
    <w:lvl w:ilvl="2" w:tplc="04090005" w:tentative="1">
      <w:start w:val="1"/>
      <w:numFmt w:val="bullet"/>
      <w:lvlText w:val=""/>
      <w:lvlJc w:val="left"/>
      <w:pPr>
        <w:ind w:left="2415" w:hanging="360"/>
      </w:pPr>
      <w:rPr>
        <w:rFonts w:ascii="Wingdings" w:hAnsi="Wingdings" w:hint="default"/>
      </w:rPr>
    </w:lvl>
    <w:lvl w:ilvl="3" w:tplc="04090001" w:tentative="1">
      <w:start w:val="1"/>
      <w:numFmt w:val="bullet"/>
      <w:lvlText w:val=""/>
      <w:lvlJc w:val="left"/>
      <w:pPr>
        <w:ind w:left="3135" w:hanging="360"/>
      </w:pPr>
      <w:rPr>
        <w:rFonts w:ascii="Symbol" w:hAnsi="Symbol" w:hint="default"/>
      </w:rPr>
    </w:lvl>
    <w:lvl w:ilvl="4" w:tplc="04090003" w:tentative="1">
      <w:start w:val="1"/>
      <w:numFmt w:val="bullet"/>
      <w:lvlText w:val="o"/>
      <w:lvlJc w:val="left"/>
      <w:pPr>
        <w:ind w:left="3855" w:hanging="360"/>
      </w:pPr>
      <w:rPr>
        <w:rFonts w:ascii="Courier New" w:hAnsi="Courier New" w:cs="Courier New" w:hint="default"/>
      </w:rPr>
    </w:lvl>
    <w:lvl w:ilvl="5" w:tplc="04090005" w:tentative="1">
      <w:start w:val="1"/>
      <w:numFmt w:val="bullet"/>
      <w:lvlText w:val=""/>
      <w:lvlJc w:val="left"/>
      <w:pPr>
        <w:ind w:left="4575" w:hanging="360"/>
      </w:pPr>
      <w:rPr>
        <w:rFonts w:ascii="Wingdings" w:hAnsi="Wingdings" w:hint="default"/>
      </w:rPr>
    </w:lvl>
    <w:lvl w:ilvl="6" w:tplc="04090001" w:tentative="1">
      <w:start w:val="1"/>
      <w:numFmt w:val="bullet"/>
      <w:lvlText w:val=""/>
      <w:lvlJc w:val="left"/>
      <w:pPr>
        <w:ind w:left="5295" w:hanging="360"/>
      </w:pPr>
      <w:rPr>
        <w:rFonts w:ascii="Symbol" w:hAnsi="Symbol" w:hint="default"/>
      </w:rPr>
    </w:lvl>
    <w:lvl w:ilvl="7" w:tplc="04090003" w:tentative="1">
      <w:start w:val="1"/>
      <w:numFmt w:val="bullet"/>
      <w:lvlText w:val="o"/>
      <w:lvlJc w:val="left"/>
      <w:pPr>
        <w:ind w:left="6015" w:hanging="360"/>
      </w:pPr>
      <w:rPr>
        <w:rFonts w:ascii="Courier New" w:hAnsi="Courier New" w:cs="Courier New" w:hint="default"/>
      </w:rPr>
    </w:lvl>
    <w:lvl w:ilvl="8" w:tplc="04090005" w:tentative="1">
      <w:start w:val="1"/>
      <w:numFmt w:val="bullet"/>
      <w:lvlText w:val=""/>
      <w:lvlJc w:val="left"/>
      <w:pPr>
        <w:ind w:left="6735" w:hanging="360"/>
      </w:pPr>
      <w:rPr>
        <w:rFonts w:ascii="Wingdings" w:hAnsi="Wingdings" w:hint="default"/>
      </w:rPr>
    </w:lvl>
  </w:abstractNum>
  <w:abstractNum w:abstractNumId="32" w15:restartNumberingAfterBreak="0">
    <w:nsid w:val="384A33E9"/>
    <w:multiLevelType w:val="hybridMultilevel"/>
    <w:tmpl w:val="B3E62B04"/>
    <w:lvl w:ilvl="0" w:tplc="0409000B">
      <w:start w:val="1"/>
      <w:numFmt w:val="bullet"/>
      <w:lvlText w:val=""/>
      <w:lvlJc w:val="left"/>
      <w:pPr>
        <w:ind w:left="1860" w:hanging="360"/>
      </w:pPr>
      <w:rPr>
        <w:rFonts w:ascii="Wingdings" w:hAnsi="Wingdings"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33" w15:restartNumberingAfterBreak="0">
    <w:nsid w:val="393B3D87"/>
    <w:multiLevelType w:val="hybridMultilevel"/>
    <w:tmpl w:val="526A29B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3ACD1C72"/>
    <w:multiLevelType w:val="hybridMultilevel"/>
    <w:tmpl w:val="CB7C0312"/>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5" w15:restartNumberingAfterBreak="0">
    <w:nsid w:val="3B672F37"/>
    <w:multiLevelType w:val="hybridMultilevel"/>
    <w:tmpl w:val="0AF4B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DD72BC7"/>
    <w:multiLevelType w:val="hybridMultilevel"/>
    <w:tmpl w:val="3B547CCC"/>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7" w15:restartNumberingAfterBreak="0">
    <w:nsid w:val="3E5D3B74"/>
    <w:multiLevelType w:val="hybridMultilevel"/>
    <w:tmpl w:val="07B85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EFA2DED"/>
    <w:multiLevelType w:val="hybridMultilevel"/>
    <w:tmpl w:val="50FE9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FFE3809"/>
    <w:multiLevelType w:val="hybridMultilevel"/>
    <w:tmpl w:val="E34EB42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40A53108"/>
    <w:multiLevelType w:val="hybridMultilevel"/>
    <w:tmpl w:val="77DE23D2"/>
    <w:lvl w:ilvl="0" w:tplc="04090001">
      <w:start w:val="1"/>
      <w:numFmt w:val="bullet"/>
      <w:lvlText w:val=""/>
      <w:lvlJc w:val="left"/>
      <w:pPr>
        <w:ind w:left="1215" w:hanging="360"/>
      </w:pPr>
      <w:rPr>
        <w:rFonts w:ascii="Symbol" w:hAnsi="Symbol" w:hint="default"/>
      </w:rPr>
    </w:lvl>
    <w:lvl w:ilvl="1" w:tplc="04090003" w:tentative="1">
      <w:start w:val="1"/>
      <w:numFmt w:val="bullet"/>
      <w:lvlText w:val="o"/>
      <w:lvlJc w:val="left"/>
      <w:pPr>
        <w:ind w:left="1935" w:hanging="360"/>
      </w:pPr>
      <w:rPr>
        <w:rFonts w:ascii="Courier New" w:hAnsi="Courier New" w:cs="Courier New"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cs="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cs="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41" w15:restartNumberingAfterBreak="0">
    <w:nsid w:val="40D8719E"/>
    <w:multiLevelType w:val="hybridMultilevel"/>
    <w:tmpl w:val="1338A1A6"/>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2" w15:restartNumberingAfterBreak="0">
    <w:nsid w:val="41621CE9"/>
    <w:multiLevelType w:val="hybridMultilevel"/>
    <w:tmpl w:val="3D7C3464"/>
    <w:lvl w:ilvl="0" w:tplc="04090001">
      <w:start w:val="1"/>
      <w:numFmt w:val="bullet"/>
      <w:lvlText w:val=""/>
      <w:lvlJc w:val="left"/>
      <w:pPr>
        <w:ind w:left="1740" w:hanging="360"/>
      </w:pPr>
      <w:rPr>
        <w:rFonts w:ascii="Symbol" w:hAnsi="Symbol" w:hint="default"/>
      </w:rPr>
    </w:lvl>
    <w:lvl w:ilvl="1" w:tplc="04090003" w:tentative="1">
      <w:start w:val="1"/>
      <w:numFmt w:val="bullet"/>
      <w:lvlText w:val="o"/>
      <w:lvlJc w:val="left"/>
      <w:pPr>
        <w:ind w:left="2460" w:hanging="360"/>
      </w:pPr>
      <w:rPr>
        <w:rFonts w:ascii="Courier New" w:hAnsi="Courier New" w:cs="Courier New" w:hint="default"/>
      </w:rPr>
    </w:lvl>
    <w:lvl w:ilvl="2" w:tplc="04090005" w:tentative="1">
      <w:start w:val="1"/>
      <w:numFmt w:val="bullet"/>
      <w:lvlText w:val=""/>
      <w:lvlJc w:val="left"/>
      <w:pPr>
        <w:ind w:left="3180" w:hanging="360"/>
      </w:pPr>
      <w:rPr>
        <w:rFonts w:ascii="Wingdings" w:hAnsi="Wingdings" w:hint="default"/>
      </w:rPr>
    </w:lvl>
    <w:lvl w:ilvl="3" w:tplc="04090001" w:tentative="1">
      <w:start w:val="1"/>
      <w:numFmt w:val="bullet"/>
      <w:lvlText w:val=""/>
      <w:lvlJc w:val="left"/>
      <w:pPr>
        <w:ind w:left="3900" w:hanging="360"/>
      </w:pPr>
      <w:rPr>
        <w:rFonts w:ascii="Symbol" w:hAnsi="Symbol" w:hint="default"/>
      </w:rPr>
    </w:lvl>
    <w:lvl w:ilvl="4" w:tplc="04090003" w:tentative="1">
      <w:start w:val="1"/>
      <w:numFmt w:val="bullet"/>
      <w:lvlText w:val="o"/>
      <w:lvlJc w:val="left"/>
      <w:pPr>
        <w:ind w:left="4620" w:hanging="360"/>
      </w:pPr>
      <w:rPr>
        <w:rFonts w:ascii="Courier New" w:hAnsi="Courier New" w:cs="Courier New" w:hint="default"/>
      </w:rPr>
    </w:lvl>
    <w:lvl w:ilvl="5" w:tplc="04090005" w:tentative="1">
      <w:start w:val="1"/>
      <w:numFmt w:val="bullet"/>
      <w:lvlText w:val=""/>
      <w:lvlJc w:val="left"/>
      <w:pPr>
        <w:ind w:left="5340" w:hanging="360"/>
      </w:pPr>
      <w:rPr>
        <w:rFonts w:ascii="Wingdings" w:hAnsi="Wingdings" w:hint="default"/>
      </w:rPr>
    </w:lvl>
    <w:lvl w:ilvl="6" w:tplc="04090001" w:tentative="1">
      <w:start w:val="1"/>
      <w:numFmt w:val="bullet"/>
      <w:lvlText w:val=""/>
      <w:lvlJc w:val="left"/>
      <w:pPr>
        <w:ind w:left="6060" w:hanging="360"/>
      </w:pPr>
      <w:rPr>
        <w:rFonts w:ascii="Symbol" w:hAnsi="Symbol" w:hint="default"/>
      </w:rPr>
    </w:lvl>
    <w:lvl w:ilvl="7" w:tplc="04090003" w:tentative="1">
      <w:start w:val="1"/>
      <w:numFmt w:val="bullet"/>
      <w:lvlText w:val="o"/>
      <w:lvlJc w:val="left"/>
      <w:pPr>
        <w:ind w:left="6780" w:hanging="360"/>
      </w:pPr>
      <w:rPr>
        <w:rFonts w:ascii="Courier New" w:hAnsi="Courier New" w:cs="Courier New" w:hint="default"/>
      </w:rPr>
    </w:lvl>
    <w:lvl w:ilvl="8" w:tplc="04090005" w:tentative="1">
      <w:start w:val="1"/>
      <w:numFmt w:val="bullet"/>
      <w:lvlText w:val=""/>
      <w:lvlJc w:val="left"/>
      <w:pPr>
        <w:ind w:left="7500" w:hanging="360"/>
      </w:pPr>
      <w:rPr>
        <w:rFonts w:ascii="Wingdings" w:hAnsi="Wingdings" w:hint="default"/>
      </w:rPr>
    </w:lvl>
  </w:abstractNum>
  <w:abstractNum w:abstractNumId="43" w15:restartNumberingAfterBreak="0">
    <w:nsid w:val="41C86AA9"/>
    <w:multiLevelType w:val="hybridMultilevel"/>
    <w:tmpl w:val="228CC5FA"/>
    <w:lvl w:ilvl="0" w:tplc="0409000B">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4" w15:restartNumberingAfterBreak="0">
    <w:nsid w:val="43FF5CAB"/>
    <w:multiLevelType w:val="hybridMultilevel"/>
    <w:tmpl w:val="0C4E4BCA"/>
    <w:lvl w:ilvl="0" w:tplc="0409000B">
      <w:start w:val="1"/>
      <w:numFmt w:val="bullet"/>
      <w:lvlText w:val=""/>
      <w:lvlJc w:val="left"/>
      <w:pPr>
        <w:ind w:left="1770" w:hanging="360"/>
      </w:pPr>
      <w:rPr>
        <w:rFonts w:ascii="Wingdings" w:hAnsi="Wingdings" w:hint="default"/>
      </w:rPr>
    </w:lvl>
    <w:lvl w:ilvl="1" w:tplc="04090003" w:tentative="1">
      <w:start w:val="1"/>
      <w:numFmt w:val="bullet"/>
      <w:lvlText w:val="o"/>
      <w:lvlJc w:val="left"/>
      <w:pPr>
        <w:ind w:left="2490" w:hanging="360"/>
      </w:pPr>
      <w:rPr>
        <w:rFonts w:ascii="Courier New" w:hAnsi="Courier New" w:cs="Courier New" w:hint="default"/>
      </w:rPr>
    </w:lvl>
    <w:lvl w:ilvl="2" w:tplc="04090005" w:tentative="1">
      <w:start w:val="1"/>
      <w:numFmt w:val="bullet"/>
      <w:lvlText w:val=""/>
      <w:lvlJc w:val="left"/>
      <w:pPr>
        <w:ind w:left="3210" w:hanging="360"/>
      </w:pPr>
      <w:rPr>
        <w:rFonts w:ascii="Wingdings" w:hAnsi="Wingdings" w:hint="default"/>
      </w:rPr>
    </w:lvl>
    <w:lvl w:ilvl="3" w:tplc="04090001" w:tentative="1">
      <w:start w:val="1"/>
      <w:numFmt w:val="bullet"/>
      <w:lvlText w:val=""/>
      <w:lvlJc w:val="left"/>
      <w:pPr>
        <w:ind w:left="3930" w:hanging="360"/>
      </w:pPr>
      <w:rPr>
        <w:rFonts w:ascii="Symbol" w:hAnsi="Symbol" w:hint="default"/>
      </w:rPr>
    </w:lvl>
    <w:lvl w:ilvl="4" w:tplc="04090003" w:tentative="1">
      <w:start w:val="1"/>
      <w:numFmt w:val="bullet"/>
      <w:lvlText w:val="o"/>
      <w:lvlJc w:val="left"/>
      <w:pPr>
        <w:ind w:left="4650" w:hanging="360"/>
      </w:pPr>
      <w:rPr>
        <w:rFonts w:ascii="Courier New" w:hAnsi="Courier New" w:cs="Courier New" w:hint="default"/>
      </w:rPr>
    </w:lvl>
    <w:lvl w:ilvl="5" w:tplc="04090005" w:tentative="1">
      <w:start w:val="1"/>
      <w:numFmt w:val="bullet"/>
      <w:lvlText w:val=""/>
      <w:lvlJc w:val="left"/>
      <w:pPr>
        <w:ind w:left="5370" w:hanging="360"/>
      </w:pPr>
      <w:rPr>
        <w:rFonts w:ascii="Wingdings" w:hAnsi="Wingdings" w:hint="default"/>
      </w:rPr>
    </w:lvl>
    <w:lvl w:ilvl="6" w:tplc="04090001" w:tentative="1">
      <w:start w:val="1"/>
      <w:numFmt w:val="bullet"/>
      <w:lvlText w:val=""/>
      <w:lvlJc w:val="left"/>
      <w:pPr>
        <w:ind w:left="6090" w:hanging="360"/>
      </w:pPr>
      <w:rPr>
        <w:rFonts w:ascii="Symbol" w:hAnsi="Symbol" w:hint="default"/>
      </w:rPr>
    </w:lvl>
    <w:lvl w:ilvl="7" w:tplc="04090003" w:tentative="1">
      <w:start w:val="1"/>
      <w:numFmt w:val="bullet"/>
      <w:lvlText w:val="o"/>
      <w:lvlJc w:val="left"/>
      <w:pPr>
        <w:ind w:left="6810" w:hanging="360"/>
      </w:pPr>
      <w:rPr>
        <w:rFonts w:ascii="Courier New" w:hAnsi="Courier New" w:cs="Courier New" w:hint="default"/>
      </w:rPr>
    </w:lvl>
    <w:lvl w:ilvl="8" w:tplc="04090005" w:tentative="1">
      <w:start w:val="1"/>
      <w:numFmt w:val="bullet"/>
      <w:lvlText w:val=""/>
      <w:lvlJc w:val="left"/>
      <w:pPr>
        <w:ind w:left="7530" w:hanging="360"/>
      </w:pPr>
      <w:rPr>
        <w:rFonts w:ascii="Wingdings" w:hAnsi="Wingdings" w:hint="default"/>
      </w:rPr>
    </w:lvl>
  </w:abstractNum>
  <w:abstractNum w:abstractNumId="45" w15:restartNumberingAfterBreak="0">
    <w:nsid w:val="477D53DB"/>
    <w:multiLevelType w:val="hybridMultilevel"/>
    <w:tmpl w:val="8A36DE98"/>
    <w:lvl w:ilvl="0" w:tplc="0409000B">
      <w:start w:val="1"/>
      <w:numFmt w:val="bullet"/>
      <w:lvlText w:val=""/>
      <w:lvlJc w:val="left"/>
      <w:pPr>
        <w:ind w:left="2430" w:hanging="360"/>
      </w:pPr>
      <w:rPr>
        <w:rFonts w:ascii="Wingdings" w:hAnsi="Wingdings"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46" w15:restartNumberingAfterBreak="0">
    <w:nsid w:val="49440B1E"/>
    <w:multiLevelType w:val="hybridMultilevel"/>
    <w:tmpl w:val="47A053AE"/>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7" w15:restartNumberingAfterBreak="0">
    <w:nsid w:val="4AA310D4"/>
    <w:multiLevelType w:val="hybridMultilevel"/>
    <w:tmpl w:val="A728351E"/>
    <w:lvl w:ilvl="0" w:tplc="0409000B">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48" w15:restartNumberingAfterBreak="0">
    <w:nsid w:val="4AFC6F57"/>
    <w:multiLevelType w:val="hybridMultilevel"/>
    <w:tmpl w:val="3ECEBCAA"/>
    <w:lvl w:ilvl="0" w:tplc="0409000B">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49" w15:restartNumberingAfterBreak="0">
    <w:nsid w:val="4B4C5969"/>
    <w:multiLevelType w:val="hybridMultilevel"/>
    <w:tmpl w:val="BDAE5154"/>
    <w:lvl w:ilvl="0" w:tplc="0409000D">
      <w:start w:val="1"/>
      <w:numFmt w:val="bullet"/>
      <w:lvlText w:val=""/>
      <w:lvlJc w:val="left"/>
      <w:pPr>
        <w:ind w:left="3540" w:hanging="360"/>
      </w:pPr>
      <w:rPr>
        <w:rFonts w:ascii="Wingdings" w:hAnsi="Wingdings" w:hint="default"/>
      </w:rPr>
    </w:lvl>
    <w:lvl w:ilvl="1" w:tplc="04090003" w:tentative="1">
      <w:start w:val="1"/>
      <w:numFmt w:val="bullet"/>
      <w:lvlText w:val="o"/>
      <w:lvlJc w:val="left"/>
      <w:pPr>
        <w:ind w:left="4260" w:hanging="360"/>
      </w:pPr>
      <w:rPr>
        <w:rFonts w:ascii="Courier New" w:hAnsi="Courier New" w:cs="Courier New" w:hint="default"/>
      </w:rPr>
    </w:lvl>
    <w:lvl w:ilvl="2" w:tplc="04090005" w:tentative="1">
      <w:start w:val="1"/>
      <w:numFmt w:val="bullet"/>
      <w:lvlText w:val=""/>
      <w:lvlJc w:val="left"/>
      <w:pPr>
        <w:ind w:left="4980" w:hanging="360"/>
      </w:pPr>
      <w:rPr>
        <w:rFonts w:ascii="Wingdings" w:hAnsi="Wingdings" w:hint="default"/>
      </w:rPr>
    </w:lvl>
    <w:lvl w:ilvl="3" w:tplc="04090001" w:tentative="1">
      <w:start w:val="1"/>
      <w:numFmt w:val="bullet"/>
      <w:lvlText w:val=""/>
      <w:lvlJc w:val="left"/>
      <w:pPr>
        <w:ind w:left="5700" w:hanging="360"/>
      </w:pPr>
      <w:rPr>
        <w:rFonts w:ascii="Symbol" w:hAnsi="Symbol" w:hint="default"/>
      </w:rPr>
    </w:lvl>
    <w:lvl w:ilvl="4" w:tplc="04090003" w:tentative="1">
      <w:start w:val="1"/>
      <w:numFmt w:val="bullet"/>
      <w:lvlText w:val="o"/>
      <w:lvlJc w:val="left"/>
      <w:pPr>
        <w:ind w:left="6420" w:hanging="360"/>
      </w:pPr>
      <w:rPr>
        <w:rFonts w:ascii="Courier New" w:hAnsi="Courier New" w:cs="Courier New" w:hint="default"/>
      </w:rPr>
    </w:lvl>
    <w:lvl w:ilvl="5" w:tplc="04090005" w:tentative="1">
      <w:start w:val="1"/>
      <w:numFmt w:val="bullet"/>
      <w:lvlText w:val=""/>
      <w:lvlJc w:val="left"/>
      <w:pPr>
        <w:ind w:left="7140" w:hanging="360"/>
      </w:pPr>
      <w:rPr>
        <w:rFonts w:ascii="Wingdings" w:hAnsi="Wingdings" w:hint="default"/>
      </w:rPr>
    </w:lvl>
    <w:lvl w:ilvl="6" w:tplc="04090001" w:tentative="1">
      <w:start w:val="1"/>
      <w:numFmt w:val="bullet"/>
      <w:lvlText w:val=""/>
      <w:lvlJc w:val="left"/>
      <w:pPr>
        <w:ind w:left="7860" w:hanging="360"/>
      </w:pPr>
      <w:rPr>
        <w:rFonts w:ascii="Symbol" w:hAnsi="Symbol" w:hint="default"/>
      </w:rPr>
    </w:lvl>
    <w:lvl w:ilvl="7" w:tplc="04090003" w:tentative="1">
      <w:start w:val="1"/>
      <w:numFmt w:val="bullet"/>
      <w:lvlText w:val="o"/>
      <w:lvlJc w:val="left"/>
      <w:pPr>
        <w:ind w:left="8580" w:hanging="360"/>
      </w:pPr>
      <w:rPr>
        <w:rFonts w:ascii="Courier New" w:hAnsi="Courier New" w:cs="Courier New" w:hint="default"/>
      </w:rPr>
    </w:lvl>
    <w:lvl w:ilvl="8" w:tplc="04090005" w:tentative="1">
      <w:start w:val="1"/>
      <w:numFmt w:val="bullet"/>
      <w:lvlText w:val=""/>
      <w:lvlJc w:val="left"/>
      <w:pPr>
        <w:ind w:left="9300" w:hanging="360"/>
      </w:pPr>
      <w:rPr>
        <w:rFonts w:ascii="Wingdings" w:hAnsi="Wingdings" w:hint="default"/>
      </w:rPr>
    </w:lvl>
  </w:abstractNum>
  <w:abstractNum w:abstractNumId="50" w15:restartNumberingAfterBreak="0">
    <w:nsid w:val="4E2C3919"/>
    <w:multiLevelType w:val="hybridMultilevel"/>
    <w:tmpl w:val="69DA2DE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4EDE5558"/>
    <w:multiLevelType w:val="hybridMultilevel"/>
    <w:tmpl w:val="68201066"/>
    <w:lvl w:ilvl="0" w:tplc="04090001">
      <w:start w:val="1"/>
      <w:numFmt w:val="bullet"/>
      <w:lvlText w:val=""/>
      <w:lvlJc w:val="left"/>
      <w:pPr>
        <w:ind w:left="2100" w:hanging="360"/>
      </w:pPr>
      <w:rPr>
        <w:rFonts w:ascii="Symbol" w:hAnsi="Symbol" w:hint="default"/>
      </w:rPr>
    </w:lvl>
    <w:lvl w:ilvl="1" w:tplc="04090003" w:tentative="1">
      <w:start w:val="1"/>
      <w:numFmt w:val="bullet"/>
      <w:lvlText w:val="o"/>
      <w:lvlJc w:val="left"/>
      <w:pPr>
        <w:ind w:left="2820" w:hanging="360"/>
      </w:pPr>
      <w:rPr>
        <w:rFonts w:ascii="Courier New" w:hAnsi="Courier New" w:cs="Courier New" w:hint="default"/>
      </w:rPr>
    </w:lvl>
    <w:lvl w:ilvl="2" w:tplc="04090005" w:tentative="1">
      <w:start w:val="1"/>
      <w:numFmt w:val="bullet"/>
      <w:lvlText w:val=""/>
      <w:lvlJc w:val="left"/>
      <w:pPr>
        <w:ind w:left="3540" w:hanging="360"/>
      </w:pPr>
      <w:rPr>
        <w:rFonts w:ascii="Wingdings" w:hAnsi="Wingdings" w:hint="default"/>
      </w:rPr>
    </w:lvl>
    <w:lvl w:ilvl="3" w:tplc="04090001" w:tentative="1">
      <w:start w:val="1"/>
      <w:numFmt w:val="bullet"/>
      <w:lvlText w:val=""/>
      <w:lvlJc w:val="left"/>
      <w:pPr>
        <w:ind w:left="4260" w:hanging="360"/>
      </w:pPr>
      <w:rPr>
        <w:rFonts w:ascii="Symbol" w:hAnsi="Symbol" w:hint="default"/>
      </w:rPr>
    </w:lvl>
    <w:lvl w:ilvl="4" w:tplc="04090003" w:tentative="1">
      <w:start w:val="1"/>
      <w:numFmt w:val="bullet"/>
      <w:lvlText w:val="o"/>
      <w:lvlJc w:val="left"/>
      <w:pPr>
        <w:ind w:left="4980" w:hanging="360"/>
      </w:pPr>
      <w:rPr>
        <w:rFonts w:ascii="Courier New" w:hAnsi="Courier New" w:cs="Courier New" w:hint="default"/>
      </w:rPr>
    </w:lvl>
    <w:lvl w:ilvl="5" w:tplc="04090005" w:tentative="1">
      <w:start w:val="1"/>
      <w:numFmt w:val="bullet"/>
      <w:lvlText w:val=""/>
      <w:lvlJc w:val="left"/>
      <w:pPr>
        <w:ind w:left="5700" w:hanging="360"/>
      </w:pPr>
      <w:rPr>
        <w:rFonts w:ascii="Wingdings" w:hAnsi="Wingdings" w:hint="default"/>
      </w:rPr>
    </w:lvl>
    <w:lvl w:ilvl="6" w:tplc="04090001" w:tentative="1">
      <w:start w:val="1"/>
      <w:numFmt w:val="bullet"/>
      <w:lvlText w:val=""/>
      <w:lvlJc w:val="left"/>
      <w:pPr>
        <w:ind w:left="6420" w:hanging="360"/>
      </w:pPr>
      <w:rPr>
        <w:rFonts w:ascii="Symbol" w:hAnsi="Symbol" w:hint="default"/>
      </w:rPr>
    </w:lvl>
    <w:lvl w:ilvl="7" w:tplc="04090003" w:tentative="1">
      <w:start w:val="1"/>
      <w:numFmt w:val="bullet"/>
      <w:lvlText w:val="o"/>
      <w:lvlJc w:val="left"/>
      <w:pPr>
        <w:ind w:left="7140" w:hanging="360"/>
      </w:pPr>
      <w:rPr>
        <w:rFonts w:ascii="Courier New" w:hAnsi="Courier New" w:cs="Courier New" w:hint="default"/>
      </w:rPr>
    </w:lvl>
    <w:lvl w:ilvl="8" w:tplc="04090005" w:tentative="1">
      <w:start w:val="1"/>
      <w:numFmt w:val="bullet"/>
      <w:lvlText w:val=""/>
      <w:lvlJc w:val="left"/>
      <w:pPr>
        <w:ind w:left="7860" w:hanging="360"/>
      </w:pPr>
      <w:rPr>
        <w:rFonts w:ascii="Wingdings" w:hAnsi="Wingdings" w:hint="default"/>
      </w:rPr>
    </w:lvl>
  </w:abstractNum>
  <w:abstractNum w:abstractNumId="52" w15:restartNumberingAfterBreak="0">
    <w:nsid w:val="4F4E3A31"/>
    <w:multiLevelType w:val="hybridMultilevel"/>
    <w:tmpl w:val="CEAC3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79821C6"/>
    <w:multiLevelType w:val="hybridMultilevel"/>
    <w:tmpl w:val="E8AE0EC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58FC7348"/>
    <w:multiLevelType w:val="hybridMultilevel"/>
    <w:tmpl w:val="1116BF4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5CB66FB7"/>
    <w:multiLevelType w:val="hybridMultilevel"/>
    <w:tmpl w:val="17AC797E"/>
    <w:lvl w:ilvl="0" w:tplc="0409000B">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6" w15:restartNumberingAfterBreak="0">
    <w:nsid w:val="5E98476F"/>
    <w:multiLevelType w:val="hybridMultilevel"/>
    <w:tmpl w:val="341C9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ED72EFE"/>
    <w:multiLevelType w:val="hybridMultilevel"/>
    <w:tmpl w:val="783C172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69AE0F20"/>
    <w:multiLevelType w:val="hybridMultilevel"/>
    <w:tmpl w:val="FEC20496"/>
    <w:lvl w:ilvl="0" w:tplc="0409000B">
      <w:start w:val="1"/>
      <w:numFmt w:val="bullet"/>
      <w:lvlText w:val=""/>
      <w:lvlJc w:val="left"/>
      <w:pPr>
        <w:ind w:left="1485" w:hanging="360"/>
      </w:pPr>
      <w:rPr>
        <w:rFonts w:ascii="Wingdings" w:hAnsi="Wingdings"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59" w15:restartNumberingAfterBreak="0">
    <w:nsid w:val="6A4538C7"/>
    <w:multiLevelType w:val="hybridMultilevel"/>
    <w:tmpl w:val="D5A0DF86"/>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0" w15:restartNumberingAfterBreak="0">
    <w:nsid w:val="6A951AAC"/>
    <w:multiLevelType w:val="hybridMultilevel"/>
    <w:tmpl w:val="34DAECC0"/>
    <w:lvl w:ilvl="0" w:tplc="0409000D">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61" w15:restartNumberingAfterBreak="0">
    <w:nsid w:val="6BF43212"/>
    <w:multiLevelType w:val="hybridMultilevel"/>
    <w:tmpl w:val="1842230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2" w15:restartNumberingAfterBreak="0">
    <w:nsid w:val="6C250FE0"/>
    <w:multiLevelType w:val="hybridMultilevel"/>
    <w:tmpl w:val="666E1EC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3" w15:restartNumberingAfterBreak="0">
    <w:nsid w:val="6F7A6D82"/>
    <w:multiLevelType w:val="hybridMultilevel"/>
    <w:tmpl w:val="BD2608AE"/>
    <w:lvl w:ilvl="0" w:tplc="0409000B">
      <w:start w:val="1"/>
      <w:numFmt w:val="bullet"/>
      <w:lvlText w:val=""/>
      <w:lvlJc w:val="left"/>
      <w:pPr>
        <w:ind w:left="2400" w:hanging="360"/>
      </w:pPr>
      <w:rPr>
        <w:rFonts w:ascii="Wingdings" w:hAnsi="Wingdings" w:hint="default"/>
      </w:rPr>
    </w:lvl>
    <w:lvl w:ilvl="1" w:tplc="04090003" w:tentative="1">
      <w:start w:val="1"/>
      <w:numFmt w:val="bullet"/>
      <w:lvlText w:val="o"/>
      <w:lvlJc w:val="left"/>
      <w:pPr>
        <w:ind w:left="3120" w:hanging="360"/>
      </w:pPr>
      <w:rPr>
        <w:rFonts w:ascii="Courier New" w:hAnsi="Courier New" w:cs="Courier New" w:hint="default"/>
      </w:rPr>
    </w:lvl>
    <w:lvl w:ilvl="2" w:tplc="04090005" w:tentative="1">
      <w:start w:val="1"/>
      <w:numFmt w:val="bullet"/>
      <w:lvlText w:val=""/>
      <w:lvlJc w:val="left"/>
      <w:pPr>
        <w:ind w:left="3840" w:hanging="360"/>
      </w:pPr>
      <w:rPr>
        <w:rFonts w:ascii="Wingdings" w:hAnsi="Wingdings" w:hint="default"/>
      </w:rPr>
    </w:lvl>
    <w:lvl w:ilvl="3" w:tplc="04090001" w:tentative="1">
      <w:start w:val="1"/>
      <w:numFmt w:val="bullet"/>
      <w:lvlText w:val=""/>
      <w:lvlJc w:val="left"/>
      <w:pPr>
        <w:ind w:left="4560" w:hanging="360"/>
      </w:pPr>
      <w:rPr>
        <w:rFonts w:ascii="Symbol" w:hAnsi="Symbol" w:hint="default"/>
      </w:rPr>
    </w:lvl>
    <w:lvl w:ilvl="4" w:tplc="04090003" w:tentative="1">
      <w:start w:val="1"/>
      <w:numFmt w:val="bullet"/>
      <w:lvlText w:val="o"/>
      <w:lvlJc w:val="left"/>
      <w:pPr>
        <w:ind w:left="5280" w:hanging="360"/>
      </w:pPr>
      <w:rPr>
        <w:rFonts w:ascii="Courier New" w:hAnsi="Courier New" w:cs="Courier New" w:hint="default"/>
      </w:rPr>
    </w:lvl>
    <w:lvl w:ilvl="5" w:tplc="04090005" w:tentative="1">
      <w:start w:val="1"/>
      <w:numFmt w:val="bullet"/>
      <w:lvlText w:val=""/>
      <w:lvlJc w:val="left"/>
      <w:pPr>
        <w:ind w:left="6000" w:hanging="360"/>
      </w:pPr>
      <w:rPr>
        <w:rFonts w:ascii="Wingdings" w:hAnsi="Wingdings" w:hint="default"/>
      </w:rPr>
    </w:lvl>
    <w:lvl w:ilvl="6" w:tplc="04090001" w:tentative="1">
      <w:start w:val="1"/>
      <w:numFmt w:val="bullet"/>
      <w:lvlText w:val=""/>
      <w:lvlJc w:val="left"/>
      <w:pPr>
        <w:ind w:left="6720" w:hanging="360"/>
      </w:pPr>
      <w:rPr>
        <w:rFonts w:ascii="Symbol" w:hAnsi="Symbol" w:hint="default"/>
      </w:rPr>
    </w:lvl>
    <w:lvl w:ilvl="7" w:tplc="04090003" w:tentative="1">
      <w:start w:val="1"/>
      <w:numFmt w:val="bullet"/>
      <w:lvlText w:val="o"/>
      <w:lvlJc w:val="left"/>
      <w:pPr>
        <w:ind w:left="7440" w:hanging="360"/>
      </w:pPr>
      <w:rPr>
        <w:rFonts w:ascii="Courier New" w:hAnsi="Courier New" w:cs="Courier New" w:hint="default"/>
      </w:rPr>
    </w:lvl>
    <w:lvl w:ilvl="8" w:tplc="04090005" w:tentative="1">
      <w:start w:val="1"/>
      <w:numFmt w:val="bullet"/>
      <w:lvlText w:val=""/>
      <w:lvlJc w:val="left"/>
      <w:pPr>
        <w:ind w:left="8160" w:hanging="360"/>
      </w:pPr>
      <w:rPr>
        <w:rFonts w:ascii="Wingdings" w:hAnsi="Wingdings" w:hint="default"/>
      </w:rPr>
    </w:lvl>
  </w:abstractNum>
  <w:abstractNum w:abstractNumId="64" w15:restartNumberingAfterBreak="0">
    <w:nsid w:val="70640E23"/>
    <w:multiLevelType w:val="hybridMultilevel"/>
    <w:tmpl w:val="44D29A7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5" w15:restartNumberingAfterBreak="0">
    <w:nsid w:val="71174A27"/>
    <w:multiLevelType w:val="hybridMultilevel"/>
    <w:tmpl w:val="F8D6DD32"/>
    <w:lvl w:ilvl="0" w:tplc="04090001">
      <w:start w:val="1"/>
      <w:numFmt w:val="bullet"/>
      <w:lvlText w:val=""/>
      <w:lvlJc w:val="left"/>
      <w:pPr>
        <w:ind w:left="975" w:hanging="360"/>
      </w:pPr>
      <w:rPr>
        <w:rFonts w:ascii="Symbol" w:hAnsi="Symbol" w:hint="default"/>
      </w:rPr>
    </w:lvl>
    <w:lvl w:ilvl="1" w:tplc="04090003" w:tentative="1">
      <w:start w:val="1"/>
      <w:numFmt w:val="bullet"/>
      <w:lvlText w:val="o"/>
      <w:lvlJc w:val="left"/>
      <w:pPr>
        <w:ind w:left="1695" w:hanging="360"/>
      </w:pPr>
      <w:rPr>
        <w:rFonts w:ascii="Courier New" w:hAnsi="Courier New" w:cs="Courier New" w:hint="default"/>
      </w:rPr>
    </w:lvl>
    <w:lvl w:ilvl="2" w:tplc="04090005" w:tentative="1">
      <w:start w:val="1"/>
      <w:numFmt w:val="bullet"/>
      <w:lvlText w:val=""/>
      <w:lvlJc w:val="left"/>
      <w:pPr>
        <w:ind w:left="2415" w:hanging="360"/>
      </w:pPr>
      <w:rPr>
        <w:rFonts w:ascii="Wingdings" w:hAnsi="Wingdings" w:hint="default"/>
      </w:rPr>
    </w:lvl>
    <w:lvl w:ilvl="3" w:tplc="04090001" w:tentative="1">
      <w:start w:val="1"/>
      <w:numFmt w:val="bullet"/>
      <w:lvlText w:val=""/>
      <w:lvlJc w:val="left"/>
      <w:pPr>
        <w:ind w:left="3135" w:hanging="360"/>
      </w:pPr>
      <w:rPr>
        <w:rFonts w:ascii="Symbol" w:hAnsi="Symbol" w:hint="default"/>
      </w:rPr>
    </w:lvl>
    <w:lvl w:ilvl="4" w:tplc="04090003" w:tentative="1">
      <w:start w:val="1"/>
      <w:numFmt w:val="bullet"/>
      <w:lvlText w:val="o"/>
      <w:lvlJc w:val="left"/>
      <w:pPr>
        <w:ind w:left="3855" w:hanging="360"/>
      </w:pPr>
      <w:rPr>
        <w:rFonts w:ascii="Courier New" w:hAnsi="Courier New" w:cs="Courier New" w:hint="default"/>
      </w:rPr>
    </w:lvl>
    <w:lvl w:ilvl="5" w:tplc="04090005" w:tentative="1">
      <w:start w:val="1"/>
      <w:numFmt w:val="bullet"/>
      <w:lvlText w:val=""/>
      <w:lvlJc w:val="left"/>
      <w:pPr>
        <w:ind w:left="4575" w:hanging="360"/>
      </w:pPr>
      <w:rPr>
        <w:rFonts w:ascii="Wingdings" w:hAnsi="Wingdings" w:hint="default"/>
      </w:rPr>
    </w:lvl>
    <w:lvl w:ilvl="6" w:tplc="04090001" w:tentative="1">
      <w:start w:val="1"/>
      <w:numFmt w:val="bullet"/>
      <w:lvlText w:val=""/>
      <w:lvlJc w:val="left"/>
      <w:pPr>
        <w:ind w:left="5295" w:hanging="360"/>
      </w:pPr>
      <w:rPr>
        <w:rFonts w:ascii="Symbol" w:hAnsi="Symbol" w:hint="default"/>
      </w:rPr>
    </w:lvl>
    <w:lvl w:ilvl="7" w:tplc="04090003" w:tentative="1">
      <w:start w:val="1"/>
      <w:numFmt w:val="bullet"/>
      <w:lvlText w:val="o"/>
      <w:lvlJc w:val="left"/>
      <w:pPr>
        <w:ind w:left="6015" w:hanging="360"/>
      </w:pPr>
      <w:rPr>
        <w:rFonts w:ascii="Courier New" w:hAnsi="Courier New" w:cs="Courier New" w:hint="default"/>
      </w:rPr>
    </w:lvl>
    <w:lvl w:ilvl="8" w:tplc="04090005" w:tentative="1">
      <w:start w:val="1"/>
      <w:numFmt w:val="bullet"/>
      <w:lvlText w:val=""/>
      <w:lvlJc w:val="left"/>
      <w:pPr>
        <w:ind w:left="6735" w:hanging="360"/>
      </w:pPr>
      <w:rPr>
        <w:rFonts w:ascii="Wingdings" w:hAnsi="Wingdings" w:hint="default"/>
      </w:rPr>
    </w:lvl>
  </w:abstractNum>
  <w:abstractNum w:abstractNumId="66" w15:restartNumberingAfterBreak="0">
    <w:nsid w:val="73A26725"/>
    <w:multiLevelType w:val="hybridMultilevel"/>
    <w:tmpl w:val="869CAD4E"/>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67" w15:restartNumberingAfterBreak="0">
    <w:nsid w:val="74216073"/>
    <w:multiLevelType w:val="hybridMultilevel"/>
    <w:tmpl w:val="D9E24FB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15:restartNumberingAfterBreak="0">
    <w:nsid w:val="7B000E35"/>
    <w:multiLevelType w:val="hybridMultilevel"/>
    <w:tmpl w:val="5D2AA22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7B6C2718"/>
    <w:multiLevelType w:val="hybridMultilevel"/>
    <w:tmpl w:val="DF008E8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7BE0243B"/>
    <w:multiLevelType w:val="hybridMultilevel"/>
    <w:tmpl w:val="49B2A2F4"/>
    <w:lvl w:ilvl="0" w:tplc="0409000B">
      <w:start w:val="1"/>
      <w:numFmt w:val="bullet"/>
      <w:lvlText w:val=""/>
      <w:lvlJc w:val="left"/>
      <w:pPr>
        <w:ind w:left="1200" w:hanging="360"/>
      </w:pPr>
      <w:rPr>
        <w:rFonts w:ascii="Wingdings" w:hAnsi="Wingdings"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71" w15:restartNumberingAfterBreak="0">
    <w:nsid w:val="7CB15C84"/>
    <w:multiLevelType w:val="hybridMultilevel"/>
    <w:tmpl w:val="07DE31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CEC4FDE"/>
    <w:multiLevelType w:val="hybridMultilevel"/>
    <w:tmpl w:val="5BCAE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4"/>
  </w:num>
  <w:num w:numId="3">
    <w:abstractNumId w:val="64"/>
  </w:num>
  <w:num w:numId="4">
    <w:abstractNumId w:val="71"/>
  </w:num>
  <w:num w:numId="5">
    <w:abstractNumId w:val="2"/>
  </w:num>
  <w:num w:numId="6">
    <w:abstractNumId w:val="30"/>
  </w:num>
  <w:num w:numId="7">
    <w:abstractNumId w:val="38"/>
  </w:num>
  <w:num w:numId="8">
    <w:abstractNumId w:val="17"/>
  </w:num>
  <w:num w:numId="9">
    <w:abstractNumId w:val="25"/>
  </w:num>
  <w:num w:numId="10">
    <w:abstractNumId w:val="57"/>
  </w:num>
  <w:num w:numId="11">
    <w:abstractNumId w:val="10"/>
  </w:num>
  <w:num w:numId="12">
    <w:abstractNumId w:val="19"/>
  </w:num>
  <w:num w:numId="13">
    <w:abstractNumId w:val="40"/>
  </w:num>
  <w:num w:numId="14">
    <w:abstractNumId w:val="18"/>
  </w:num>
  <w:num w:numId="15">
    <w:abstractNumId w:val="65"/>
  </w:num>
  <w:num w:numId="16">
    <w:abstractNumId w:val="41"/>
  </w:num>
  <w:num w:numId="17">
    <w:abstractNumId w:val="72"/>
  </w:num>
  <w:num w:numId="18">
    <w:abstractNumId w:val="50"/>
  </w:num>
  <w:num w:numId="19">
    <w:abstractNumId w:val="46"/>
  </w:num>
  <w:num w:numId="20">
    <w:abstractNumId w:val="67"/>
  </w:num>
  <w:num w:numId="21">
    <w:abstractNumId w:val="37"/>
  </w:num>
  <w:num w:numId="22">
    <w:abstractNumId w:val="58"/>
  </w:num>
  <w:num w:numId="23">
    <w:abstractNumId w:val="52"/>
  </w:num>
  <w:num w:numId="24">
    <w:abstractNumId w:val="1"/>
  </w:num>
  <w:num w:numId="25">
    <w:abstractNumId w:val="23"/>
  </w:num>
  <w:num w:numId="26">
    <w:abstractNumId w:val="59"/>
  </w:num>
  <w:num w:numId="27">
    <w:abstractNumId w:val="32"/>
  </w:num>
  <w:num w:numId="28">
    <w:abstractNumId w:val="60"/>
  </w:num>
  <w:num w:numId="29">
    <w:abstractNumId w:val="12"/>
  </w:num>
  <w:num w:numId="30">
    <w:abstractNumId w:val="29"/>
  </w:num>
  <w:num w:numId="31">
    <w:abstractNumId w:val="54"/>
  </w:num>
  <w:num w:numId="32">
    <w:abstractNumId w:val="28"/>
  </w:num>
  <w:num w:numId="33">
    <w:abstractNumId w:val="21"/>
  </w:num>
  <w:num w:numId="34">
    <w:abstractNumId w:val="42"/>
  </w:num>
  <w:num w:numId="35">
    <w:abstractNumId w:val="6"/>
  </w:num>
  <w:num w:numId="36">
    <w:abstractNumId w:val="56"/>
  </w:num>
  <w:num w:numId="37">
    <w:abstractNumId w:val="48"/>
  </w:num>
  <w:num w:numId="38">
    <w:abstractNumId w:val="22"/>
  </w:num>
  <w:num w:numId="39">
    <w:abstractNumId w:val="4"/>
  </w:num>
  <w:num w:numId="40">
    <w:abstractNumId w:val="66"/>
  </w:num>
  <w:num w:numId="41">
    <w:abstractNumId w:val="63"/>
  </w:num>
  <w:num w:numId="42">
    <w:abstractNumId w:val="51"/>
  </w:num>
  <w:num w:numId="43">
    <w:abstractNumId w:val="45"/>
  </w:num>
  <w:num w:numId="44">
    <w:abstractNumId w:val="14"/>
  </w:num>
  <w:num w:numId="45">
    <w:abstractNumId w:val="26"/>
  </w:num>
  <w:num w:numId="46">
    <w:abstractNumId w:val="49"/>
  </w:num>
  <w:num w:numId="47">
    <w:abstractNumId w:val="13"/>
  </w:num>
  <w:num w:numId="48">
    <w:abstractNumId w:val="62"/>
  </w:num>
  <w:num w:numId="49">
    <w:abstractNumId w:val="33"/>
  </w:num>
  <w:num w:numId="50">
    <w:abstractNumId w:val="61"/>
  </w:num>
  <w:num w:numId="51">
    <w:abstractNumId w:val="70"/>
  </w:num>
  <w:num w:numId="52">
    <w:abstractNumId w:val="55"/>
  </w:num>
  <w:num w:numId="53">
    <w:abstractNumId w:val="39"/>
  </w:num>
  <w:num w:numId="54">
    <w:abstractNumId w:val="36"/>
  </w:num>
  <w:num w:numId="55">
    <w:abstractNumId w:val="44"/>
  </w:num>
  <w:num w:numId="56">
    <w:abstractNumId w:val="34"/>
  </w:num>
  <w:num w:numId="57">
    <w:abstractNumId w:val="0"/>
  </w:num>
  <w:num w:numId="58">
    <w:abstractNumId w:val="7"/>
  </w:num>
  <w:num w:numId="59">
    <w:abstractNumId w:val="3"/>
  </w:num>
  <w:num w:numId="60">
    <w:abstractNumId w:val="8"/>
  </w:num>
  <w:num w:numId="61">
    <w:abstractNumId w:val="27"/>
  </w:num>
  <w:num w:numId="62">
    <w:abstractNumId w:val="5"/>
  </w:num>
  <w:num w:numId="63">
    <w:abstractNumId w:val="53"/>
  </w:num>
  <w:num w:numId="64">
    <w:abstractNumId w:val="9"/>
  </w:num>
  <w:num w:numId="65">
    <w:abstractNumId w:val="31"/>
  </w:num>
  <w:num w:numId="66">
    <w:abstractNumId w:val="43"/>
  </w:num>
  <w:num w:numId="67">
    <w:abstractNumId w:val="16"/>
  </w:num>
  <w:num w:numId="68">
    <w:abstractNumId w:val="35"/>
  </w:num>
  <w:num w:numId="69">
    <w:abstractNumId w:val="68"/>
  </w:num>
  <w:num w:numId="70">
    <w:abstractNumId w:val="11"/>
  </w:num>
  <w:num w:numId="71">
    <w:abstractNumId w:val="47"/>
  </w:num>
  <w:num w:numId="72">
    <w:abstractNumId w:val="69"/>
  </w:num>
  <w:num w:numId="73">
    <w:abstractNumId w:val="2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36B"/>
    <w:rsid w:val="00017862"/>
    <w:rsid w:val="00030F9A"/>
    <w:rsid w:val="0003498B"/>
    <w:rsid w:val="000416F9"/>
    <w:rsid w:val="000570BC"/>
    <w:rsid w:val="00094630"/>
    <w:rsid w:val="000B19D2"/>
    <w:rsid w:val="000D0FB8"/>
    <w:rsid w:val="000F4996"/>
    <w:rsid w:val="0010584B"/>
    <w:rsid w:val="0012057C"/>
    <w:rsid w:val="0012123F"/>
    <w:rsid w:val="00122D9B"/>
    <w:rsid w:val="00161080"/>
    <w:rsid w:val="001633F2"/>
    <w:rsid w:val="00176228"/>
    <w:rsid w:val="00187C77"/>
    <w:rsid w:val="00190951"/>
    <w:rsid w:val="001B599F"/>
    <w:rsid w:val="001D1542"/>
    <w:rsid w:val="001D5609"/>
    <w:rsid w:val="001F1AF0"/>
    <w:rsid w:val="002007F7"/>
    <w:rsid w:val="00202EEA"/>
    <w:rsid w:val="0020334F"/>
    <w:rsid w:val="002174AD"/>
    <w:rsid w:val="002337F1"/>
    <w:rsid w:val="00240253"/>
    <w:rsid w:val="002604ED"/>
    <w:rsid w:val="0026504D"/>
    <w:rsid w:val="00282C42"/>
    <w:rsid w:val="00283BB2"/>
    <w:rsid w:val="00284E47"/>
    <w:rsid w:val="00287361"/>
    <w:rsid w:val="00294BAD"/>
    <w:rsid w:val="00296839"/>
    <w:rsid w:val="00303692"/>
    <w:rsid w:val="00314F29"/>
    <w:rsid w:val="003257B9"/>
    <w:rsid w:val="003349E0"/>
    <w:rsid w:val="003426DA"/>
    <w:rsid w:val="00345EFC"/>
    <w:rsid w:val="00351DAB"/>
    <w:rsid w:val="00363608"/>
    <w:rsid w:val="00382D4B"/>
    <w:rsid w:val="003A0898"/>
    <w:rsid w:val="003A1B1C"/>
    <w:rsid w:val="003C41CB"/>
    <w:rsid w:val="003D5E9A"/>
    <w:rsid w:val="0040649A"/>
    <w:rsid w:val="00450202"/>
    <w:rsid w:val="00451A5E"/>
    <w:rsid w:val="0046213E"/>
    <w:rsid w:val="00482187"/>
    <w:rsid w:val="004A0FA3"/>
    <w:rsid w:val="004B63D2"/>
    <w:rsid w:val="004C1896"/>
    <w:rsid w:val="00507E7C"/>
    <w:rsid w:val="00545330"/>
    <w:rsid w:val="00572E2A"/>
    <w:rsid w:val="00583DDE"/>
    <w:rsid w:val="0059088D"/>
    <w:rsid w:val="005D6DA4"/>
    <w:rsid w:val="005E2170"/>
    <w:rsid w:val="005F6537"/>
    <w:rsid w:val="005F784C"/>
    <w:rsid w:val="00652F94"/>
    <w:rsid w:val="00661571"/>
    <w:rsid w:val="00665959"/>
    <w:rsid w:val="00667376"/>
    <w:rsid w:val="00671992"/>
    <w:rsid w:val="00673245"/>
    <w:rsid w:val="00695308"/>
    <w:rsid w:val="006968F1"/>
    <w:rsid w:val="006B6191"/>
    <w:rsid w:val="006B644F"/>
    <w:rsid w:val="006E5933"/>
    <w:rsid w:val="006F5E70"/>
    <w:rsid w:val="007002F0"/>
    <w:rsid w:val="00702FB7"/>
    <w:rsid w:val="0071423C"/>
    <w:rsid w:val="00733CDB"/>
    <w:rsid w:val="00743062"/>
    <w:rsid w:val="0077047C"/>
    <w:rsid w:val="00770730"/>
    <w:rsid w:val="007708F6"/>
    <w:rsid w:val="007745B3"/>
    <w:rsid w:val="00776275"/>
    <w:rsid w:val="00777942"/>
    <w:rsid w:val="007A086D"/>
    <w:rsid w:val="007A6DEC"/>
    <w:rsid w:val="007C25F4"/>
    <w:rsid w:val="007C662A"/>
    <w:rsid w:val="007D1532"/>
    <w:rsid w:val="007F7D09"/>
    <w:rsid w:val="0080429E"/>
    <w:rsid w:val="008231EE"/>
    <w:rsid w:val="008330EA"/>
    <w:rsid w:val="008363C7"/>
    <w:rsid w:val="00841B17"/>
    <w:rsid w:val="00871C31"/>
    <w:rsid w:val="008728CE"/>
    <w:rsid w:val="0089399E"/>
    <w:rsid w:val="008A09C3"/>
    <w:rsid w:val="008A1029"/>
    <w:rsid w:val="008A27A4"/>
    <w:rsid w:val="008A3388"/>
    <w:rsid w:val="008A78D9"/>
    <w:rsid w:val="008B0BC6"/>
    <w:rsid w:val="008C6C6A"/>
    <w:rsid w:val="008E1992"/>
    <w:rsid w:val="008E7ACE"/>
    <w:rsid w:val="008F1EA3"/>
    <w:rsid w:val="008F6A64"/>
    <w:rsid w:val="00900642"/>
    <w:rsid w:val="009106AC"/>
    <w:rsid w:val="00922E2D"/>
    <w:rsid w:val="00925727"/>
    <w:rsid w:val="00950F72"/>
    <w:rsid w:val="009529E8"/>
    <w:rsid w:val="00956FBC"/>
    <w:rsid w:val="00967616"/>
    <w:rsid w:val="00975C62"/>
    <w:rsid w:val="0098173A"/>
    <w:rsid w:val="009916E9"/>
    <w:rsid w:val="00995D82"/>
    <w:rsid w:val="009975EC"/>
    <w:rsid w:val="009A7E46"/>
    <w:rsid w:val="009C3160"/>
    <w:rsid w:val="009E3CFE"/>
    <w:rsid w:val="00A04411"/>
    <w:rsid w:val="00A265B5"/>
    <w:rsid w:val="00A30294"/>
    <w:rsid w:val="00A3176D"/>
    <w:rsid w:val="00A45E0C"/>
    <w:rsid w:val="00A67A2C"/>
    <w:rsid w:val="00A8018B"/>
    <w:rsid w:val="00A84A5A"/>
    <w:rsid w:val="00A95E31"/>
    <w:rsid w:val="00AA3AFF"/>
    <w:rsid w:val="00AA7B3C"/>
    <w:rsid w:val="00AB4274"/>
    <w:rsid w:val="00AC7676"/>
    <w:rsid w:val="00AD6F5B"/>
    <w:rsid w:val="00AF6512"/>
    <w:rsid w:val="00B071CA"/>
    <w:rsid w:val="00B14A03"/>
    <w:rsid w:val="00B40926"/>
    <w:rsid w:val="00B53915"/>
    <w:rsid w:val="00B7036B"/>
    <w:rsid w:val="00B95A55"/>
    <w:rsid w:val="00B95D80"/>
    <w:rsid w:val="00BA353C"/>
    <w:rsid w:val="00BA4924"/>
    <w:rsid w:val="00BA4C92"/>
    <w:rsid w:val="00BC5852"/>
    <w:rsid w:val="00BC6B70"/>
    <w:rsid w:val="00BD6B2C"/>
    <w:rsid w:val="00C132CF"/>
    <w:rsid w:val="00C24369"/>
    <w:rsid w:val="00C246AD"/>
    <w:rsid w:val="00C3512A"/>
    <w:rsid w:val="00C43B75"/>
    <w:rsid w:val="00C52246"/>
    <w:rsid w:val="00C53208"/>
    <w:rsid w:val="00CA5333"/>
    <w:rsid w:val="00CC27EA"/>
    <w:rsid w:val="00CC6E5C"/>
    <w:rsid w:val="00CD3A69"/>
    <w:rsid w:val="00CF72A0"/>
    <w:rsid w:val="00D0705C"/>
    <w:rsid w:val="00D20D02"/>
    <w:rsid w:val="00D22C1B"/>
    <w:rsid w:val="00D4619E"/>
    <w:rsid w:val="00D5770E"/>
    <w:rsid w:val="00D66CFF"/>
    <w:rsid w:val="00D839D3"/>
    <w:rsid w:val="00DB0206"/>
    <w:rsid w:val="00DB5B7B"/>
    <w:rsid w:val="00DC3E22"/>
    <w:rsid w:val="00DD7093"/>
    <w:rsid w:val="00DE0152"/>
    <w:rsid w:val="00E0069B"/>
    <w:rsid w:val="00E15975"/>
    <w:rsid w:val="00E23FD6"/>
    <w:rsid w:val="00E27BD3"/>
    <w:rsid w:val="00E34365"/>
    <w:rsid w:val="00E40B61"/>
    <w:rsid w:val="00E43508"/>
    <w:rsid w:val="00E52C57"/>
    <w:rsid w:val="00E5423F"/>
    <w:rsid w:val="00E7367B"/>
    <w:rsid w:val="00E802B6"/>
    <w:rsid w:val="00E84C25"/>
    <w:rsid w:val="00E87D30"/>
    <w:rsid w:val="00ED0B70"/>
    <w:rsid w:val="00F15790"/>
    <w:rsid w:val="00F16ABE"/>
    <w:rsid w:val="00F2029A"/>
    <w:rsid w:val="00F3595D"/>
    <w:rsid w:val="00F40231"/>
    <w:rsid w:val="00F40C1B"/>
    <w:rsid w:val="00F50D56"/>
    <w:rsid w:val="00F53854"/>
    <w:rsid w:val="00F540A4"/>
    <w:rsid w:val="00F809F2"/>
    <w:rsid w:val="00FC437B"/>
    <w:rsid w:val="00FD29D0"/>
    <w:rsid w:val="00FE6A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C9DD2"/>
  <w15:chartTrackingRefBased/>
  <w15:docId w15:val="{9353533E-AF37-48B1-86F5-48E040189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B7036B"/>
    <w:pPr>
      <w:spacing w:after="0" w:line="240" w:lineRule="auto"/>
    </w:pPr>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703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23FD6"/>
    <w:pPr>
      <w:ind w:left="720"/>
      <w:contextualSpacing/>
    </w:pPr>
  </w:style>
  <w:style w:type="paragraph" w:styleId="NormalWeb">
    <w:name w:val="Normal (Web)"/>
    <w:basedOn w:val="Normal"/>
    <w:uiPriority w:val="99"/>
    <w:semiHidden/>
    <w:unhideWhenUsed/>
    <w:rsid w:val="001D154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1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6ABE"/>
    <w:rPr>
      <w:rFonts w:ascii="Segoe UI" w:hAnsi="Segoe UI" w:cs="Segoe UI"/>
      <w:sz w:val="18"/>
      <w:szCs w:val="18"/>
    </w:rPr>
  </w:style>
  <w:style w:type="paragraph" w:styleId="FootnoteText">
    <w:name w:val="footnote text"/>
    <w:basedOn w:val="Normal"/>
    <w:link w:val="FootnoteTextChar"/>
    <w:uiPriority w:val="99"/>
    <w:semiHidden/>
    <w:unhideWhenUsed/>
    <w:rsid w:val="008C6C6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6C6A"/>
    <w:rPr>
      <w:sz w:val="20"/>
      <w:szCs w:val="20"/>
    </w:rPr>
  </w:style>
  <w:style w:type="character" w:styleId="FootnoteReference">
    <w:name w:val="footnote reference"/>
    <w:basedOn w:val="DefaultParagraphFont"/>
    <w:uiPriority w:val="99"/>
    <w:semiHidden/>
    <w:unhideWhenUsed/>
    <w:rsid w:val="008C6C6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226588">
      <w:bodyDiv w:val="1"/>
      <w:marLeft w:val="0"/>
      <w:marRight w:val="0"/>
      <w:marTop w:val="0"/>
      <w:marBottom w:val="0"/>
      <w:divBdr>
        <w:top w:val="none" w:sz="0" w:space="0" w:color="auto"/>
        <w:left w:val="none" w:sz="0" w:space="0" w:color="auto"/>
        <w:bottom w:val="none" w:sz="0" w:space="0" w:color="auto"/>
        <w:right w:val="none" w:sz="0" w:space="0" w:color="auto"/>
      </w:divBdr>
    </w:div>
    <w:div w:id="355162423">
      <w:bodyDiv w:val="1"/>
      <w:marLeft w:val="0"/>
      <w:marRight w:val="0"/>
      <w:marTop w:val="0"/>
      <w:marBottom w:val="0"/>
      <w:divBdr>
        <w:top w:val="none" w:sz="0" w:space="0" w:color="auto"/>
        <w:left w:val="none" w:sz="0" w:space="0" w:color="auto"/>
        <w:bottom w:val="none" w:sz="0" w:space="0" w:color="auto"/>
        <w:right w:val="none" w:sz="0" w:space="0" w:color="auto"/>
      </w:divBdr>
    </w:div>
    <w:div w:id="450706991">
      <w:bodyDiv w:val="1"/>
      <w:marLeft w:val="0"/>
      <w:marRight w:val="0"/>
      <w:marTop w:val="0"/>
      <w:marBottom w:val="0"/>
      <w:divBdr>
        <w:top w:val="none" w:sz="0" w:space="0" w:color="auto"/>
        <w:left w:val="none" w:sz="0" w:space="0" w:color="auto"/>
        <w:bottom w:val="none" w:sz="0" w:space="0" w:color="auto"/>
        <w:right w:val="none" w:sz="0" w:space="0" w:color="auto"/>
      </w:divBdr>
      <w:divsChild>
        <w:div w:id="1170868555">
          <w:marLeft w:val="547"/>
          <w:marRight w:val="0"/>
          <w:marTop w:val="154"/>
          <w:marBottom w:val="0"/>
          <w:divBdr>
            <w:top w:val="none" w:sz="0" w:space="0" w:color="auto"/>
            <w:left w:val="none" w:sz="0" w:space="0" w:color="auto"/>
            <w:bottom w:val="none" w:sz="0" w:space="0" w:color="auto"/>
            <w:right w:val="none" w:sz="0" w:space="0" w:color="auto"/>
          </w:divBdr>
        </w:div>
        <w:div w:id="1097218157">
          <w:marLeft w:val="547"/>
          <w:marRight w:val="0"/>
          <w:marTop w:val="154"/>
          <w:marBottom w:val="0"/>
          <w:divBdr>
            <w:top w:val="none" w:sz="0" w:space="0" w:color="auto"/>
            <w:left w:val="none" w:sz="0" w:space="0" w:color="auto"/>
            <w:bottom w:val="none" w:sz="0" w:space="0" w:color="auto"/>
            <w:right w:val="none" w:sz="0" w:space="0" w:color="auto"/>
          </w:divBdr>
        </w:div>
        <w:div w:id="711030423">
          <w:marLeft w:val="547"/>
          <w:marRight w:val="0"/>
          <w:marTop w:val="154"/>
          <w:marBottom w:val="0"/>
          <w:divBdr>
            <w:top w:val="none" w:sz="0" w:space="0" w:color="auto"/>
            <w:left w:val="none" w:sz="0" w:space="0" w:color="auto"/>
            <w:bottom w:val="none" w:sz="0" w:space="0" w:color="auto"/>
            <w:right w:val="none" w:sz="0" w:space="0" w:color="auto"/>
          </w:divBdr>
        </w:div>
      </w:divsChild>
    </w:div>
    <w:div w:id="986514853">
      <w:bodyDiv w:val="1"/>
      <w:marLeft w:val="0"/>
      <w:marRight w:val="0"/>
      <w:marTop w:val="0"/>
      <w:marBottom w:val="0"/>
      <w:divBdr>
        <w:top w:val="none" w:sz="0" w:space="0" w:color="auto"/>
        <w:left w:val="none" w:sz="0" w:space="0" w:color="auto"/>
        <w:bottom w:val="none" w:sz="0" w:space="0" w:color="auto"/>
        <w:right w:val="none" w:sz="0" w:space="0" w:color="auto"/>
      </w:divBdr>
    </w:div>
    <w:div w:id="1584338004">
      <w:bodyDiv w:val="1"/>
      <w:marLeft w:val="0"/>
      <w:marRight w:val="0"/>
      <w:marTop w:val="0"/>
      <w:marBottom w:val="0"/>
      <w:divBdr>
        <w:top w:val="none" w:sz="0" w:space="0" w:color="auto"/>
        <w:left w:val="none" w:sz="0" w:space="0" w:color="auto"/>
        <w:bottom w:val="none" w:sz="0" w:space="0" w:color="auto"/>
        <w:right w:val="none" w:sz="0" w:space="0" w:color="auto"/>
      </w:divBdr>
      <w:divsChild>
        <w:div w:id="1968461536">
          <w:marLeft w:val="446"/>
          <w:marRight w:val="0"/>
          <w:marTop w:val="0"/>
          <w:marBottom w:val="0"/>
          <w:divBdr>
            <w:top w:val="none" w:sz="0" w:space="0" w:color="auto"/>
            <w:left w:val="none" w:sz="0" w:space="0" w:color="auto"/>
            <w:bottom w:val="none" w:sz="0" w:space="0" w:color="auto"/>
            <w:right w:val="none" w:sz="0" w:space="0" w:color="auto"/>
          </w:divBdr>
        </w:div>
      </w:divsChild>
    </w:div>
    <w:div w:id="1640768695">
      <w:bodyDiv w:val="1"/>
      <w:marLeft w:val="0"/>
      <w:marRight w:val="0"/>
      <w:marTop w:val="0"/>
      <w:marBottom w:val="0"/>
      <w:divBdr>
        <w:top w:val="none" w:sz="0" w:space="0" w:color="auto"/>
        <w:left w:val="none" w:sz="0" w:space="0" w:color="auto"/>
        <w:bottom w:val="none" w:sz="0" w:space="0" w:color="auto"/>
        <w:right w:val="none" w:sz="0" w:space="0" w:color="auto"/>
      </w:divBdr>
      <w:divsChild>
        <w:div w:id="1617174990">
          <w:marLeft w:val="274"/>
          <w:marRight w:val="0"/>
          <w:marTop w:val="150"/>
          <w:marBottom w:val="0"/>
          <w:divBdr>
            <w:top w:val="none" w:sz="0" w:space="0" w:color="auto"/>
            <w:left w:val="none" w:sz="0" w:space="0" w:color="auto"/>
            <w:bottom w:val="none" w:sz="0" w:space="0" w:color="auto"/>
            <w:right w:val="none" w:sz="0" w:space="0" w:color="auto"/>
          </w:divBdr>
        </w:div>
      </w:divsChild>
    </w:div>
    <w:div w:id="1732263561">
      <w:bodyDiv w:val="1"/>
      <w:marLeft w:val="0"/>
      <w:marRight w:val="0"/>
      <w:marTop w:val="0"/>
      <w:marBottom w:val="0"/>
      <w:divBdr>
        <w:top w:val="none" w:sz="0" w:space="0" w:color="auto"/>
        <w:left w:val="none" w:sz="0" w:space="0" w:color="auto"/>
        <w:bottom w:val="none" w:sz="0" w:space="0" w:color="auto"/>
        <w:right w:val="none" w:sz="0" w:space="0" w:color="auto"/>
      </w:divBdr>
      <w:divsChild>
        <w:div w:id="2078626784">
          <w:marLeft w:val="547"/>
          <w:marRight w:val="0"/>
          <w:marTop w:val="110"/>
          <w:marBottom w:val="0"/>
          <w:divBdr>
            <w:top w:val="none" w:sz="0" w:space="0" w:color="auto"/>
            <w:left w:val="none" w:sz="0" w:space="0" w:color="auto"/>
            <w:bottom w:val="none" w:sz="0" w:space="0" w:color="auto"/>
            <w:right w:val="none" w:sz="0" w:space="0" w:color="auto"/>
          </w:divBdr>
        </w:div>
      </w:divsChild>
    </w:div>
    <w:div w:id="1742292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509AAB-004A-40DF-88BF-99D87740C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10842</Words>
  <Characters>61805</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selina yamout</dc:creator>
  <cp:keywords/>
  <dc:description/>
  <cp:lastModifiedBy>selina yamout</cp:lastModifiedBy>
  <cp:revision>2</cp:revision>
  <dcterms:created xsi:type="dcterms:W3CDTF">2020-01-21T11:29:00Z</dcterms:created>
  <dcterms:modified xsi:type="dcterms:W3CDTF">2020-01-21T11:29:00Z</dcterms:modified>
</cp:coreProperties>
</file>