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45"/>
        <w:gridCol w:w="5505"/>
        <w:tblGridChange w:id="0">
          <w:tblGrid>
            <w:gridCol w:w="7845"/>
            <w:gridCol w:w="5505"/>
          </w:tblGrid>
        </w:tblGridChange>
      </w:tblGrid>
      <w:tr>
        <w:trPr>
          <w:trHeight w:val="380" w:hRule="atLeast"/>
        </w:trPr>
        <w:tc>
          <w:tcPr>
            <w:gridSpan w:val="2"/>
            <w:shd w:fill="434343" w:val="clear"/>
          </w:tcPr>
          <w:p w:rsidR="00000000" w:rsidDel="00000000" w:rsidP="00000000" w:rsidRDefault="00000000" w:rsidRPr="00000000" w14:paraId="00000002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Infection Prevention and Control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>
                <w:sz w:val="18"/>
                <w:szCs w:val="18"/>
                <w:highlight w:val="white"/>
              </w:rPr>
            </w:pPr>
            <w:hyperlink r:id="rId6">
              <w:r w:rsidDel="00000000" w:rsidR="00000000" w:rsidRPr="00000000">
                <w:rPr>
                  <w:sz w:val="18"/>
                  <w:szCs w:val="18"/>
                  <w:rtl w:val="0"/>
                </w:rPr>
                <w:t xml:space="preserve">Minimum requirements for infection prevention and control.Geneva: World Health Organization; 2019. Licence: CC BY-NC-SA 3.0 IGO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18"/>
                <w:szCs w:val="18"/>
                <w:highlight w:val="white"/>
              </w:rPr>
            </w:pP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https://www.who.int/infection-prevention/publications/MinReq-Manual_2019.pdf?ua=1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Operational considerations for case management of COVID-19 in health facility and community Interim guidance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https://apps.who.int/iris/bitstream/handle/10665/331492/WHO-2019-nCoV-HCF_operations-2020.1-eng.pdf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/>
          <w:p w:rsidR="00000000" w:rsidDel="00000000" w:rsidP="00000000" w:rsidRDefault="00000000" w:rsidRPr="00000000" w14:paraId="00000008">
            <w:pPr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 CDAC also has a specific COVID 19 resource portal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18"/>
                <w:szCs w:val="18"/>
                <w:highlight w:val="white"/>
              </w:rPr>
            </w:pP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http://www.cdacnetwork.org/i/20200316224410-9m4ud/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 IASC document on preparedness and response gives an example for responses linked to the transmission level in the community (e.g. see page 6 of the guidance)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ff0000"/>
                <w:sz w:val="18"/>
                <w:szCs w:val="18"/>
                <w:highlight w:val="white"/>
              </w:rPr>
            </w:pPr>
            <w:hyperlink r:id="rId10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https://interagencystandingcommittee.org/health/interim-guidance-public-health-and-social-measures-covid-19-preparedness-and-response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The IASC Food Distribution Guidance provides practical guidance on managing distributions in the context of COVID 19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  <w:highlight w:val="white"/>
              </w:rPr>
            </w:pPr>
            <w:hyperlink r:id="rId11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https://interagencystandingcommittee.org/system/files/2020-03/Final%20Interim%20IASC%20Guidance%20on%20COVID-19%20Outbreak%20Readiness%20and%20Response%20-%20Food%20Distribution.pdf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hd w:fill="ffffff" w:val="clear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interagencystandingcommittee.org/system/files/2020-03/Final%20Interim%20IASC%20Guidance%20on%20COVID-19%20Outbreak%20Readiness%20and%20Response%20-%20Food%20Distribution.pdf" TargetMode="External"/><Relationship Id="rId10" Type="http://schemas.openxmlformats.org/officeDocument/2006/relationships/hyperlink" Target="https://interagencystandingcommittee.org/health/interim-guidance-public-health-and-social-measures-covid-19-preparedness-and-response" TargetMode="External"/><Relationship Id="rId9" Type="http://schemas.openxmlformats.org/officeDocument/2006/relationships/hyperlink" Target="http://www.cdacnetwork.org/i/20200316224410-9m4ud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ho.int/infection-prevention/publications/MinReq-Manual_2019.pdf?ua=1" TargetMode="External"/><Relationship Id="rId7" Type="http://schemas.openxmlformats.org/officeDocument/2006/relationships/hyperlink" Target="https://www.who.int/infection-prevention/publications/MinReq-Manual_2019.pdf?ua=1" TargetMode="External"/><Relationship Id="rId8" Type="http://schemas.openxmlformats.org/officeDocument/2006/relationships/hyperlink" Target="https://apps.who.int/iris/bitstream/handle/10665/331492/WHO-2019-nCoV-HCF_operations-2020.1-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