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5C" w:rsidRPr="00C37EB1" w:rsidRDefault="00C37EB1" w:rsidP="0065625C">
      <w:pPr>
        <w:pStyle w:val="Default"/>
        <w:jc w:val="center"/>
        <w:rPr>
          <w:color w:val="548DD4"/>
          <w:sz w:val="40"/>
          <w:szCs w:val="40"/>
        </w:rPr>
      </w:pPr>
      <w:bookmarkStart w:id="0" w:name="_GoBack"/>
      <w:bookmarkEnd w:id="0"/>
      <w:proofErr w:type="gramStart"/>
      <w:r w:rsidRPr="00C37EB1">
        <w:rPr>
          <w:color w:val="548DD4"/>
          <w:sz w:val="40"/>
          <w:szCs w:val="40"/>
        </w:rPr>
        <w:t>global</w:t>
      </w:r>
      <w:proofErr w:type="gramEnd"/>
      <w:r w:rsidRPr="00C37EB1">
        <w:rPr>
          <w:color w:val="548DD4"/>
          <w:sz w:val="40"/>
          <w:szCs w:val="40"/>
        </w:rPr>
        <w:t xml:space="preserve"> </w:t>
      </w:r>
      <w:r w:rsidR="0065625C" w:rsidRPr="00C37EB1">
        <w:rPr>
          <w:color w:val="548DD4"/>
          <w:sz w:val="40"/>
          <w:szCs w:val="40"/>
        </w:rPr>
        <w:t>Food Security Cluster</w:t>
      </w:r>
    </w:p>
    <w:p w:rsidR="0065625C" w:rsidRPr="00C37EB1" w:rsidRDefault="00B72114" w:rsidP="0065625C">
      <w:pPr>
        <w:pStyle w:val="Default"/>
        <w:jc w:val="center"/>
        <w:rPr>
          <w:b/>
          <w:color w:val="548DD4"/>
          <w:sz w:val="40"/>
          <w:szCs w:val="40"/>
        </w:rPr>
      </w:pPr>
      <w:r>
        <w:rPr>
          <w:b/>
          <w:color w:val="548DD4"/>
          <w:sz w:val="40"/>
          <w:szCs w:val="40"/>
        </w:rPr>
        <w:t xml:space="preserve">Inter-Cluster </w:t>
      </w:r>
      <w:r w:rsidR="005236E5">
        <w:rPr>
          <w:b/>
          <w:color w:val="548DD4"/>
          <w:sz w:val="40"/>
          <w:szCs w:val="40"/>
        </w:rPr>
        <w:t>Nutrition</w:t>
      </w:r>
      <w:r w:rsidR="002B69AE">
        <w:rPr>
          <w:b/>
          <w:color w:val="548DD4"/>
          <w:sz w:val="40"/>
          <w:szCs w:val="40"/>
        </w:rPr>
        <w:t xml:space="preserve"> Working Group</w:t>
      </w:r>
    </w:p>
    <w:p w:rsidR="0065625C" w:rsidRDefault="0065625C" w:rsidP="0065625C">
      <w:pPr>
        <w:pStyle w:val="Default"/>
        <w:jc w:val="center"/>
        <w:rPr>
          <w:color w:val="548DD4"/>
          <w:sz w:val="40"/>
          <w:szCs w:val="40"/>
        </w:rPr>
      </w:pPr>
      <w:proofErr w:type="gramStart"/>
      <w:r w:rsidRPr="002B69AE">
        <w:rPr>
          <w:color w:val="548DD4"/>
          <w:sz w:val="40"/>
          <w:szCs w:val="40"/>
        </w:rPr>
        <w:t>terms</w:t>
      </w:r>
      <w:proofErr w:type="gramEnd"/>
      <w:r w:rsidRPr="002B69AE">
        <w:rPr>
          <w:color w:val="548DD4"/>
          <w:sz w:val="40"/>
          <w:szCs w:val="40"/>
        </w:rPr>
        <w:t xml:space="preserve"> of reference</w:t>
      </w:r>
    </w:p>
    <w:p w:rsidR="00DD0526" w:rsidRPr="002B69AE" w:rsidRDefault="00DD0526" w:rsidP="0065625C">
      <w:pPr>
        <w:pStyle w:val="Default"/>
        <w:jc w:val="center"/>
        <w:rPr>
          <w:color w:val="548DD4"/>
          <w:sz w:val="40"/>
          <w:szCs w:val="40"/>
        </w:rPr>
      </w:pPr>
      <w:r>
        <w:rPr>
          <w:color w:val="548DD4"/>
          <w:sz w:val="40"/>
          <w:szCs w:val="40"/>
        </w:rPr>
        <w:t>May 2012</w:t>
      </w:r>
    </w:p>
    <w:p w:rsidR="0065625C" w:rsidRPr="00A81092" w:rsidRDefault="0065625C" w:rsidP="0065625C">
      <w:pPr>
        <w:pStyle w:val="Default"/>
      </w:pPr>
    </w:p>
    <w:p w:rsidR="00AB4830" w:rsidRDefault="00AB4830" w:rsidP="0065625C">
      <w:pPr>
        <w:autoSpaceDE w:val="0"/>
        <w:autoSpaceDN w:val="0"/>
        <w:adjustRightInd w:val="0"/>
        <w:rPr>
          <w:b/>
          <w:bCs/>
          <w:color w:val="548DD4"/>
          <w:lang w:val="en-GB"/>
        </w:rPr>
      </w:pPr>
    </w:p>
    <w:p w:rsidR="0065625C" w:rsidRPr="00A81092" w:rsidRDefault="0065625C" w:rsidP="0065625C">
      <w:pPr>
        <w:autoSpaceDE w:val="0"/>
        <w:autoSpaceDN w:val="0"/>
        <w:adjustRightInd w:val="0"/>
        <w:rPr>
          <w:color w:val="548DD4"/>
          <w:lang w:val="en-GB"/>
        </w:rPr>
      </w:pPr>
      <w:r w:rsidRPr="00A81092">
        <w:rPr>
          <w:b/>
          <w:bCs/>
          <w:color w:val="548DD4"/>
          <w:lang w:val="en-GB"/>
        </w:rPr>
        <w:t>Purpose</w:t>
      </w:r>
      <w:r w:rsidRPr="00A81092">
        <w:rPr>
          <w:color w:val="548DD4"/>
          <w:lang w:val="en-GB"/>
        </w:rPr>
        <w:t xml:space="preserve"> </w:t>
      </w:r>
    </w:p>
    <w:p w:rsidR="0065625C" w:rsidRPr="009E7F61" w:rsidRDefault="0065625C" w:rsidP="009E7F61">
      <w:pPr>
        <w:jc w:val="both"/>
        <w:rPr>
          <w:color w:val="000000" w:themeColor="text1"/>
        </w:rPr>
      </w:pPr>
      <w:r w:rsidRPr="009E7F61">
        <w:rPr>
          <w:lang w:val="en-GB"/>
        </w:rPr>
        <w:t xml:space="preserve">The purpose of the </w:t>
      </w:r>
      <w:proofErr w:type="spellStart"/>
      <w:r w:rsidR="00282E5B" w:rsidRPr="009E7F61">
        <w:rPr>
          <w:lang w:val="en-GB"/>
        </w:rPr>
        <w:t>g</w:t>
      </w:r>
      <w:r w:rsidRPr="009E7F61">
        <w:rPr>
          <w:lang w:val="en-GB"/>
        </w:rPr>
        <w:t>FSC</w:t>
      </w:r>
      <w:proofErr w:type="spellEnd"/>
      <w:r w:rsidRPr="009E7F61">
        <w:rPr>
          <w:lang w:val="en-GB"/>
        </w:rPr>
        <w:t xml:space="preserve"> </w:t>
      </w:r>
      <w:r w:rsidR="00B72114">
        <w:rPr>
          <w:lang w:val="en-GB"/>
        </w:rPr>
        <w:t xml:space="preserve">Inter-Cluster </w:t>
      </w:r>
      <w:r w:rsidR="00B72114" w:rsidRPr="009E7F61">
        <w:rPr>
          <w:lang w:val="en-GB"/>
        </w:rPr>
        <w:t xml:space="preserve">Nutrition </w:t>
      </w:r>
      <w:r w:rsidR="00282E5B" w:rsidRPr="009E7F61">
        <w:rPr>
          <w:lang w:val="en-GB"/>
        </w:rPr>
        <w:t xml:space="preserve">Working </w:t>
      </w:r>
      <w:r w:rsidRPr="009E7F61">
        <w:rPr>
          <w:lang w:val="en-GB"/>
        </w:rPr>
        <w:t>Group</w:t>
      </w:r>
      <w:r w:rsidR="00574B22" w:rsidRPr="009E7F61">
        <w:rPr>
          <w:lang w:val="en-GB"/>
        </w:rPr>
        <w:t xml:space="preserve"> </w:t>
      </w:r>
      <w:r w:rsidR="00172A60" w:rsidRPr="009E7F61">
        <w:rPr>
          <w:lang w:val="en-GB"/>
        </w:rPr>
        <w:t>is</w:t>
      </w:r>
      <w:r w:rsidRPr="009E7F61">
        <w:rPr>
          <w:lang w:val="en-GB"/>
        </w:rPr>
        <w:t xml:space="preserve"> to </w:t>
      </w:r>
      <w:r w:rsidRPr="00A81092">
        <w:t xml:space="preserve">provide </w:t>
      </w:r>
      <w:r w:rsidR="00701B73">
        <w:t>technical</w:t>
      </w:r>
      <w:r w:rsidRPr="00A81092">
        <w:t xml:space="preserve"> direction to </w:t>
      </w:r>
      <w:r w:rsidRPr="009E7F61">
        <w:rPr>
          <w:lang w:val="en-GB"/>
        </w:rPr>
        <w:t xml:space="preserve">the </w:t>
      </w:r>
      <w:proofErr w:type="spellStart"/>
      <w:r w:rsidR="00701B73" w:rsidRPr="009E7F61">
        <w:rPr>
          <w:lang w:val="en-GB"/>
        </w:rPr>
        <w:t>g</w:t>
      </w:r>
      <w:r w:rsidRPr="009E7F61">
        <w:rPr>
          <w:lang w:val="en-GB"/>
        </w:rPr>
        <w:t>FSC</w:t>
      </w:r>
      <w:proofErr w:type="spellEnd"/>
      <w:r w:rsidRPr="009E7F61">
        <w:rPr>
          <w:lang w:val="en-GB"/>
        </w:rPr>
        <w:t xml:space="preserve"> on key areas of </w:t>
      </w:r>
      <w:r w:rsidR="009E7F61" w:rsidRPr="009E7F61">
        <w:rPr>
          <w:lang w:val="en-GB"/>
        </w:rPr>
        <w:t xml:space="preserve">synergy between </w:t>
      </w:r>
      <w:r w:rsidR="009E7F61" w:rsidRPr="009E7F61">
        <w:rPr>
          <w:color w:val="000000" w:themeColor="text1"/>
        </w:rPr>
        <w:t>the Nutrition Cluster and Food Security Cluster</w:t>
      </w:r>
      <w:r w:rsidR="009E7F61">
        <w:rPr>
          <w:color w:val="000000" w:themeColor="text1"/>
        </w:rPr>
        <w:t xml:space="preserve"> </w:t>
      </w:r>
      <w:r w:rsidR="00D92CAB" w:rsidRPr="009E7F61">
        <w:rPr>
          <w:lang w:val="en-GB"/>
        </w:rPr>
        <w:t xml:space="preserve">in </w:t>
      </w:r>
      <w:r w:rsidRPr="009E7F61">
        <w:rPr>
          <w:lang w:val="en-GB"/>
        </w:rPr>
        <w:t>humanitarian food security responses</w:t>
      </w:r>
      <w:r w:rsidR="00701B73" w:rsidRPr="009E7F61">
        <w:rPr>
          <w:lang w:val="en-GB"/>
        </w:rPr>
        <w:t>.</w:t>
      </w:r>
      <w:r w:rsidRPr="009E7F61">
        <w:rPr>
          <w:lang w:val="en-GB"/>
        </w:rPr>
        <w:t xml:space="preserve"> </w:t>
      </w:r>
    </w:p>
    <w:p w:rsidR="00FA37B3" w:rsidRDefault="00FA37B3" w:rsidP="0065625C">
      <w:pPr>
        <w:outlineLvl w:val="0"/>
        <w:rPr>
          <w:b/>
          <w:bCs/>
          <w:lang w:val="en-GB"/>
        </w:rPr>
      </w:pPr>
    </w:p>
    <w:p w:rsidR="00FA37B3" w:rsidRPr="00FA37B3" w:rsidRDefault="00FA37B3" w:rsidP="0065625C">
      <w:pPr>
        <w:outlineLvl w:val="0"/>
        <w:rPr>
          <w:b/>
          <w:bCs/>
          <w:sz w:val="16"/>
          <w:szCs w:val="16"/>
          <w:lang w:val="en-GB"/>
        </w:rPr>
      </w:pPr>
    </w:p>
    <w:p w:rsidR="0065625C" w:rsidRDefault="00BF305E" w:rsidP="0065625C">
      <w:pPr>
        <w:outlineLvl w:val="0"/>
        <w:rPr>
          <w:b/>
          <w:bCs/>
          <w:color w:val="548DD4"/>
          <w:lang w:val="en-GB"/>
        </w:rPr>
      </w:pPr>
      <w:r>
        <w:rPr>
          <w:b/>
          <w:bCs/>
          <w:color w:val="548DD4"/>
          <w:lang w:val="en-GB"/>
        </w:rPr>
        <w:t>Representation</w:t>
      </w:r>
    </w:p>
    <w:p w:rsidR="008A6547" w:rsidRDefault="008A6547" w:rsidP="0065625C">
      <w:pPr>
        <w:outlineLvl w:val="0"/>
        <w:rPr>
          <w:b/>
          <w:bCs/>
          <w:color w:val="548DD4"/>
          <w:lang w:val="en-GB"/>
        </w:rPr>
      </w:pPr>
    </w:p>
    <w:p w:rsidR="008A6547" w:rsidRPr="008A6547" w:rsidRDefault="008A6547" w:rsidP="0065625C">
      <w:pPr>
        <w:outlineLvl w:val="0"/>
        <w:rPr>
          <w:bCs/>
          <w:lang w:val="en-GB"/>
        </w:rPr>
      </w:pPr>
      <w:r w:rsidRPr="008A6547">
        <w:rPr>
          <w:bCs/>
          <w:u w:val="single"/>
          <w:lang w:val="en-GB"/>
        </w:rPr>
        <w:t>Chair:</w:t>
      </w:r>
      <w:r>
        <w:rPr>
          <w:bCs/>
          <w:lang w:val="en-GB"/>
        </w:rPr>
        <w:t xml:space="preserve"> IMC, Caroline Abla, </w:t>
      </w:r>
      <w:hyperlink r:id="rId8" w:history="1">
        <w:r w:rsidRPr="00B72114">
          <w:rPr>
            <w:rStyle w:val="Hyperlink"/>
            <w:lang w:val="en-GB"/>
          </w:rPr>
          <w:t>cabla@internationalmedicalcorps.org</w:t>
        </w:r>
      </w:hyperlink>
    </w:p>
    <w:p w:rsidR="008A6547" w:rsidRDefault="008A6547" w:rsidP="0065625C">
      <w:pPr>
        <w:outlineLvl w:val="0"/>
        <w:rPr>
          <w:bCs/>
          <w:lang w:val="en-GB"/>
        </w:rPr>
      </w:pPr>
      <w:r w:rsidRPr="008A6547">
        <w:rPr>
          <w:bCs/>
          <w:u w:val="single"/>
          <w:lang w:val="en-GB"/>
        </w:rPr>
        <w:t>Co-Chair:</w:t>
      </w:r>
      <w:r>
        <w:rPr>
          <w:bCs/>
          <w:lang w:val="en-GB"/>
        </w:rPr>
        <w:t xml:space="preserve"> IFRC, Hilary </w:t>
      </w:r>
      <w:proofErr w:type="spellStart"/>
      <w:r>
        <w:rPr>
          <w:bCs/>
          <w:lang w:val="en-GB"/>
        </w:rPr>
        <w:t>Motsiry</w:t>
      </w:r>
      <w:proofErr w:type="spellEnd"/>
      <w:r>
        <w:rPr>
          <w:bCs/>
          <w:lang w:val="en-GB"/>
        </w:rPr>
        <w:t xml:space="preserve">, </w:t>
      </w:r>
      <w:hyperlink r:id="rId9" w:history="1">
        <w:r w:rsidRPr="00054F94">
          <w:rPr>
            <w:rStyle w:val="Hyperlink"/>
            <w:bCs/>
            <w:lang w:val="en-GB"/>
          </w:rPr>
          <w:t>hilary.motsiri@ifrc.org</w:t>
        </w:r>
      </w:hyperlink>
    </w:p>
    <w:p w:rsidR="008A6547" w:rsidRPr="00A81092" w:rsidRDefault="008A6547" w:rsidP="0065625C">
      <w:pPr>
        <w:outlineLvl w:val="0"/>
        <w:rPr>
          <w:b/>
          <w:bCs/>
          <w:color w:val="548DD4"/>
          <w:lang w:val="en-GB"/>
        </w:rPr>
      </w:pPr>
    </w:p>
    <w:p w:rsidR="00D92CAB" w:rsidRDefault="00DD0526" w:rsidP="00701B73">
      <w:pPr>
        <w:rPr>
          <w:lang w:val="en-GB"/>
        </w:rPr>
      </w:pPr>
      <w:r>
        <w:rPr>
          <w:lang w:val="en-GB"/>
        </w:rPr>
        <w:t>M</w:t>
      </w:r>
      <w:r w:rsidR="00F2625B">
        <w:rPr>
          <w:lang w:val="en-GB"/>
        </w:rPr>
        <w:t xml:space="preserve">embers </w:t>
      </w:r>
      <w:r>
        <w:rPr>
          <w:lang w:val="en-GB"/>
        </w:rPr>
        <w:t>include</w:t>
      </w:r>
      <w:r w:rsidR="00F2625B">
        <w:rPr>
          <w:lang w:val="en-GB"/>
        </w:rPr>
        <w:t>:</w:t>
      </w:r>
    </w:p>
    <w:p w:rsidR="00A67C16" w:rsidRDefault="00A67C16" w:rsidP="00701B73">
      <w:pPr>
        <w:rPr>
          <w:lang w:val="en-GB"/>
        </w:rPr>
      </w:pPr>
    </w:p>
    <w:p w:rsidR="00D92CAB" w:rsidRPr="00B523D2" w:rsidRDefault="0076082A" w:rsidP="0076082A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  <w:lang w:val="fr-FR"/>
        </w:rPr>
      </w:pPr>
      <w:r w:rsidRPr="00A67C16">
        <w:rPr>
          <w:lang w:val="fr-FR"/>
        </w:rPr>
        <w:t xml:space="preserve">ACF </w:t>
      </w:r>
      <w:r>
        <w:rPr>
          <w:lang w:val="fr-FR"/>
        </w:rPr>
        <w:t xml:space="preserve">France, </w:t>
      </w:r>
      <w:r w:rsidR="00A67C16" w:rsidRPr="00A67C16">
        <w:rPr>
          <w:lang w:val="fr-FR"/>
        </w:rPr>
        <w:t>Julien Morel –</w:t>
      </w:r>
      <w:r w:rsidR="00A67C16">
        <w:rPr>
          <w:lang w:val="fr-FR"/>
        </w:rPr>
        <w:t>-</w:t>
      </w:r>
      <w:r w:rsidR="00A67C16" w:rsidRPr="00A67C16">
        <w:rPr>
          <w:lang w:val="fr-FR"/>
        </w:rPr>
        <w:t xml:space="preserve"> </w:t>
      </w:r>
      <w:hyperlink r:id="rId10" w:history="1">
        <w:r w:rsidR="00A67C16" w:rsidRPr="0085162A">
          <w:rPr>
            <w:rStyle w:val="Hyperlink"/>
            <w:lang w:val="fr-FR"/>
          </w:rPr>
          <w:t>jmorel@actioncontrelafaim.org</w:t>
        </w:r>
      </w:hyperlink>
      <w:r w:rsidR="008A6547">
        <w:rPr>
          <w:rStyle w:val="Hyperlink"/>
          <w:lang w:val="fr-FR"/>
        </w:rPr>
        <w:t xml:space="preserve"> </w:t>
      </w:r>
    </w:p>
    <w:p w:rsidR="00B523D2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 w:rsidRPr="00A67C16">
        <w:rPr>
          <w:lang w:val="en-GB"/>
        </w:rPr>
        <w:t>ACT Alliance</w:t>
      </w:r>
      <w:r>
        <w:rPr>
          <w:lang w:val="en-GB"/>
        </w:rPr>
        <w:t>,</w:t>
      </w:r>
      <w:r w:rsidRPr="00A67C16">
        <w:rPr>
          <w:lang w:val="en-GB"/>
        </w:rPr>
        <w:t xml:space="preserve"> Lisa Henry –- </w:t>
      </w:r>
      <w:hyperlink r:id="rId11" w:history="1">
        <w:r w:rsidRPr="0085162A">
          <w:rPr>
            <w:rStyle w:val="Hyperlink"/>
            <w:lang w:val="en-GB"/>
          </w:rPr>
          <w:t>LIH@dca.dk</w:t>
        </w:r>
      </w:hyperlink>
    </w:p>
    <w:p w:rsidR="00B523D2" w:rsidRPr="00B72114" w:rsidRDefault="00B523D2" w:rsidP="00B523D2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  <w:lang w:val="en-GB"/>
        </w:rPr>
      </w:pPr>
      <w:r w:rsidRPr="003B0D9D">
        <w:rPr>
          <w:lang w:val="en-GB"/>
        </w:rPr>
        <w:t xml:space="preserve">CARE, </w:t>
      </w:r>
      <w:r w:rsidRPr="00B523D2">
        <w:rPr>
          <w:lang w:val="en-GB"/>
        </w:rPr>
        <w:t>Mohamed Daw,</w:t>
      </w:r>
      <w:r w:rsidRPr="003B0D9D">
        <w:rPr>
          <w:lang w:val="en-GB"/>
        </w:rPr>
        <w:t xml:space="preserve"> </w:t>
      </w:r>
      <w:r w:rsidRPr="003B0D9D">
        <w:rPr>
          <w:color w:val="0000FF"/>
          <w:lang w:val="en-GB"/>
        </w:rPr>
        <w:t>(</w:t>
      </w:r>
      <w:hyperlink r:id="rId12" w:history="1">
        <w:r w:rsidRPr="003B0D9D">
          <w:rPr>
            <w:rStyle w:val="Hyperlink"/>
            <w:color w:val="0000FF"/>
            <w:lang w:val="en-GB"/>
          </w:rPr>
          <w:t>dmohamed@care.org</w:t>
        </w:r>
      </w:hyperlink>
      <w:r w:rsidRPr="003B0D9D">
        <w:rPr>
          <w:rStyle w:val="Hyperlink"/>
          <w:color w:val="0000FF"/>
          <w:lang w:val="en-GB"/>
        </w:rPr>
        <w:t xml:space="preserve">)  </w:t>
      </w:r>
    </w:p>
    <w:p w:rsidR="00B523D2" w:rsidRPr="00B72114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 w:rsidRPr="00B72114">
        <w:rPr>
          <w:lang w:val="en-GB"/>
        </w:rPr>
        <w:t xml:space="preserve">Concern, Amanda McClelland –- </w:t>
      </w:r>
      <w:hyperlink r:id="rId13" w:history="1">
        <w:r w:rsidRPr="00B72114">
          <w:rPr>
            <w:rStyle w:val="Hyperlink"/>
            <w:lang w:val="en-GB"/>
          </w:rPr>
          <w:t>Amanda.mcclelland@concern.net</w:t>
        </w:r>
      </w:hyperlink>
    </w:p>
    <w:p w:rsidR="00B523D2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FAO, </w:t>
      </w:r>
      <w:r w:rsidRPr="00A67C16">
        <w:rPr>
          <w:lang w:val="en-GB"/>
        </w:rPr>
        <w:t>Neil Marsland</w:t>
      </w:r>
      <w:r>
        <w:rPr>
          <w:lang w:val="en-GB"/>
        </w:rPr>
        <w:t>––</w:t>
      </w:r>
      <w:r w:rsidRPr="0090724F">
        <w:rPr>
          <w:lang w:val="en-GB"/>
        </w:rPr>
        <w:t xml:space="preserve"> </w:t>
      </w:r>
      <w:hyperlink r:id="rId14" w:history="1">
        <w:r w:rsidRPr="0085162A">
          <w:rPr>
            <w:rStyle w:val="Hyperlink"/>
            <w:lang w:val="en-GB"/>
          </w:rPr>
          <w:t>Neil.Marsland@fao.org</w:t>
        </w:r>
      </w:hyperlink>
    </w:p>
    <w:p w:rsidR="008A6547" w:rsidRDefault="00B72114" w:rsidP="00B72114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FAO, </w:t>
      </w:r>
      <w:r w:rsidR="008A6547">
        <w:rPr>
          <w:lang w:val="en-GB"/>
        </w:rPr>
        <w:t>Florence Egal</w:t>
      </w:r>
      <w:r>
        <w:rPr>
          <w:lang w:val="en-GB"/>
        </w:rPr>
        <w:t>––</w:t>
      </w:r>
      <w:r w:rsidRPr="0090724F">
        <w:rPr>
          <w:lang w:val="en-GB"/>
        </w:rPr>
        <w:t xml:space="preserve"> </w:t>
      </w:r>
      <w:hyperlink r:id="rId15" w:history="1">
        <w:r w:rsidR="008A6547" w:rsidRPr="00054F94">
          <w:rPr>
            <w:rStyle w:val="Hyperlink"/>
            <w:lang w:val="en-GB"/>
          </w:rPr>
          <w:t>Florence.Egal@fao.org</w:t>
        </w:r>
      </w:hyperlink>
      <w:r w:rsidR="008A6547">
        <w:rPr>
          <w:lang w:val="en-GB"/>
        </w:rPr>
        <w:t xml:space="preserve"> </w:t>
      </w:r>
    </w:p>
    <w:p w:rsidR="00A67C16" w:rsidRDefault="0076082A" w:rsidP="0076082A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IFRC, </w:t>
      </w:r>
      <w:proofErr w:type="spellStart"/>
      <w:r w:rsidR="00A67C16" w:rsidRPr="00A67C16">
        <w:rPr>
          <w:lang w:val="en-GB"/>
        </w:rPr>
        <w:t>Kiflemariam</w:t>
      </w:r>
      <w:proofErr w:type="spellEnd"/>
      <w:r w:rsidR="00A67C16" w:rsidRPr="00A67C16">
        <w:rPr>
          <w:lang w:val="en-GB"/>
        </w:rPr>
        <w:t xml:space="preserve"> </w:t>
      </w:r>
      <w:proofErr w:type="spellStart"/>
      <w:r w:rsidR="00A67C16" w:rsidRPr="00A67C16">
        <w:rPr>
          <w:lang w:val="en-GB"/>
        </w:rPr>
        <w:t>Amdemariam</w:t>
      </w:r>
      <w:proofErr w:type="spellEnd"/>
      <w:r w:rsidR="00A67C16">
        <w:rPr>
          <w:lang w:val="en-GB"/>
        </w:rPr>
        <w:t xml:space="preserve"> – </w:t>
      </w:r>
      <w:hyperlink r:id="rId16" w:history="1">
        <w:r w:rsidR="008A6547" w:rsidRPr="00054F94">
          <w:rPr>
            <w:rStyle w:val="Hyperlink"/>
            <w:lang w:val="en-GB"/>
          </w:rPr>
          <w:t>kiflemariam.amdemariam@ifrc.org</w:t>
        </w:r>
      </w:hyperlink>
      <w:r w:rsidR="008A6547">
        <w:rPr>
          <w:lang w:val="en-GB"/>
        </w:rPr>
        <w:t xml:space="preserve"> </w:t>
      </w:r>
    </w:p>
    <w:p w:rsidR="008A6547" w:rsidRDefault="008A6547" w:rsidP="0076082A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IFRC, Hilary </w:t>
      </w:r>
      <w:proofErr w:type="spellStart"/>
      <w:r>
        <w:rPr>
          <w:lang w:val="en-GB"/>
        </w:rPr>
        <w:t>Motsiri</w:t>
      </w:r>
      <w:proofErr w:type="spellEnd"/>
      <w:r>
        <w:rPr>
          <w:lang w:val="en-GB"/>
        </w:rPr>
        <w:t xml:space="preserve">, </w:t>
      </w:r>
      <w:hyperlink r:id="rId17" w:history="1">
        <w:r w:rsidRPr="00054F94">
          <w:rPr>
            <w:rStyle w:val="Hyperlink"/>
            <w:bCs/>
            <w:lang w:val="en-GB"/>
          </w:rPr>
          <w:t>hilary.motsiri@ifrc.org</w:t>
        </w:r>
      </w:hyperlink>
      <w:r>
        <w:rPr>
          <w:bCs/>
          <w:lang w:val="en-GB"/>
        </w:rPr>
        <w:t xml:space="preserve"> </w:t>
      </w:r>
    </w:p>
    <w:p w:rsidR="00B72114" w:rsidRPr="00B72114" w:rsidRDefault="0076082A" w:rsidP="0076082A">
      <w:pPr>
        <w:pStyle w:val="ListParagraph"/>
        <w:numPr>
          <w:ilvl w:val="0"/>
          <w:numId w:val="11"/>
        </w:numPr>
        <w:rPr>
          <w:lang w:val="fr-CH"/>
        </w:rPr>
      </w:pPr>
      <w:r w:rsidRPr="00B72114">
        <w:rPr>
          <w:lang w:val="en-GB"/>
        </w:rPr>
        <w:t>International Medical Corps</w:t>
      </w:r>
      <w:r w:rsidRPr="008A6547">
        <w:rPr>
          <w:lang w:val="en-GB"/>
        </w:rPr>
        <w:t xml:space="preserve">,  </w:t>
      </w:r>
      <w:r w:rsidR="00A67C16" w:rsidRPr="008A6547">
        <w:rPr>
          <w:lang w:val="en-GB"/>
        </w:rPr>
        <w:t>Caroline Abla</w:t>
      </w:r>
      <w:r w:rsidR="00A67C16" w:rsidRPr="00B72114">
        <w:rPr>
          <w:lang w:val="en-GB"/>
        </w:rPr>
        <w:t xml:space="preserve"> –– </w:t>
      </w:r>
      <w:hyperlink r:id="rId18" w:history="1">
        <w:r w:rsidR="00A67C16" w:rsidRPr="00B72114">
          <w:rPr>
            <w:rStyle w:val="Hyperlink"/>
            <w:lang w:val="en-GB"/>
          </w:rPr>
          <w:t>cabla@internationalmedicalcorps.org</w:t>
        </w:r>
      </w:hyperlink>
    </w:p>
    <w:p w:rsidR="00B72114" w:rsidRPr="00B523D2" w:rsidRDefault="00B72114" w:rsidP="00B72114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  <w:lang w:val="fr-FR"/>
        </w:rPr>
      </w:pPr>
      <w:r>
        <w:rPr>
          <w:lang w:val="fr-FR"/>
        </w:rPr>
        <w:t xml:space="preserve">International Rescue Commette, </w:t>
      </w:r>
      <w:r w:rsidRPr="00A67C16">
        <w:rPr>
          <w:lang w:val="fr-FR"/>
        </w:rPr>
        <w:t xml:space="preserve">Frances Kimmins – </w:t>
      </w:r>
      <w:hyperlink r:id="rId19" w:history="1">
        <w:r w:rsidRPr="0085162A">
          <w:rPr>
            <w:rStyle w:val="Hyperlink"/>
            <w:lang w:val="fr-FR"/>
          </w:rPr>
          <w:t>Frances.Kimmins@rescue-uk.org</w:t>
        </w:r>
      </w:hyperlink>
    </w:p>
    <w:p w:rsidR="00B523D2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Mercy Corps, </w:t>
      </w:r>
      <w:r w:rsidRPr="00A67C16">
        <w:rPr>
          <w:lang w:val="en-GB"/>
        </w:rPr>
        <w:t>Gregory Scarborough</w:t>
      </w:r>
      <w:r>
        <w:rPr>
          <w:lang w:val="en-GB"/>
        </w:rPr>
        <w:t xml:space="preserve"> – </w:t>
      </w:r>
      <w:hyperlink r:id="rId20" w:history="1">
        <w:r w:rsidRPr="0085162A">
          <w:rPr>
            <w:rStyle w:val="Hyperlink"/>
            <w:lang w:val="en-GB"/>
          </w:rPr>
          <w:t>gscarborough@bos.mercycorps.org</w:t>
        </w:r>
      </w:hyperlink>
    </w:p>
    <w:p w:rsidR="00B523D2" w:rsidRPr="00D30675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 w:rsidRPr="00D30675">
        <w:rPr>
          <w:lang w:val="en-GB"/>
        </w:rPr>
        <w:t xml:space="preserve">Oxfam,  </w:t>
      </w:r>
      <w:r>
        <w:rPr>
          <w:lang w:val="en-GB"/>
        </w:rPr>
        <w:t>Laura Phelps –</w:t>
      </w:r>
      <w:r w:rsidRPr="00D30675">
        <w:rPr>
          <w:lang w:val="en-GB"/>
        </w:rPr>
        <w:t xml:space="preserve"> </w:t>
      </w:r>
      <w:hyperlink r:id="rId21" w:history="1">
        <w:r w:rsidRPr="00D30675">
          <w:rPr>
            <w:rStyle w:val="Hyperlink"/>
            <w:lang w:val="en-GB"/>
          </w:rPr>
          <w:t>lphelps@oxfam.org.uk</w:t>
        </w:r>
      </w:hyperlink>
    </w:p>
    <w:p w:rsidR="00B523D2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 w:rsidRPr="00D30675">
        <w:rPr>
          <w:lang w:val="en-GB"/>
        </w:rPr>
        <w:t xml:space="preserve">Save the Children Jessica </w:t>
      </w:r>
      <w:proofErr w:type="spellStart"/>
      <w:r w:rsidRPr="00D30675">
        <w:rPr>
          <w:lang w:val="en-GB"/>
        </w:rPr>
        <w:t>Saulle</w:t>
      </w:r>
      <w:proofErr w:type="spellEnd"/>
      <w:r w:rsidRPr="00D30675">
        <w:rPr>
          <w:lang w:val="en-GB"/>
        </w:rPr>
        <w:t xml:space="preserve">, </w:t>
      </w:r>
      <w:hyperlink r:id="rId22" w:history="1">
        <w:r w:rsidRPr="008C491F">
          <w:rPr>
            <w:rStyle w:val="Hyperlink"/>
            <w:lang w:val="en-GB"/>
          </w:rPr>
          <w:t>J.Saulle@savethechildren.org.uk</w:t>
        </w:r>
      </w:hyperlink>
    </w:p>
    <w:p w:rsidR="00B523D2" w:rsidRPr="00D30675" w:rsidRDefault="00B523D2" w:rsidP="00B523D2">
      <w:pPr>
        <w:pStyle w:val="ListParagraph"/>
        <w:numPr>
          <w:ilvl w:val="0"/>
          <w:numId w:val="11"/>
        </w:numPr>
        <w:rPr>
          <w:lang w:val="fr-CH"/>
        </w:rPr>
      </w:pPr>
      <w:r w:rsidRPr="00D30675">
        <w:rPr>
          <w:lang w:val="fr-CH"/>
        </w:rPr>
        <w:t xml:space="preserve">Solidarité Internationale, </w:t>
      </w:r>
      <w:r w:rsidRPr="00B523D2">
        <w:rPr>
          <w:lang w:val="fr-CH"/>
        </w:rPr>
        <w:t>Peggy Pascal,</w:t>
      </w:r>
      <w:r w:rsidRPr="00D30675">
        <w:rPr>
          <w:lang w:val="fr-CH"/>
        </w:rPr>
        <w:t xml:space="preserve"> </w:t>
      </w:r>
      <w:hyperlink r:id="rId23" w:history="1">
        <w:r w:rsidRPr="00D30675">
          <w:rPr>
            <w:rStyle w:val="Hyperlink"/>
            <w:lang w:val="fr-CH"/>
          </w:rPr>
          <w:t>ppascal@solidarites.org</w:t>
        </w:r>
      </w:hyperlink>
    </w:p>
    <w:p w:rsidR="00B523D2" w:rsidRPr="00D30675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 w:rsidRPr="00D30675">
        <w:rPr>
          <w:lang w:val="en-GB"/>
        </w:rPr>
        <w:t xml:space="preserve">World Vision International, Douglas Brown – </w:t>
      </w:r>
      <w:hyperlink r:id="rId24" w:history="1">
        <w:r w:rsidRPr="00D30675">
          <w:rPr>
            <w:rStyle w:val="Hyperlink"/>
            <w:lang w:val="en-GB"/>
          </w:rPr>
          <w:t>douglas_brown@wvi.org</w:t>
        </w:r>
      </w:hyperlink>
    </w:p>
    <w:p w:rsidR="00B523D2" w:rsidRPr="00D30675" w:rsidRDefault="00B523D2" w:rsidP="00B523D2">
      <w:pPr>
        <w:pStyle w:val="ListParagraph"/>
        <w:numPr>
          <w:ilvl w:val="0"/>
          <w:numId w:val="11"/>
        </w:numPr>
        <w:rPr>
          <w:lang w:val="en-GB"/>
        </w:rPr>
      </w:pPr>
      <w:r w:rsidRPr="00D30675">
        <w:rPr>
          <w:lang w:val="en-GB"/>
        </w:rPr>
        <w:t xml:space="preserve">OC  HA,  Belinda Holdsworth –– </w:t>
      </w:r>
      <w:hyperlink r:id="rId25" w:history="1">
        <w:r w:rsidRPr="00D30675">
          <w:rPr>
            <w:rStyle w:val="Hyperlink"/>
            <w:lang w:val="en-GB"/>
          </w:rPr>
          <w:t>Holdsworth@un.org</w:t>
        </w:r>
      </w:hyperlink>
    </w:p>
    <w:p w:rsidR="00B72114" w:rsidRPr="00B72114" w:rsidRDefault="00B72114" w:rsidP="00B72114">
      <w:pPr>
        <w:pStyle w:val="ListParagraph"/>
        <w:numPr>
          <w:ilvl w:val="0"/>
          <w:numId w:val="11"/>
        </w:numPr>
        <w:rPr>
          <w:lang w:val="fr-CH"/>
        </w:rPr>
      </w:pPr>
      <w:r w:rsidRPr="00B72114">
        <w:rPr>
          <w:lang w:val="fr-CH"/>
        </w:rPr>
        <w:t xml:space="preserve">UNICEF </w:t>
      </w:r>
      <w:r w:rsidRPr="008A6547">
        <w:rPr>
          <w:lang w:val="fr-CH"/>
        </w:rPr>
        <w:t>Josephine Ippe</w:t>
      </w:r>
      <w:r w:rsidRPr="00B72114">
        <w:rPr>
          <w:lang w:val="fr-CH"/>
        </w:rPr>
        <w:t xml:space="preserve"> – </w:t>
      </w:r>
      <w:hyperlink r:id="rId26" w:history="1">
        <w:r w:rsidRPr="00B72114">
          <w:rPr>
            <w:rStyle w:val="Hyperlink"/>
            <w:lang w:val="fr-CH"/>
          </w:rPr>
          <w:t>jippe@unicef.org</w:t>
        </w:r>
      </w:hyperlink>
      <w:r w:rsidR="008A6547">
        <w:rPr>
          <w:rStyle w:val="Hyperlink"/>
          <w:lang w:val="fr-CH"/>
        </w:rPr>
        <w:t xml:space="preserve"> </w:t>
      </w:r>
    </w:p>
    <w:p w:rsidR="00356211" w:rsidRDefault="00356211" w:rsidP="00356211">
      <w:pPr>
        <w:ind w:left="360"/>
        <w:rPr>
          <w:lang w:val="fr-CH"/>
        </w:rPr>
      </w:pPr>
    </w:p>
    <w:p w:rsidR="00A67C16" w:rsidRDefault="00356211" w:rsidP="00356211">
      <w:pPr>
        <w:jc w:val="both"/>
      </w:pPr>
      <w:r w:rsidRPr="00356211">
        <w:rPr>
          <w:lang w:val="en-GB"/>
        </w:rPr>
        <w:t>The purpose of the Working Group is to p</w:t>
      </w:r>
      <w:proofErr w:type="spellStart"/>
      <w:r w:rsidRPr="00356211">
        <w:t>rovide</w:t>
      </w:r>
      <w:proofErr w:type="spellEnd"/>
      <w:r w:rsidRPr="00356211">
        <w:t xml:space="preserve"> Ope</w:t>
      </w:r>
      <w:r>
        <w:t xml:space="preserve">rational/Coordination/Technical direction/Guidance </w:t>
      </w:r>
      <w:r w:rsidRPr="00356211">
        <w:t xml:space="preserve">to the </w:t>
      </w:r>
      <w:proofErr w:type="spellStart"/>
      <w:r w:rsidRPr="00356211">
        <w:t>gFSC</w:t>
      </w:r>
      <w:proofErr w:type="spellEnd"/>
      <w:r w:rsidRPr="00356211">
        <w:t xml:space="preserve"> on key areas of synergy between the Nutrition and Food Security Clusters in humanitarian responses.</w:t>
      </w:r>
    </w:p>
    <w:p w:rsidR="00356211" w:rsidRDefault="00356211" w:rsidP="00356211">
      <w:pPr>
        <w:jc w:val="both"/>
      </w:pPr>
    </w:p>
    <w:p w:rsidR="00356211" w:rsidRPr="00356211" w:rsidRDefault="00356211" w:rsidP="00356211">
      <w:pPr>
        <w:contextualSpacing/>
        <w:rPr>
          <w:rFonts w:eastAsiaTheme="minorEastAsia"/>
          <w:kern w:val="24"/>
          <w:lang w:eastAsia="en-GB"/>
        </w:rPr>
      </w:pPr>
      <w:r w:rsidRPr="00356211">
        <w:rPr>
          <w:rFonts w:eastAsiaTheme="minorEastAsia"/>
          <w:kern w:val="24"/>
          <w:lang w:eastAsia="en-GB"/>
        </w:rPr>
        <w:t>The rationale for developing the Working Group is to:</w:t>
      </w:r>
    </w:p>
    <w:p w:rsidR="00356211" w:rsidRPr="00356211" w:rsidRDefault="00356211" w:rsidP="00356211">
      <w:pPr>
        <w:pStyle w:val="ListParagraph"/>
        <w:numPr>
          <w:ilvl w:val="0"/>
          <w:numId w:val="21"/>
        </w:numPr>
        <w:rPr>
          <w:rFonts w:eastAsia="Times New Roman"/>
          <w:sz w:val="16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>Provide a holistic approach to integrating food security and nutrition responses in a humanitarian context.</w:t>
      </w:r>
    </w:p>
    <w:p w:rsidR="00356211" w:rsidRPr="00356211" w:rsidRDefault="00356211" w:rsidP="00356211">
      <w:pPr>
        <w:pStyle w:val="ListParagraph"/>
        <w:numPr>
          <w:ilvl w:val="0"/>
          <w:numId w:val="21"/>
        </w:numPr>
        <w:rPr>
          <w:rFonts w:eastAsia="Times New Roman"/>
          <w:sz w:val="16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>Reinforce the critical linkages between food security and nutrition.</w:t>
      </w:r>
    </w:p>
    <w:p w:rsidR="00356211" w:rsidRPr="00356211" w:rsidRDefault="00356211" w:rsidP="00356211">
      <w:pPr>
        <w:pStyle w:val="ListParagraph"/>
        <w:numPr>
          <w:ilvl w:val="0"/>
          <w:numId w:val="21"/>
        </w:numPr>
        <w:rPr>
          <w:rFonts w:eastAsia="Times New Roman"/>
          <w:sz w:val="16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 xml:space="preserve">Understand complementarities </w:t>
      </w:r>
    </w:p>
    <w:p w:rsidR="00356211" w:rsidRDefault="00356211" w:rsidP="00356211">
      <w:pPr>
        <w:jc w:val="both"/>
        <w:rPr>
          <w:lang w:val="en-GB"/>
        </w:rPr>
      </w:pPr>
    </w:p>
    <w:p w:rsidR="00356211" w:rsidRPr="00356211" w:rsidRDefault="00356211" w:rsidP="00356211">
      <w:pPr>
        <w:rPr>
          <w:b/>
          <w:bCs/>
          <w:color w:val="548DD4"/>
          <w:lang w:val="en-GB"/>
        </w:rPr>
      </w:pPr>
      <w:r>
        <w:rPr>
          <w:b/>
          <w:bCs/>
          <w:color w:val="548DD4"/>
          <w:lang w:val="en-GB"/>
        </w:rPr>
        <w:t>Objectives and Activities:</w:t>
      </w:r>
    </w:p>
    <w:p w:rsidR="00356211" w:rsidRDefault="00356211" w:rsidP="00356211">
      <w:pPr>
        <w:contextualSpacing/>
        <w:rPr>
          <w:rFonts w:asciiTheme="minorHAnsi" w:eastAsiaTheme="minorEastAsia" w:hAnsi="Trebuchet MS" w:cstheme="minorBidi"/>
          <w:color w:val="002060"/>
          <w:kern w:val="24"/>
          <w:lang w:val="en-GB" w:eastAsia="en-GB"/>
        </w:rPr>
      </w:pPr>
    </w:p>
    <w:p w:rsidR="00356211" w:rsidRDefault="00356211" w:rsidP="00356211">
      <w:pPr>
        <w:contextualSpacing/>
        <w:rPr>
          <w:rFonts w:eastAsiaTheme="minorEastAsia"/>
          <w:kern w:val="24"/>
          <w:lang w:eastAsia="en-GB"/>
        </w:rPr>
      </w:pPr>
      <w:r w:rsidRPr="00356211">
        <w:rPr>
          <w:rFonts w:eastAsiaTheme="minorEastAsia"/>
          <w:kern w:val="24"/>
          <w:lang w:eastAsia="en-GB"/>
        </w:rPr>
        <w:t xml:space="preserve">The objective of the Working Group is to develop Standard Operating Procedures between the </w:t>
      </w:r>
      <w:proofErr w:type="spellStart"/>
      <w:r w:rsidRPr="00356211">
        <w:rPr>
          <w:rFonts w:eastAsiaTheme="minorEastAsia"/>
          <w:kern w:val="24"/>
          <w:lang w:eastAsia="en-GB"/>
        </w:rPr>
        <w:t>gFSC</w:t>
      </w:r>
      <w:proofErr w:type="spellEnd"/>
      <w:r w:rsidRPr="00356211">
        <w:rPr>
          <w:rFonts w:eastAsiaTheme="minorEastAsia"/>
          <w:kern w:val="24"/>
          <w:lang w:eastAsia="en-GB"/>
        </w:rPr>
        <w:t xml:space="preserve"> and the GNC</w:t>
      </w:r>
      <w:r>
        <w:rPr>
          <w:rFonts w:eastAsiaTheme="minorEastAsia"/>
          <w:kern w:val="24"/>
          <w:lang w:eastAsia="en-GB"/>
        </w:rPr>
        <w:t xml:space="preserve"> through:</w:t>
      </w:r>
    </w:p>
    <w:p w:rsidR="00356211" w:rsidRPr="00356211" w:rsidRDefault="00356211" w:rsidP="00356211">
      <w:pPr>
        <w:contextualSpacing/>
        <w:rPr>
          <w:rFonts w:eastAsiaTheme="minorEastAsia"/>
          <w:kern w:val="24"/>
          <w:lang w:eastAsia="en-GB"/>
        </w:rPr>
      </w:pPr>
    </w:p>
    <w:p w:rsidR="00356211" w:rsidRPr="00356211" w:rsidRDefault="00356211" w:rsidP="00DD0526">
      <w:pPr>
        <w:numPr>
          <w:ilvl w:val="0"/>
          <w:numId w:val="23"/>
        </w:numPr>
        <w:ind w:left="709"/>
        <w:contextualSpacing/>
        <w:rPr>
          <w:rFonts w:eastAsia="Times New Roman"/>
          <w:sz w:val="16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lastRenderedPageBreak/>
        <w:t>Identification of present coordination field practices between t</w:t>
      </w:r>
      <w:r>
        <w:rPr>
          <w:rFonts w:eastAsiaTheme="minorEastAsia"/>
          <w:kern w:val="24"/>
          <w:lang w:eastAsia="en-GB"/>
        </w:rPr>
        <w:t xml:space="preserve">he Food Security and Nutrition </w:t>
      </w:r>
      <w:r w:rsidRPr="00356211">
        <w:rPr>
          <w:rFonts w:eastAsiaTheme="minorEastAsia"/>
          <w:kern w:val="24"/>
          <w:lang w:eastAsia="en-GB"/>
        </w:rPr>
        <w:t>Clusters.</w:t>
      </w:r>
    </w:p>
    <w:p w:rsidR="00356211" w:rsidRPr="00356211" w:rsidRDefault="00356211" w:rsidP="00DD0526">
      <w:pPr>
        <w:numPr>
          <w:ilvl w:val="4"/>
          <w:numId w:val="25"/>
        </w:numPr>
        <w:contextualSpacing/>
        <w:rPr>
          <w:rFonts w:eastAsia="Times New Roman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>Identify synergies and  complementarities</w:t>
      </w:r>
    </w:p>
    <w:p w:rsidR="00356211" w:rsidRPr="00356211" w:rsidRDefault="00356211" w:rsidP="00DD0526">
      <w:pPr>
        <w:numPr>
          <w:ilvl w:val="4"/>
          <w:numId w:val="25"/>
        </w:numPr>
        <w:contextualSpacing/>
        <w:rPr>
          <w:rFonts w:eastAsia="Times New Roman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>Identify gaps and limitations</w:t>
      </w:r>
    </w:p>
    <w:p w:rsidR="00356211" w:rsidRPr="00356211" w:rsidRDefault="00356211" w:rsidP="00DD0526">
      <w:pPr>
        <w:numPr>
          <w:ilvl w:val="4"/>
          <w:numId w:val="25"/>
        </w:numPr>
        <w:contextualSpacing/>
        <w:rPr>
          <w:rFonts w:eastAsia="Times New Roman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 xml:space="preserve">Identify Best Practices </w:t>
      </w:r>
    </w:p>
    <w:p w:rsidR="00356211" w:rsidRPr="00356211" w:rsidRDefault="00356211" w:rsidP="00DD0526">
      <w:pPr>
        <w:numPr>
          <w:ilvl w:val="0"/>
          <w:numId w:val="23"/>
        </w:numPr>
        <w:ind w:left="709"/>
        <w:contextualSpacing/>
        <w:rPr>
          <w:rFonts w:eastAsia="Times New Roman"/>
          <w:sz w:val="16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>Field Survey:</w:t>
      </w:r>
    </w:p>
    <w:p w:rsidR="00356211" w:rsidRPr="00356211" w:rsidRDefault="00356211" w:rsidP="00DD0526">
      <w:pPr>
        <w:numPr>
          <w:ilvl w:val="4"/>
          <w:numId w:val="23"/>
        </w:numPr>
        <w:contextualSpacing/>
        <w:rPr>
          <w:rFonts w:eastAsia="Times New Roman"/>
          <w:lang w:val="en-GB" w:eastAsia="en-GB"/>
        </w:rPr>
      </w:pPr>
      <w:r w:rsidRPr="00356211">
        <w:rPr>
          <w:rFonts w:eastAsiaTheme="minorEastAsia"/>
          <w:kern w:val="24"/>
          <w:lang w:eastAsia="en-GB"/>
        </w:rPr>
        <w:t>Develop, analyze, write-up and disseminate findings</w:t>
      </w:r>
    </w:p>
    <w:p w:rsidR="00356211" w:rsidRPr="00356211" w:rsidRDefault="00356211" w:rsidP="00356211">
      <w:pPr>
        <w:contextualSpacing/>
        <w:rPr>
          <w:rFonts w:eastAsia="Times New Roman"/>
          <w:sz w:val="16"/>
          <w:lang w:val="en-GB" w:eastAsia="en-GB"/>
        </w:rPr>
      </w:pPr>
    </w:p>
    <w:p w:rsidR="00356211" w:rsidRDefault="00356211" w:rsidP="00356211">
      <w:pPr>
        <w:rPr>
          <w:b/>
          <w:bCs/>
          <w:color w:val="548DD4"/>
          <w:lang w:val="en-GB"/>
        </w:rPr>
      </w:pPr>
      <w:r>
        <w:rPr>
          <w:b/>
          <w:bCs/>
          <w:color w:val="548DD4"/>
          <w:lang w:val="en-GB"/>
        </w:rPr>
        <w:t>Deliverables:</w:t>
      </w:r>
    </w:p>
    <w:p w:rsidR="00356211" w:rsidRDefault="00356211" w:rsidP="00356211">
      <w:pPr>
        <w:contextualSpacing/>
        <w:rPr>
          <w:rFonts w:eastAsia="+mn-ea"/>
          <w:color w:val="002060"/>
          <w:kern w:val="24"/>
          <w:lang w:eastAsia="en-GB"/>
        </w:rPr>
      </w:pPr>
    </w:p>
    <w:p w:rsidR="00356211" w:rsidRPr="00DD0526" w:rsidRDefault="00356211" w:rsidP="00356211">
      <w:pPr>
        <w:contextualSpacing/>
        <w:rPr>
          <w:rFonts w:eastAsia="Times New Roman"/>
          <w:color w:val="000000" w:themeColor="text1"/>
          <w:sz w:val="16"/>
          <w:lang w:val="en-GB" w:eastAsia="en-GB"/>
        </w:rPr>
      </w:pPr>
      <w:r w:rsidRPr="00DD0526">
        <w:rPr>
          <w:rFonts w:eastAsia="+mn-ea"/>
          <w:color w:val="000000" w:themeColor="text1"/>
          <w:kern w:val="24"/>
          <w:lang w:eastAsia="en-GB"/>
        </w:rPr>
        <w:t>Joint Guidance Note with:</w:t>
      </w:r>
    </w:p>
    <w:p w:rsidR="00356211" w:rsidRPr="00DD0526" w:rsidRDefault="00356211" w:rsidP="00356211">
      <w:pPr>
        <w:numPr>
          <w:ilvl w:val="0"/>
          <w:numId w:val="24"/>
        </w:numPr>
        <w:contextualSpacing/>
        <w:rPr>
          <w:rFonts w:eastAsia="Times New Roman"/>
          <w:color w:val="000000" w:themeColor="text1"/>
          <w:lang w:val="en-GB" w:eastAsia="en-GB"/>
        </w:rPr>
      </w:pPr>
      <w:r w:rsidRPr="00DD0526">
        <w:rPr>
          <w:rFonts w:eastAsia="+mn-ea"/>
          <w:color w:val="000000" w:themeColor="text1"/>
          <w:kern w:val="24"/>
          <w:lang w:eastAsia="en-GB"/>
        </w:rPr>
        <w:t>Synergies</w:t>
      </w:r>
    </w:p>
    <w:p w:rsidR="00356211" w:rsidRPr="00DD0526" w:rsidRDefault="00356211" w:rsidP="00356211">
      <w:pPr>
        <w:numPr>
          <w:ilvl w:val="0"/>
          <w:numId w:val="24"/>
        </w:numPr>
        <w:contextualSpacing/>
        <w:rPr>
          <w:rFonts w:eastAsia="Times New Roman"/>
          <w:color w:val="000000" w:themeColor="text1"/>
          <w:lang w:val="en-GB" w:eastAsia="en-GB"/>
        </w:rPr>
      </w:pPr>
      <w:r w:rsidRPr="00DD0526">
        <w:rPr>
          <w:rFonts w:eastAsia="+mn-ea"/>
          <w:color w:val="000000" w:themeColor="text1"/>
          <w:kern w:val="24"/>
          <w:lang w:eastAsia="en-GB"/>
        </w:rPr>
        <w:t>Complementarities</w:t>
      </w:r>
    </w:p>
    <w:p w:rsidR="00356211" w:rsidRPr="00DD0526" w:rsidRDefault="00356211" w:rsidP="00356211">
      <w:pPr>
        <w:numPr>
          <w:ilvl w:val="0"/>
          <w:numId w:val="24"/>
        </w:numPr>
        <w:contextualSpacing/>
        <w:rPr>
          <w:rFonts w:eastAsia="Times New Roman"/>
          <w:color w:val="000000" w:themeColor="text1"/>
          <w:lang w:val="en-GB" w:eastAsia="en-GB"/>
        </w:rPr>
      </w:pPr>
      <w:r w:rsidRPr="00DD0526">
        <w:rPr>
          <w:rFonts w:eastAsia="+mn-ea"/>
          <w:color w:val="000000" w:themeColor="text1"/>
          <w:kern w:val="24"/>
          <w:lang w:eastAsia="en-GB"/>
        </w:rPr>
        <w:t xml:space="preserve">Gaps </w:t>
      </w:r>
    </w:p>
    <w:p w:rsidR="00356211" w:rsidRPr="00DD0526" w:rsidRDefault="00356211" w:rsidP="00356211">
      <w:pPr>
        <w:numPr>
          <w:ilvl w:val="0"/>
          <w:numId w:val="24"/>
        </w:numPr>
        <w:contextualSpacing/>
        <w:rPr>
          <w:rFonts w:eastAsia="Times New Roman"/>
          <w:color w:val="000000" w:themeColor="text1"/>
          <w:lang w:val="en-GB" w:eastAsia="en-GB"/>
        </w:rPr>
      </w:pPr>
      <w:r w:rsidRPr="00DD0526">
        <w:rPr>
          <w:rFonts w:eastAsia="+mn-ea"/>
          <w:color w:val="000000" w:themeColor="text1"/>
          <w:kern w:val="24"/>
          <w:lang w:eastAsia="en-GB"/>
        </w:rPr>
        <w:t xml:space="preserve"> Lessons learned</w:t>
      </w:r>
    </w:p>
    <w:p w:rsidR="00356211" w:rsidRPr="00A81092" w:rsidRDefault="00356211" w:rsidP="00356211">
      <w:pPr>
        <w:rPr>
          <w:b/>
          <w:bCs/>
          <w:color w:val="548DD4"/>
          <w:lang w:val="en-GB"/>
        </w:rPr>
      </w:pPr>
    </w:p>
    <w:p w:rsidR="00D02D46" w:rsidRDefault="00D02D46" w:rsidP="00D02D46">
      <w:pPr>
        <w:spacing w:after="200" w:line="276" w:lineRule="auto"/>
        <w:jc w:val="center"/>
        <w:rPr>
          <w:b/>
          <w:bCs/>
          <w:color w:val="548DD4"/>
          <w:lang w:val="en-GB"/>
        </w:rPr>
      </w:pPr>
      <w:r>
        <w:rPr>
          <w:b/>
          <w:bCs/>
          <w:noProof/>
          <w:color w:val="548DD4"/>
          <w:lang w:eastAsia="en-US"/>
        </w:rPr>
        <w:drawing>
          <wp:inline distT="0" distB="0" distL="0" distR="0" wp14:anchorId="7A7C28C3" wp14:editId="0834B80E">
            <wp:extent cx="3771900" cy="2350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526" cy="2353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7B3" w:rsidRDefault="00356211" w:rsidP="0065625C">
      <w:pPr>
        <w:rPr>
          <w:lang w:val="en-GB"/>
        </w:rPr>
      </w:pPr>
      <w:r>
        <w:rPr>
          <w:lang w:val="en-GB"/>
        </w:rPr>
        <w:t>D</w:t>
      </w:r>
      <w:r w:rsidR="00172A60">
        <w:rPr>
          <w:lang w:val="en-GB"/>
        </w:rPr>
        <w:t>ecisions concerning budget availability and allocation will remain with the Global Food Security Cluster Coordinator according to prevailing resources</w:t>
      </w:r>
      <w:r w:rsidR="00DD0526">
        <w:rPr>
          <w:lang w:val="en-GB"/>
        </w:rPr>
        <w:t>.</w:t>
      </w:r>
    </w:p>
    <w:p w:rsidR="00E2610A" w:rsidRDefault="00E2610A" w:rsidP="00E2610A">
      <w:pPr>
        <w:rPr>
          <w:b/>
          <w:bCs/>
          <w:color w:val="548DD4"/>
          <w:lang w:val="en-GB"/>
        </w:rPr>
      </w:pPr>
    </w:p>
    <w:p w:rsidR="00E2610A" w:rsidRPr="00A81092" w:rsidRDefault="00E2610A" w:rsidP="00E2610A">
      <w:pPr>
        <w:rPr>
          <w:b/>
          <w:bCs/>
          <w:color w:val="548DD4"/>
          <w:lang w:val="en-GB"/>
        </w:rPr>
      </w:pPr>
      <w:r w:rsidRPr="00A81092">
        <w:rPr>
          <w:b/>
          <w:bCs/>
          <w:color w:val="548DD4"/>
          <w:lang w:val="en-GB"/>
        </w:rPr>
        <w:t>Method of work:</w:t>
      </w:r>
    </w:p>
    <w:p w:rsidR="00E2610A" w:rsidRDefault="00E2610A" w:rsidP="00E2610A">
      <w:pPr>
        <w:rPr>
          <w:lang w:val="en-GB"/>
        </w:rPr>
      </w:pPr>
    </w:p>
    <w:p w:rsidR="00E2610A" w:rsidRPr="00A81092" w:rsidRDefault="00E2610A" w:rsidP="00E2610A">
      <w:pPr>
        <w:rPr>
          <w:lang w:val="en-GB"/>
        </w:rPr>
      </w:pPr>
      <w:r w:rsidRPr="00A81092">
        <w:rPr>
          <w:lang w:val="en-GB"/>
        </w:rPr>
        <w:t xml:space="preserve">The </w:t>
      </w:r>
      <w:proofErr w:type="spellStart"/>
      <w:r>
        <w:rPr>
          <w:lang w:val="en-GB"/>
        </w:rPr>
        <w:t>g</w:t>
      </w:r>
      <w:r w:rsidRPr="00A81092">
        <w:rPr>
          <w:lang w:val="en-GB"/>
        </w:rPr>
        <w:t>FSC</w:t>
      </w:r>
      <w:proofErr w:type="spellEnd"/>
      <w:r w:rsidRPr="00A81092">
        <w:rPr>
          <w:lang w:val="en-GB"/>
        </w:rPr>
        <w:t xml:space="preserve"> support team will </w:t>
      </w:r>
      <w:r>
        <w:rPr>
          <w:lang w:val="en-GB"/>
        </w:rPr>
        <w:t xml:space="preserve">act as the secretariat for the Working Group and will </w:t>
      </w:r>
      <w:r w:rsidRPr="00A81092">
        <w:rPr>
          <w:lang w:val="en-GB"/>
        </w:rPr>
        <w:t>manage and ensure the communications th</w:t>
      </w:r>
      <w:r>
        <w:rPr>
          <w:lang w:val="en-GB"/>
        </w:rPr>
        <w:t>r</w:t>
      </w:r>
      <w:r w:rsidRPr="00A81092">
        <w:rPr>
          <w:lang w:val="en-GB"/>
        </w:rPr>
        <w:t>ough:</w:t>
      </w:r>
    </w:p>
    <w:p w:rsidR="00E2610A" w:rsidRPr="00A81092" w:rsidRDefault="00E2610A" w:rsidP="00E2610A">
      <w:pPr>
        <w:numPr>
          <w:ilvl w:val="0"/>
          <w:numId w:val="1"/>
        </w:numPr>
        <w:rPr>
          <w:lang w:val="en-GB"/>
        </w:rPr>
      </w:pPr>
      <w:r w:rsidRPr="00A81092">
        <w:rPr>
          <w:lang w:val="en-GB"/>
        </w:rPr>
        <w:t>Regular email correspondence</w:t>
      </w:r>
    </w:p>
    <w:p w:rsidR="00E2610A" w:rsidRPr="00A81092" w:rsidRDefault="00E2610A" w:rsidP="00E2610A">
      <w:pPr>
        <w:numPr>
          <w:ilvl w:val="0"/>
          <w:numId w:val="1"/>
        </w:numPr>
        <w:rPr>
          <w:lang w:val="en-GB"/>
        </w:rPr>
      </w:pPr>
      <w:r w:rsidRPr="00A81092">
        <w:rPr>
          <w:lang w:val="en-GB"/>
        </w:rPr>
        <w:t xml:space="preserve">Conduct regular telephone conferences </w:t>
      </w:r>
      <w:r>
        <w:rPr>
          <w:lang w:val="en-GB"/>
        </w:rPr>
        <w:t>(the initial recommendation is for monthly meetings)</w:t>
      </w:r>
    </w:p>
    <w:p w:rsidR="00E2610A" w:rsidRDefault="00E2610A" w:rsidP="00E2610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The first f</w:t>
      </w:r>
      <w:r w:rsidRPr="00A81092">
        <w:rPr>
          <w:lang w:val="en-GB"/>
        </w:rPr>
        <w:t>ace-to-face meeting</w:t>
      </w:r>
      <w:r>
        <w:rPr>
          <w:lang w:val="en-GB"/>
        </w:rPr>
        <w:t xml:space="preserve"> is scheduled for the 16 April 2012, in Geneva (the day prior to the </w:t>
      </w:r>
      <w:proofErr w:type="spellStart"/>
      <w:r>
        <w:rPr>
          <w:lang w:val="en-GB"/>
        </w:rPr>
        <w:t>gFSC</w:t>
      </w:r>
      <w:proofErr w:type="spellEnd"/>
      <w:r>
        <w:rPr>
          <w:lang w:val="en-GB"/>
        </w:rPr>
        <w:t xml:space="preserve"> bi-annual meeting in Geneva, 17-18 April 2012).</w:t>
      </w:r>
    </w:p>
    <w:p w:rsidR="00E2610A" w:rsidRDefault="00E2610A" w:rsidP="00E2610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gFSC</w:t>
      </w:r>
      <w:proofErr w:type="spellEnd"/>
      <w:r>
        <w:rPr>
          <w:lang w:val="en-GB"/>
        </w:rPr>
        <w:t xml:space="preserve"> WG on Assessments will report </w:t>
      </w:r>
      <w:proofErr w:type="spellStart"/>
      <w:r>
        <w:rPr>
          <w:lang w:val="en-GB"/>
        </w:rPr>
        <w:t>high</w:t>
      </w:r>
      <w:proofErr w:type="gramStart"/>
      <w:r>
        <w:rPr>
          <w:lang w:val="en-GB"/>
        </w:rPr>
        <w:t>;ights</w:t>
      </w:r>
      <w:proofErr w:type="spellEnd"/>
      <w:proofErr w:type="gramEnd"/>
      <w:r>
        <w:rPr>
          <w:lang w:val="en-GB"/>
        </w:rPr>
        <w:t xml:space="preserve"> to the </w:t>
      </w:r>
      <w:proofErr w:type="spellStart"/>
      <w:r>
        <w:rPr>
          <w:lang w:val="en-GB"/>
        </w:rPr>
        <w:t>gFSC</w:t>
      </w:r>
      <w:proofErr w:type="spellEnd"/>
      <w:r>
        <w:rPr>
          <w:lang w:val="en-GB"/>
        </w:rPr>
        <w:t xml:space="preserve"> partners during the monthly teleconferences and in more detail during the bi-annual meetings of partners).</w:t>
      </w:r>
    </w:p>
    <w:p w:rsidR="00E2610A" w:rsidRPr="001712DC" w:rsidRDefault="00E2610A" w:rsidP="00E2610A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Final meeting minutes will be circulated</w:t>
      </w:r>
      <w:r w:rsidRPr="00B939BB">
        <w:t xml:space="preserve"> </w:t>
      </w:r>
      <w:r>
        <w:t xml:space="preserve">to all </w:t>
      </w:r>
      <w:proofErr w:type="spellStart"/>
      <w:r>
        <w:t>g</w:t>
      </w:r>
      <w:r w:rsidRPr="00A81092">
        <w:t>FSC</w:t>
      </w:r>
      <w:proofErr w:type="spellEnd"/>
      <w:r w:rsidRPr="00A81092">
        <w:t xml:space="preserve"> </w:t>
      </w:r>
      <w:r>
        <w:t>partners as information</w:t>
      </w:r>
      <w:r>
        <w:rPr>
          <w:lang w:val="en-GB"/>
        </w:rPr>
        <w:t>.</w:t>
      </w:r>
    </w:p>
    <w:p w:rsidR="00FA37B3" w:rsidRPr="00FA37B3" w:rsidRDefault="00FA37B3" w:rsidP="0065625C">
      <w:pPr>
        <w:rPr>
          <w:b/>
          <w:bCs/>
          <w:color w:val="548DD4"/>
          <w:sz w:val="16"/>
          <w:szCs w:val="16"/>
          <w:lang w:val="en-GB"/>
        </w:rPr>
      </w:pPr>
    </w:p>
    <w:sectPr w:rsidR="00FA37B3" w:rsidRPr="00FA37B3" w:rsidSect="00AD0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7D" w:rsidRDefault="00CF627D" w:rsidP="0065625C">
      <w:r>
        <w:separator/>
      </w:r>
    </w:p>
  </w:endnote>
  <w:endnote w:type="continuationSeparator" w:id="0">
    <w:p w:rsidR="00CF627D" w:rsidRDefault="00CF627D" w:rsidP="006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7D" w:rsidRDefault="00CF627D" w:rsidP="0065625C">
      <w:r>
        <w:separator/>
      </w:r>
    </w:p>
  </w:footnote>
  <w:footnote w:type="continuationSeparator" w:id="0">
    <w:p w:rsidR="00CF627D" w:rsidRDefault="00CF627D" w:rsidP="006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95B"/>
    <w:multiLevelType w:val="multilevel"/>
    <w:tmpl w:val="91502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D10A4F"/>
    <w:multiLevelType w:val="hybridMultilevel"/>
    <w:tmpl w:val="5C84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6C9"/>
    <w:multiLevelType w:val="hybridMultilevel"/>
    <w:tmpl w:val="C2AA6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174"/>
    <w:multiLevelType w:val="hybridMultilevel"/>
    <w:tmpl w:val="A328D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6ACA"/>
    <w:multiLevelType w:val="hybridMultilevel"/>
    <w:tmpl w:val="6E3A4A54"/>
    <w:lvl w:ilvl="0" w:tplc="CB6A197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07FAC"/>
    <w:multiLevelType w:val="hybridMultilevel"/>
    <w:tmpl w:val="5E60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2833"/>
    <w:multiLevelType w:val="hybridMultilevel"/>
    <w:tmpl w:val="DB1ECE1C"/>
    <w:lvl w:ilvl="0" w:tplc="B388D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DE4D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DA2F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742D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D0EC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D2B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8C83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4FA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38D4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73F4DF0"/>
    <w:multiLevelType w:val="hybridMultilevel"/>
    <w:tmpl w:val="6A860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D0E0F"/>
    <w:multiLevelType w:val="hybridMultilevel"/>
    <w:tmpl w:val="1A185034"/>
    <w:lvl w:ilvl="0" w:tplc="D4F44A18">
      <w:start w:val="1"/>
      <w:numFmt w:val="decimal"/>
      <w:lvlText w:val="%1."/>
      <w:lvlJc w:val="left"/>
      <w:pPr>
        <w:tabs>
          <w:tab w:val="num" w:pos="-1510"/>
        </w:tabs>
        <w:ind w:left="-1510" w:hanging="360"/>
      </w:pPr>
      <w:rPr>
        <w:color w:val="auto"/>
        <w:sz w:val="24"/>
        <w:szCs w:val="24"/>
      </w:rPr>
    </w:lvl>
    <w:lvl w:ilvl="1" w:tplc="CBAACACC">
      <w:start w:val="1663"/>
      <w:numFmt w:val="bullet"/>
      <w:lvlText w:val=""/>
      <w:lvlJc w:val="left"/>
      <w:pPr>
        <w:tabs>
          <w:tab w:val="num" w:pos="-790"/>
        </w:tabs>
        <w:ind w:left="-790" w:hanging="360"/>
      </w:pPr>
      <w:rPr>
        <w:rFonts w:ascii="Wingdings" w:hAnsi="Wingdings" w:hint="default"/>
      </w:rPr>
    </w:lvl>
    <w:lvl w:ilvl="2" w:tplc="AEEAF8FA">
      <w:start w:val="1663"/>
      <w:numFmt w:val="bullet"/>
      <w:lvlText w:val=""/>
      <w:lvlJc w:val="left"/>
      <w:pPr>
        <w:tabs>
          <w:tab w:val="num" w:pos="-70"/>
        </w:tabs>
        <w:ind w:left="-70" w:hanging="360"/>
      </w:pPr>
      <w:rPr>
        <w:rFonts w:ascii="Wingdings" w:hAnsi="Wingdings" w:hint="default"/>
      </w:rPr>
    </w:lvl>
    <w:lvl w:ilvl="3" w:tplc="2098A86E">
      <w:start w:val="1"/>
      <w:numFmt w:val="decimal"/>
      <w:lvlText w:val="%4."/>
      <w:lvlJc w:val="left"/>
      <w:pPr>
        <w:tabs>
          <w:tab w:val="num" w:pos="650"/>
        </w:tabs>
        <w:ind w:left="650" w:hanging="360"/>
      </w:pPr>
    </w:lvl>
    <w:lvl w:ilvl="4" w:tplc="0809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5" w:tplc="0809000B">
      <w:start w:val="1"/>
      <w:numFmt w:val="bullet"/>
      <w:lvlText w:val="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6" w:tplc="3FB0B6D6" w:tentative="1">
      <w:start w:val="1"/>
      <w:numFmt w:val="decimal"/>
      <w:lvlText w:val="%7."/>
      <w:lvlJc w:val="left"/>
      <w:pPr>
        <w:tabs>
          <w:tab w:val="num" w:pos="2810"/>
        </w:tabs>
        <w:ind w:left="2810" w:hanging="360"/>
      </w:pPr>
    </w:lvl>
    <w:lvl w:ilvl="7" w:tplc="DA06B7DC" w:tentative="1">
      <w:start w:val="1"/>
      <w:numFmt w:val="decimal"/>
      <w:lvlText w:val="%8."/>
      <w:lvlJc w:val="left"/>
      <w:pPr>
        <w:tabs>
          <w:tab w:val="num" w:pos="3530"/>
        </w:tabs>
        <w:ind w:left="3530" w:hanging="360"/>
      </w:pPr>
    </w:lvl>
    <w:lvl w:ilvl="8" w:tplc="22BA97EA" w:tentative="1">
      <w:start w:val="1"/>
      <w:numFmt w:val="decimal"/>
      <w:lvlText w:val="%9."/>
      <w:lvlJc w:val="left"/>
      <w:pPr>
        <w:tabs>
          <w:tab w:val="num" w:pos="4250"/>
        </w:tabs>
        <w:ind w:left="4250" w:hanging="360"/>
      </w:pPr>
    </w:lvl>
  </w:abstractNum>
  <w:abstractNum w:abstractNumId="9">
    <w:nsid w:val="343934C9"/>
    <w:multiLevelType w:val="hybridMultilevel"/>
    <w:tmpl w:val="680E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176D4"/>
    <w:multiLevelType w:val="hybridMultilevel"/>
    <w:tmpl w:val="D0F4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A5E84"/>
    <w:multiLevelType w:val="multilevel"/>
    <w:tmpl w:val="74661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EF7902"/>
    <w:multiLevelType w:val="hybridMultilevel"/>
    <w:tmpl w:val="30FC8D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15CE7"/>
    <w:multiLevelType w:val="hybridMultilevel"/>
    <w:tmpl w:val="AF5C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C417A"/>
    <w:multiLevelType w:val="hybridMultilevel"/>
    <w:tmpl w:val="72D0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A7413"/>
    <w:multiLevelType w:val="hybridMultilevel"/>
    <w:tmpl w:val="8E9A1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EB3"/>
    <w:multiLevelType w:val="hybridMultilevel"/>
    <w:tmpl w:val="68B6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F0404"/>
    <w:multiLevelType w:val="hybridMultilevel"/>
    <w:tmpl w:val="D20EE6B6"/>
    <w:lvl w:ilvl="0" w:tplc="D4F44A18">
      <w:start w:val="1"/>
      <w:numFmt w:val="decimal"/>
      <w:lvlText w:val="%1."/>
      <w:lvlJc w:val="left"/>
      <w:pPr>
        <w:tabs>
          <w:tab w:val="num" w:pos="-1510"/>
        </w:tabs>
        <w:ind w:left="-1510" w:hanging="360"/>
      </w:pPr>
      <w:rPr>
        <w:color w:val="auto"/>
        <w:sz w:val="24"/>
        <w:szCs w:val="24"/>
      </w:rPr>
    </w:lvl>
    <w:lvl w:ilvl="1" w:tplc="CBAACACC">
      <w:start w:val="1663"/>
      <w:numFmt w:val="bullet"/>
      <w:lvlText w:val=""/>
      <w:lvlJc w:val="left"/>
      <w:pPr>
        <w:tabs>
          <w:tab w:val="num" w:pos="-790"/>
        </w:tabs>
        <w:ind w:left="-790" w:hanging="360"/>
      </w:pPr>
      <w:rPr>
        <w:rFonts w:ascii="Wingdings" w:hAnsi="Wingdings" w:hint="default"/>
      </w:rPr>
    </w:lvl>
    <w:lvl w:ilvl="2" w:tplc="AEEAF8FA">
      <w:start w:val="1663"/>
      <w:numFmt w:val="bullet"/>
      <w:lvlText w:val=""/>
      <w:lvlJc w:val="left"/>
      <w:pPr>
        <w:tabs>
          <w:tab w:val="num" w:pos="-70"/>
        </w:tabs>
        <w:ind w:left="-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5" w:tplc="0809000B">
      <w:start w:val="1"/>
      <w:numFmt w:val="bullet"/>
      <w:lvlText w:val="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6" w:tplc="3FB0B6D6" w:tentative="1">
      <w:start w:val="1"/>
      <w:numFmt w:val="decimal"/>
      <w:lvlText w:val="%7."/>
      <w:lvlJc w:val="left"/>
      <w:pPr>
        <w:tabs>
          <w:tab w:val="num" w:pos="2810"/>
        </w:tabs>
        <w:ind w:left="2810" w:hanging="360"/>
      </w:pPr>
    </w:lvl>
    <w:lvl w:ilvl="7" w:tplc="DA06B7DC" w:tentative="1">
      <w:start w:val="1"/>
      <w:numFmt w:val="decimal"/>
      <w:lvlText w:val="%8."/>
      <w:lvlJc w:val="left"/>
      <w:pPr>
        <w:tabs>
          <w:tab w:val="num" w:pos="3530"/>
        </w:tabs>
        <w:ind w:left="3530" w:hanging="360"/>
      </w:pPr>
    </w:lvl>
    <w:lvl w:ilvl="8" w:tplc="22BA97EA" w:tentative="1">
      <w:start w:val="1"/>
      <w:numFmt w:val="decimal"/>
      <w:lvlText w:val="%9."/>
      <w:lvlJc w:val="left"/>
      <w:pPr>
        <w:tabs>
          <w:tab w:val="num" w:pos="4250"/>
        </w:tabs>
        <w:ind w:left="4250" w:hanging="360"/>
      </w:pPr>
    </w:lvl>
  </w:abstractNum>
  <w:abstractNum w:abstractNumId="18">
    <w:nsid w:val="5C684154"/>
    <w:multiLevelType w:val="hybridMultilevel"/>
    <w:tmpl w:val="F3B0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F3455"/>
    <w:multiLevelType w:val="hybridMultilevel"/>
    <w:tmpl w:val="9A14672A"/>
    <w:lvl w:ilvl="0" w:tplc="2B20E1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3CF242">
      <w:start w:val="15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EAF1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38DD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B6B7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882E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8D6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36D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B445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FD53E5C"/>
    <w:multiLevelType w:val="hybridMultilevel"/>
    <w:tmpl w:val="3F9C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18ED"/>
    <w:multiLevelType w:val="hybridMultilevel"/>
    <w:tmpl w:val="05305C9C"/>
    <w:lvl w:ilvl="0" w:tplc="5B7E5C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5493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4A54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8A36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2295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24D9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8E2F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3865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F6A3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7A276BF"/>
    <w:multiLevelType w:val="hybridMultilevel"/>
    <w:tmpl w:val="B658E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A00934"/>
    <w:multiLevelType w:val="hybridMultilevel"/>
    <w:tmpl w:val="3094E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B0BA7"/>
    <w:multiLevelType w:val="hybridMultilevel"/>
    <w:tmpl w:val="60063EF0"/>
    <w:lvl w:ilvl="0" w:tplc="CD8026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FA9F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32B7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8EEE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BEB4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F42E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809B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5857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E29A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8"/>
  </w:num>
  <w:num w:numId="13">
    <w:abstractNumId w:val="22"/>
  </w:num>
  <w:num w:numId="14">
    <w:abstractNumId w:val="20"/>
  </w:num>
  <w:num w:numId="15">
    <w:abstractNumId w:val="5"/>
  </w:num>
  <w:num w:numId="16">
    <w:abstractNumId w:val="0"/>
  </w:num>
  <w:num w:numId="17">
    <w:abstractNumId w:val="23"/>
  </w:num>
  <w:num w:numId="18">
    <w:abstractNumId w:val="11"/>
  </w:num>
  <w:num w:numId="19">
    <w:abstractNumId w:val="24"/>
  </w:num>
  <w:num w:numId="20">
    <w:abstractNumId w:val="21"/>
  </w:num>
  <w:num w:numId="21">
    <w:abstractNumId w:val="4"/>
  </w:num>
  <w:num w:numId="22">
    <w:abstractNumId w:val="6"/>
  </w:num>
  <w:num w:numId="23">
    <w:abstractNumId w:val="17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5C"/>
    <w:rsid w:val="000406D7"/>
    <w:rsid w:val="000A4A9D"/>
    <w:rsid w:val="000D0C97"/>
    <w:rsid w:val="00124C62"/>
    <w:rsid w:val="00152DD5"/>
    <w:rsid w:val="001618E4"/>
    <w:rsid w:val="001712DC"/>
    <w:rsid w:val="00171B7A"/>
    <w:rsid w:val="00172A60"/>
    <w:rsid w:val="001F3F34"/>
    <w:rsid w:val="001F5B26"/>
    <w:rsid w:val="00222F1C"/>
    <w:rsid w:val="00275FC3"/>
    <w:rsid w:val="00282E5B"/>
    <w:rsid w:val="002A31B4"/>
    <w:rsid w:val="002B69AE"/>
    <w:rsid w:val="0033313A"/>
    <w:rsid w:val="00356211"/>
    <w:rsid w:val="00390BE7"/>
    <w:rsid w:val="003E508F"/>
    <w:rsid w:val="003F1699"/>
    <w:rsid w:val="003F4A32"/>
    <w:rsid w:val="00413463"/>
    <w:rsid w:val="00414C0F"/>
    <w:rsid w:val="00445C2A"/>
    <w:rsid w:val="00490BD9"/>
    <w:rsid w:val="004A1AF3"/>
    <w:rsid w:val="004D0576"/>
    <w:rsid w:val="004E30BB"/>
    <w:rsid w:val="004F0BA7"/>
    <w:rsid w:val="004F1FE7"/>
    <w:rsid w:val="00514FC1"/>
    <w:rsid w:val="005236E5"/>
    <w:rsid w:val="0054620F"/>
    <w:rsid w:val="00552718"/>
    <w:rsid w:val="005565FA"/>
    <w:rsid w:val="00574B22"/>
    <w:rsid w:val="005808DE"/>
    <w:rsid w:val="005E3C75"/>
    <w:rsid w:val="00620F7E"/>
    <w:rsid w:val="0065625C"/>
    <w:rsid w:val="006716A5"/>
    <w:rsid w:val="006A1A63"/>
    <w:rsid w:val="00701B73"/>
    <w:rsid w:val="00744118"/>
    <w:rsid w:val="0076082A"/>
    <w:rsid w:val="0077069F"/>
    <w:rsid w:val="007B457B"/>
    <w:rsid w:val="007C1F7F"/>
    <w:rsid w:val="007E518B"/>
    <w:rsid w:val="008322E0"/>
    <w:rsid w:val="00835B4B"/>
    <w:rsid w:val="00843D61"/>
    <w:rsid w:val="008525AF"/>
    <w:rsid w:val="0089349A"/>
    <w:rsid w:val="008A6547"/>
    <w:rsid w:val="008B4623"/>
    <w:rsid w:val="008C52A6"/>
    <w:rsid w:val="008F3445"/>
    <w:rsid w:val="00906111"/>
    <w:rsid w:val="0090724F"/>
    <w:rsid w:val="00916C00"/>
    <w:rsid w:val="00937A47"/>
    <w:rsid w:val="00944966"/>
    <w:rsid w:val="009B50CF"/>
    <w:rsid w:val="009E1727"/>
    <w:rsid w:val="009E7F61"/>
    <w:rsid w:val="00A13549"/>
    <w:rsid w:val="00A433D8"/>
    <w:rsid w:val="00A67C16"/>
    <w:rsid w:val="00A70F81"/>
    <w:rsid w:val="00A955E5"/>
    <w:rsid w:val="00AA1710"/>
    <w:rsid w:val="00AB4830"/>
    <w:rsid w:val="00AD067B"/>
    <w:rsid w:val="00B06F22"/>
    <w:rsid w:val="00B170DE"/>
    <w:rsid w:val="00B23DB2"/>
    <w:rsid w:val="00B523D2"/>
    <w:rsid w:val="00B72114"/>
    <w:rsid w:val="00B939BB"/>
    <w:rsid w:val="00B94465"/>
    <w:rsid w:val="00BF0BB3"/>
    <w:rsid w:val="00BF305E"/>
    <w:rsid w:val="00C02D66"/>
    <w:rsid w:val="00C37EB1"/>
    <w:rsid w:val="00C47A8C"/>
    <w:rsid w:val="00C569E3"/>
    <w:rsid w:val="00C80072"/>
    <w:rsid w:val="00C96CB6"/>
    <w:rsid w:val="00CC02F0"/>
    <w:rsid w:val="00CE62D0"/>
    <w:rsid w:val="00CF627D"/>
    <w:rsid w:val="00D0216C"/>
    <w:rsid w:val="00D02D46"/>
    <w:rsid w:val="00D050E0"/>
    <w:rsid w:val="00D15846"/>
    <w:rsid w:val="00D30675"/>
    <w:rsid w:val="00D92CAB"/>
    <w:rsid w:val="00DD0526"/>
    <w:rsid w:val="00E2610A"/>
    <w:rsid w:val="00EB0CB8"/>
    <w:rsid w:val="00F2625B"/>
    <w:rsid w:val="00F9189C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6562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1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C16"/>
    <w:rPr>
      <w:color w:val="0000FF" w:themeColor="hyperlink"/>
      <w:u w:val="single"/>
    </w:rPr>
  </w:style>
  <w:style w:type="paragraph" w:customStyle="1" w:styleId="TableHead">
    <w:name w:val="Table Head"/>
    <w:basedOn w:val="Normal"/>
    <w:rsid w:val="003F4A32"/>
    <w:pPr>
      <w:tabs>
        <w:tab w:val="left" w:pos="567"/>
        <w:tab w:val="left" w:pos="992"/>
      </w:tabs>
      <w:spacing w:before="120" w:after="120" w:line="240" w:lineRule="exact"/>
    </w:pPr>
    <w:rPr>
      <w:rFonts w:eastAsia="Times New Roman"/>
      <w:b/>
      <w:bCs/>
      <w:sz w:val="19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6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6562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1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C16"/>
    <w:rPr>
      <w:color w:val="0000FF" w:themeColor="hyperlink"/>
      <w:u w:val="single"/>
    </w:rPr>
  </w:style>
  <w:style w:type="paragraph" w:customStyle="1" w:styleId="TableHead">
    <w:name w:val="Table Head"/>
    <w:basedOn w:val="Normal"/>
    <w:rsid w:val="003F4A32"/>
    <w:pPr>
      <w:tabs>
        <w:tab w:val="left" w:pos="567"/>
        <w:tab w:val="left" w:pos="992"/>
      </w:tabs>
      <w:spacing w:before="120" w:after="120" w:line="240" w:lineRule="exact"/>
    </w:pPr>
    <w:rPr>
      <w:rFonts w:eastAsia="Times New Roman"/>
      <w:b/>
      <w:bCs/>
      <w:sz w:val="19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6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9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5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5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783">
          <w:marLeft w:val="20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732">
          <w:marLeft w:val="20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202">
          <w:marLeft w:val="20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32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199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la@internationalmedicalcorps.org" TargetMode="External"/><Relationship Id="rId13" Type="http://schemas.openxmlformats.org/officeDocument/2006/relationships/hyperlink" Target="mailto:Amanda.mcclelland@concern.net" TargetMode="External"/><Relationship Id="rId18" Type="http://schemas.openxmlformats.org/officeDocument/2006/relationships/hyperlink" Target="mailto:cabla@internationalmedicalcorps.org" TargetMode="External"/><Relationship Id="rId26" Type="http://schemas.openxmlformats.org/officeDocument/2006/relationships/hyperlink" Target="mailto:jippe@unicef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phelps@oxfam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mohamed@care.org" TargetMode="External"/><Relationship Id="rId17" Type="http://schemas.openxmlformats.org/officeDocument/2006/relationships/hyperlink" Target="mailto:hilary.motsiri@ifrc.org" TargetMode="External"/><Relationship Id="rId25" Type="http://schemas.openxmlformats.org/officeDocument/2006/relationships/hyperlink" Target="mailto:Holdsworth@u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iflemariam.amdemariam@ifrc.org" TargetMode="External"/><Relationship Id="rId20" Type="http://schemas.openxmlformats.org/officeDocument/2006/relationships/hyperlink" Target="mailto:gscarborough@bos.mercycorps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H@dca.dk" TargetMode="External"/><Relationship Id="rId24" Type="http://schemas.openxmlformats.org/officeDocument/2006/relationships/hyperlink" Target="mailto:douglas_brown@wv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orence.Egal@fao.org" TargetMode="External"/><Relationship Id="rId23" Type="http://schemas.openxmlformats.org/officeDocument/2006/relationships/hyperlink" Target="mailto:ppascal@solidarite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morel@actioncontrelafaim.org" TargetMode="External"/><Relationship Id="rId19" Type="http://schemas.openxmlformats.org/officeDocument/2006/relationships/hyperlink" Target="mailto:Frances.Kimmins@rescue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lary.motsiri@ifrc.org" TargetMode="External"/><Relationship Id="rId14" Type="http://schemas.openxmlformats.org/officeDocument/2006/relationships/hyperlink" Target="mailto:Neil.Marsland@fao.org" TargetMode="External"/><Relationship Id="rId22" Type="http://schemas.openxmlformats.org/officeDocument/2006/relationships/hyperlink" Target="mailto:J.Saulle@savethechildren.org.uk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emma.fitzpatrick</dc:creator>
  <cp:lastModifiedBy>Anna Ziolkovska</cp:lastModifiedBy>
  <cp:revision>2</cp:revision>
  <dcterms:created xsi:type="dcterms:W3CDTF">2013-01-15T13:47:00Z</dcterms:created>
  <dcterms:modified xsi:type="dcterms:W3CDTF">2013-01-15T13:47:00Z</dcterms:modified>
</cp:coreProperties>
</file>