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EF464" w14:textId="70B7D748" w:rsidR="005B06F5" w:rsidRDefault="00A664C6" w:rsidP="00A664C6">
      <w:pPr>
        <w:jc w:val="center"/>
        <w:rPr>
          <w:rFonts w:asciiTheme="majorHAnsi" w:hAnsiTheme="majorHAnsi"/>
        </w:rPr>
      </w:pPr>
      <w:r w:rsidRPr="00173826">
        <w:rPr>
          <w:rFonts w:asciiTheme="majorHAnsi" w:hAnsiTheme="majorHAnsi"/>
          <w:noProof/>
        </w:rPr>
        <w:drawing>
          <wp:inline distT="0" distB="0" distL="0" distR="0" wp14:anchorId="59290407" wp14:editId="752D1F2F">
            <wp:extent cx="2295525" cy="885825"/>
            <wp:effectExtent l="0" t="0" r="0" b="3175"/>
            <wp:docPr id="2" name="Picture 2" descr="cid:image002.png@01CE71C4.254D8890"/>
            <wp:cNvGraphicFramePr/>
            <a:graphic xmlns:a="http://schemas.openxmlformats.org/drawingml/2006/main">
              <a:graphicData uri="http://schemas.openxmlformats.org/drawingml/2006/picture">
                <pic:pic xmlns:pic="http://schemas.openxmlformats.org/drawingml/2006/picture">
                  <pic:nvPicPr>
                    <pic:cNvPr id="1" name="Picture 1" descr="cid:image002.png@01CE71C4.254D8890"/>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5525" cy="885825"/>
                    </a:xfrm>
                    <a:prstGeom prst="rect">
                      <a:avLst/>
                    </a:prstGeom>
                    <a:noFill/>
                    <a:ln>
                      <a:noFill/>
                    </a:ln>
                  </pic:spPr>
                </pic:pic>
              </a:graphicData>
            </a:graphic>
          </wp:inline>
        </w:drawing>
      </w:r>
    </w:p>
    <w:p w14:paraId="424CC737" w14:textId="77777777" w:rsidR="00A664C6" w:rsidRDefault="00A664C6">
      <w:pPr>
        <w:rPr>
          <w:rFonts w:asciiTheme="majorHAnsi" w:hAnsiTheme="majorHAnsi"/>
        </w:rPr>
      </w:pPr>
    </w:p>
    <w:p w14:paraId="16834E84" w14:textId="77777777" w:rsidR="00A664C6" w:rsidRDefault="00A664C6">
      <w:pPr>
        <w:rPr>
          <w:rFonts w:asciiTheme="majorHAnsi" w:hAnsiTheme="majorHAnsi"/>
        </w:rPr>
      </w:pPr>
    </w:p>
    <w:p w14:paraId="4D567D25" w14:textId="06757515" w:rsidR="00A664C6" w:rsidRDefault="00A664C6" w:rsidP="00A664C6">
      <w:pPr>
        <w:jc w:val="center"/>
        <w:rPr>
          <w:rFonts w:asciiTheme="majorHAnsi" w:hAnsiTheme="majorHAnsi"/>
          <w:b/>
        </w:rPr>
      </w:pPr>
      <w:r w:rsidRPr="00A664C6">
        <w:rPr>
          <w:rFonts w:asciiTheme="majorHAnsi" w:hAnsiTheme="majorHAnsi"/>
          <w:b/>
        </w:rPr>
        <w:t xml:space="preserve">Global Nutrition Cluster </w:t>
      </w:r>
      <w:r w:rsidR="006C2C3A">
        <w:rPr>
          <w:rFonts w:asciiTheme="majorHAnsi" w:hAnsiTheme="majorHAnsi"/>
          <w:b/>
        </w:rPr>
        <w:t xml:space="preserve">(GNC) </w:t>
      </w:r>
      <w:r w:rsidRPr="00A664C6">
        <w:rPr>
          <w:rFonts w:asciiTheme="majorHAnsi" w:hAnsiTheme="majorHAnsi"/>
          <w:b/>
        </w:rPr>
        <w:t>Strategic Plan 2014-2016</w:t>
      </w:r>
    </w:p>
    <w:p w14:paraId="5F1239AB" w14:textId="77777777" w:rsidR="00A664C6" w:rsidRDefault="00A664C6" w:rsidP="00A664C6">
      <w:pPr>
        <w:jc w:val="center"/>
        <w:rPr>
          <w:rFonts w:asciiTheme="majorHAnsi" w:hAnsiTheme="majorHAnsi"/>
          <w:b/>
        </w:rPr>
      </w:pPr>
    </w:p>
    <w:p w14:paraId="593B4F07" w14:textId="56598891" w:rsidR="00A664C6" w:rsidRPr="00A664C6" w:rsidRDefault="00B70817" w:rsidP="00A664C6">
      <w:pPr>
        <w:jc w:val="center"/>
        <w:rPr>
          <w:rFonts w:asciiTheme="majorHAnsi" w:hAnsiTheme="majorHAnsi"/>
          <w:b/>
          <w:color w:val="BFBFBF" w:themeColor="background1" w:themeShade="BF"/>
        </w:rPr>
      </w:pPr>
      <w:r>
        <w:rPr>
          <w:rFonts w:asciiTheme="majorHAnsi" w:hAnsiTheme="majorHAnsi"/>
          <w:b/>
          <w:color w:val="BFBFBF" w:themeColor="background1" w:themeShade="BF"/>
        </w:rPr>
        <w:t>Final version July</w:t>
      </w:r>
      <w:r w:rsidR="00A664C6">
        <w:rPr>
          <w:rFonts w:asciiTheme="majorHAnsi" w:hAnsiTheme="majorHAnsi"/>
          <w:b/>
          <w:color w:val="BFBFBF" w:themeColor="background1" w:themeShade="BF"/>
        </w:rPr>
        <w:t xml:space="preserve"> 2014</w:t>
      </w:r>
    </w:p>
    <w:p w14:paraId="4667E702" w14:textId="77777777" w:rsidR="00A664C6" w:rsidRDefault="00A664C6">
      <w:pPr>
        <w:rPr>
          <w:rFonts w:asciiTheme="majorHAnsi" w:hAnsiTheme="majorHAnsi"/>
        </w:rPr>
      </w:pPr>
    </w:p>
    <w:p w14:paraId="1B161564" w14:textId="77777777" w:rsidR="00A664C6" w:rsidRDefault="00A664C6">
      <w:pPr>
        <w:rPr>
          <w:rFonts w:asciiTheme="majorHAnsi" w:hAnsiTheme="majorHAnsi"/>
        </w:rPr>
      </w:pPr>
    </w:p>
    <w:p w14:paraId="393F52C1" w14:textId="77777777" w:rsidR="00A664C6" w:rsidRDefault="00A664C6">
      <w:pPr>
        <w:rPr>
          <w:rFonts w:asciiTheme="majorHAnsi" w:hAnsiTheme="majorHAnsi"/>
        </w:rPr>
      </w:pPr>
    </w:p>
    <w:p w14:paraId="061A3F59" w14:textId="0314E4E6" w:rsidR="00A664C6" w:rsidRDefault="00A664C6">
      <w:pPr>
        <w:rPr>
          <w:rFonts w:asciiTheme="majorHAnsi" w:hAnsiTheme="majorHAnsi"/>
        </w:rPr>
      </w:pPr>
      <w:r>
        <w:rPr>
          <w:rFonts w:asciiTheme="majorHAnsi" w:hAnsiTheme="majorHAnsi"/>
        </w:rPr>
        <w:br w:type="page"/>
      </w:r>
    </w:p>
    <w:p w14:paraId="539E0878" w14:textId="77777777" w:rsidR="00260B0D" w:rsidRPr="00173826" w:rsidRDefault="00260B0D" w:rsidP="00FE7770">
      <w:pPr>
        <w:jc w:val="both"/>
        <w:rPr>
          <w:rFonts w:asciiTheme="majorHAnsi" w:hAnsiTheme="majorHAnsi"/>
        </w:rPr>
      </w:pPr>
    </w:p>
    <w:p w14:paraId="7B9AF8E5" w14:textId="782BBC9C" w:rsidR="00A664C6" w:rsidRDefault="00A664C6" w:rsidP="00FE7770">
      <w:pPr>
        <w:jc w:val="both"/>
        <w:rPr>
          <w:rFonts w:asciiTheme="majorHAnsi" w:hAnsiTheme="majorHAnsi"/>
        </w:rPr>
      </w:pPr>
      <w:r w:rsidRPr="00173826">
        <w:rPr>
          <w:rFonts w:asciiTheme="majorHAnsi" w:hAnsiTheme="majorHAnsi"/>
          <w:noProof/>
        </w:rPr>
        <mc:AlternateContent>
          <mc:Choice Requires="wps">
            <w:drawing>
              <wp:anchor distT="0" distB="0" distL="114300" distR="114300" simplePos="0" relativeHeight="251681792" behindDoc="0" locked="0" layoutInCell="1" allowOverlap="1" wp14:anchorId="61C6103F" wp14:editId="40EF95A6">
                <wp:simplePos x="0" y="0"/>
                <wp:positionH relativeFrom="column">
                  <wp:posOffset>0</wp:posOffset>
                </wp:positionH>
                <wp:positionV relativeFrom="paragraph">
                  <wp:posOffset>157480</wp:posOffset>
                </wp:positionV>
                <wp:extent cx="5600700" cy="262255"/>
                <wp:effectExtent l="0" t="0" r="38100" b="17145"/>
                <wp:wrapSquare wrapText="bothSides"/>
                <wp:docPr id="1" name="Text Box 1"/>
                <wp:cNvGraphicFramePr/>
                <a:graphic xmlns:a="http://schemas.openxmlformats.org/drawingml/2006/main">
                  <a:graphicData uri="http://schemas.microsoft.com/office/word/2010/wordprocessingShape">
                    <wps:wsp>
                      <wps:cNvSpPr txBox="1"/>
                      <wps:spPr>
                        <a:xfrm>
                          <a:off x="0" y="0"/>
                          <a:ext cx="5600700" cy="262255"/>
                        </a:xfrm>
                        <a:prstGeom prst="rect">
                          <a:avLst/>
                        </a:prstGeom>
                        <a:noFill/>
                        <a:ln>
                          <a:solidFill>
                            <a:schemeClr val="tx1"/>
                          </a:solidFill>
                        </a:ln>
                        <a:effectLst/>
                        <a:extLst>
                          <a:ext uri="{C572A759-6A51-4108-AA02-DFA0A04FC94B}">
                            <ma14:wrappingTextBoxFlag xmlns:ma14="http://schemas.microsoft.com/office/mac/drawingml/2011/main"/>
                          </a:ext>
                        </a:extLst>
                      </wps:spPr>
                      <wps:txbx>
                        <w:txbxContent>
                          <w:p w14:paraId="034B5E62" w14:textId="77777777" w:rsidR="00281E85" w:rsidRPr="00CF364C" w:rsidRDefault="00281E85" w:rsidP="00A664C6">
                            <w:pPr>
                              <w:shd w:val="clear" w:color="auto" w:fill="DEFF47"/>
                              <w:rPr>
                                <w:b/>
                              </w:rPr>
                            </w:pPr>
                            <w:r>
                              <w:rPr>
                                <w:b/>
                              </w:rPr>
                              <w:t>Background to the GNC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0;margin-top:12.4pt;width:441pt;height:20.6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" filled="f" strokecolor="black [3213]">
                <v:textbox style="mso-fit-shape-to-text:t">
                  <w:txbxContent>
                    <w:p w14:paraId="034B5E62" w14:textId="77777777" w:rsidR="00FE7770" w:rsidRPr="00CF364C" w:rsidRDefault="00FE7770" w:rsidP="00A664C6">
                      <w:pPr>
                        <w:shd w:val="clear" w:color="auto" w:fill="DEFF47"/>
                        <w:rPr>
                          <w:b/>
                        </w:rPr>
                      </w:pPr>
                      <w:r>
                        <w:rPr>
                          <w:b/>
                        </w:rPr>
                        <w:t>Background to the GNC</w:t>
                      </w:r>
                    </w:p>
                  </w:txbxContent>
                </v:textbox>
                <w10:wrap type="square"/>
              </v:shape>
            </w:pict>
          </mc:Fallback>
        </mc:AlternateContent>
      </w:r>
    </w:p>
    <w:p w14:paraId="462B7325" w14:textId="152755A1" w:rsidR="009A0D5D" w:rsidRPr="00173826" w:rsidRDefault="006A4EEC" w:rsidP="00FE7770">
      <w:pPr>
        <w:jc w:val="both"/>
        <w:rPr>
          <w:rFonts w:asciiTheme="majorHAnsi" w:hAnsiTheme="majorHAnsi"/>
        </w:rPr>
      </w:pPr>
      <w:r w:rsidRPr="00173826">
        <w:rPr>
          <w:rFonts w:asciiTheme="majorHAnsi" w:hAnsiTheme="majorHAnsi"/>
        </w:rPr>
        <w:t xml:space="preserve">As part of the Humanitarian Reform process, the Cluster Approach was initiated in 2005 as one way to improve the effectiveness of humanitarian response through greater predictability, accountability, responsibility and partnership. </w:t>
      </w:r>
      <w:r w:rsidR="009A0D5D" w:rsidRPr="00173826">
        <w:rPr>
          <w:rFonts w:asciiTheme="majorHAnsi" w:hAnsiTheme="majorHAnsi"/>
        </w:rPr>
        <w:t xml:space="preserve">UNICEF was designated by the Inter-Agency Standing Committee (IASC) as the Cluster Lead Agency </w:t>
      </w:r>
      <w:r w:rsidR="006E728E" w:rsidRPr="00173826">
        <w:rPr>
          <w:rFonts w:asciiTheme="majorHAnsi" w:hAnsiTheme="majorHAnsi"/>
        </w:rPr>
        <w:t xml:space="preserve">(CLA) </w:t>
      </w:r>
      <w:r w:rsidR="009A0D5D" w:rsidRPr="00173826">
        <w:rPr>
          <w:rFonts w:asciiTheme="majorHAnsi" w:hAnsiTheme="majorHAnsi"/>
        </w:rPr>
        <w:t>for Nutrition</w:t>
      </w:r>
      <w:r w:rsidRPr="00173826">
        <w:rPr>
          <w:rFonts w:asciiTheme="majorHAnsi" w:hAnsiTheme="majorHAnsi"/>
        </w:rPr>
        <w:t xml:space="preserve"> and established</w:t>
      </w:r>
      <w:r w:rsidR="009A0D5D" w:rsidRPr="00173826">
        <w:rPr>
          <w:rFonts w:asciiTheme="majorHAnsi" w:hAnsiTheme="majorHAnsi"/>
        </w:rPr>
        <w:t xml:space="preserve"> a Global Nutrition Cluster Coordinati</w:t>
      </w:r>
      <w:r w:rsidRPr="00173826">
        <w:rPr>
          <w:rFonts w:asciiTheme="majorHAnsi" w:hAnsiTheme="majorHAnsi"/>
        </w:rPr>
        <w:t>on Team (GNC-CT)</w:t>
      </w:r>
      <w:r w:rsidR="00DD3D07">
        <w:rPr>
          <w:rFonts w:asciiTheme="majorHAnsi" w:hAnsiTheme="majorHAnsi"/>
        </w:rPr>
        <w:t xml:space="preserve"> that was based in New York from 2006-20011 and then moved to Geneva from January 2012</w:t>
      </w:r>
      <w:r w:rsidRPr="00173826">
        <w:rPr>
          <w:rFonts w:asciiTheme="majorHAnsi" w:hAnsiTheme="majorHAnsi"/>
        </w:rPr>
        <w:t>.</w:t>
      </w:r>
    </w:p>
    <w:p w14:paraId="26F07F00" w14:textId="77777777" w:rsidR="009A0D5D" w:rsidRPr="00173826" w:rsidRDefault="009A0D5D" w:rsidP="00FE7770">
      <w:pPr>
        <w:jc w:val="both"/>
        <w:rPr>
          <w:rFonts w:asciiTheme="majorHAnsi" w:hAnsiTheme="majorHAnsi"/>
        </w:rPr>
      </w:pPr>
    </w:p>
    <w:p w14:paraId="19D9C9B2" w14:textId="081F7034" w:rsidR="0058658E" w:rsidRPr="00173826" w:rsidRDefault="004334FB" w:rsidP="00FE7770">
      <w:pPr>
        <w:jc w:val="both"/>
        <w:rPr>
          <w:rFonts w:asciiTheme="majorHAnsi" w:hAnsiTheme="majorHAnsi"/>
        </w:rPr>
      </w:pPr>
      <w:r w:rsidRPr="00173826">
        <w:rPr>
          <w:rFonts w:asciiTheme="majorHAnsi" w:hAnsiTheme="majorHAnsi"/>
        </w:rPr>
        <w:t xml:space="preserve">The </w:t>
      </w:r>
      <w:r w:rsidR="006A4EEC" w:rsidRPr="00173826">
        <w:rPr>
          <w:rFonts w:asciiTheme="majorHAnsi" w:hAnsiTheme="majorHAnsi"/>
        </w:rPr>
        <w:t xml:space="preserve">first </w:t>
      </w:r>
      <w:r w:rsidRPr="00173826">
        <w:rPr>
          <w:rFonts w:asciiTheme="majorHAnsi" w:hAnsiTheme="majorHAnsi"/>
        </w:rPr>
        <w:t xml:space="preserve">GNC </w:t>
      </w:r>
      <w:r w:rsidR="006A4EEC" w:rsidRPr="00173826">
        <w:rPr>
          <w:rFonts w:asciiTheme="majorHAnsi" w:hAnsiTheme="majorHAnsi"/>
        </w:rPr>
        <w:t xml:space="preserve">meeting of partners </w:t>
      </w:r>
      <w:r w:rsidR="00AD63F4" w:rsidRPr="00173826">
        <w:rPr>
          <w:rFonts w:asciiTheme="majorHAnsi" w:hAnsiTheme="majorHAnsi"/>
        </w:rPr>
        <w:t>took place</w:t>
      </w:r>
      <w:r w:rsidR="006A4EEC" w:rsidRPr="00173826">
        <w:rPr>
          <w:rFonts w:asciiTheme="majorHAnsi" w:hAnsiTheme="majorHAnsi"/>
        </w:rPr>
        <w:t xml:space="preserve"> </w:t>
      </w:r>
      <w:r w:rsidR="009A0D5D" w:rsidRPr="00173826">
        <w:rPr>
          <w:rFonts w:asciiTheme="majorHAnsi" w:hAnsiTheme="majorHAnsi"/>
        </w:rPr>
        <w:t>in 2006</w:t>
      </w:r>
      <w:r w:rsidR="00AD63F4" w:rsidRPr="00173826">
        <w:rPr>
          <w:rFonts w:asciiTheme="majorHAnsi" w:hAnsiTheme="majorHAnsi"/>
        </w:rPr>
        <w:t>. C</w:t>
      </w:r>
      <w:r w:rsidR="009A0D5D" w:rsidRPr="00173826">
        <w:rPr>
          <w:rFonts w:asciiTheme="majorHAnsi" w:hAnsiTheme="majorHAnsi"/>
        </w:rPr>
        <w:t xml:space="preserve">urrently </w:t>
      </w:r>
      <w:r w:rsidR="006A4EEC" w:rsidRPr="00173826">
        <w:rPr>
          <w:rFonts w:asciiTheme="majorHAnsi" w:hAnsiTheme="majorHAnsi"/>
        </w:rPr>
        <w:t xml:space="preserve">the GNC </w:t>
      </w:r>
      <w:r w:rsidR="009A0D5D" w:rsidRPr="00173826">
        <w:rPr>
          <w:rFonts w:asciiTheme="majorHAnsi" w:hAnsiTheme="majorHAnsi"/>
        </w:rPr>
        <w:t xml:space="preserve">represents a </w:t>
      </w:r>
      <w:r w:rsidR="006E728E" w:rsidRPr="00173826">
        <w:rPr>
          <w:rFonts w:asciiTheme="majorHAnsi" w:hAnsiTheme="majorHAnsi"/>
        </w:rPr>
        <w:t xml:space="preserve">partnership </w:t>
      </w:r>
      <w:r w:rsidR="0058658E" w:rsidRPr="00173826">
        <w:rPr>
          <w:rFonts w:asciiTheme="majorHAnsi" w:hAnsiTheme="majorHAnsi"/>
        </w:rPr>
        <w:t xml:space="preserve">of approximately 40 </w:t>
      </w:r>
      <w:r w:rsidR="009A0D5D" w:rsidRPr="00173826">
        <w:rPr>
          <w:rFonts w:asciiTheme="majorHAnsi" w:hAnsiTheme="majorHAnsi"/>
        </w:rPr>
        <w:t xml:space="preserve">organizations and </w:t>
      </w:r>
      <w:r w:rsidR="0058658E" w:rsidRPr="00173826">
        <w:rPr>
          <w:rFonts w:asciiTheme="majorHAnsi" w:hAnsiTheme="majorHAnsi"/>
        </w:rPr>
        <w:t>institutions from the UN</w:t>
      </w:r>
      <w:r w:rsidR="009A0D5D" w:rsidRPr="00173826">
        <w:rPr>
          <w:rFonts w:asciiTheme="majorHAnsi" w:hAnsiTheme="majorHAnsi"/>
        </w:rPr>
        <w:t xml:space="preserve"> agencies</w:t>
      </w:r>
      <w:r w:rsidR="0058658E" w:rsidRPr="00173826">
        <w:rPr>
          <w:rFonts w:asciiTheme="majorHAnsi" w:hAnsiTheme="majorHAnsi"/>
        </w:rPr>
        <w:t>, NGO</w:t>
      </w:r>
      <w:r w:rsidR="009A0D5D" w:rsidRPr="00173826">
        <w:rPr>
          <w:rFonts w:asciiTheme="majorHAnsi" w:hAnsiTheme="majorHAnsi"/>
        </w:rPr>
        <w:t>s</w:t>
      </w:r>
      <w:r w:rsidR="0058658E" w:rsidRPr="00173826">
        <w:rPr>
          <w:rFonts w:asciiTheme="majorHAnsi" w:hAnsiTheme="majorHAnsi"/>
        </w:rPr>
        <w:t xml:space="preserve">, </w:t>
      </w:r>
      <w:r w:rsidR="009A0D5D" w:rsidRPr="00173826">
        <w:rPr>
          <w:rFonts w:asciiTheme="majorHAnsi" w:hAnsiTheme="majorHAnsi"/>
        </w:rPr>
        <w:t xml:space="preserve">academia, </w:t>
      </w:r>
      <w:r w:rsidR="0058658E" w:rsidRPr="00173826">
        <w:rPr>
          <w:rFonts w:asciiTheme="majorHAnsi" w:hAnsiTheme="majorHAnsi"/>
        </w:rPr>
        <w:t xml:space="preserve">donor </w:t>
      </w:r>
      <w:r w:rsidR="009A0D5D" w:rsidRPr="00173826">
        <w:rPr>
          <w:rFonts w:asciiTheme="majorHAnsi" w:hAnsiTheme="majorHAnsi"/>
        </w:rPr>
        <w:t>organizations and public-private alliances</w:t>
      </w:r>
      <w:r w:rsidR="00D2617D">
        <w:rPr>
          <w:rFonts w:asciiTheme="majorHAnsi" w:hAnsiTheme="majorHAnsi"/>
        </w:rPr>
        <w:t xml:space="preserve"> (see Annex 1 for full list)</w:t>
      </w:r>
      <w:r w:rsidR="009A0D5D" w:rsidRPr="00173826">
        <w:rPr>
          <w:rFonts w:asciiTheme="majorHAnsi" w:hAnsiTheme="majorHAnsi"/>
        </w:rPr>
        <w:t xml:space="preserve">. </w:t>
      </w:r>
    </w:p>
    <w:p w14:paraId="531B618B" w14:textId="77777777" w:rsidR="0058658E" w:rsidRPr="00173826" w:rsidRDefault="0058658E" w:rsidP="00FE7770">
      <w:pPr>
        <w:jc w:val="both"/>
        <w:rPr>
          <w:rFonts w:asciiTheme="majorHAnsi" w:hAnsiTheme="majorHAnsi"/>
        </w:rPr>
      </w:pPr>
    </w:p>
    <w:p w14:paraId="0FEAE947" w14:textId="210CB005" w:rsidR="006E728E" w:rsidRPr="00173826" w:rsidRDefault="00E84BBD" w:rsidP="00FE7770">
      <w:pPr>
        <w:jc w:val="both"/>
        <w:rPr>
          <w:rFonts w:asciiTheme="majorHAnsi" w:hAnsiTheme="majorHAnsi"/>
        </w:rPr>
      </w:pPr>
      <w:r w:rsidRPr="00173826">
        <w:rPr>
          <w:rFonts w:asciiTheme="majorHAnsi" w:hAnsiTheme="majorHAnsi"/>
        </w:rPr>
        <w:t>From 2006-2009</w:t>
      </w:r>
      <w:r w:rsidR="00DD3D07">
        <w:rPr>
          <w:rFonts w:asciiTheme="majorHAnsi" w:hAnsiTheme="majorHAnsi"/>
        </w:rPr>
        <w:t xml:space="preserve">, </w:t>
      </w:r>
      <w:r w:rsidR="004334FB" w:rsidRPr="00173826">
        <w:rPr>
          <w:rFonts w:asciiTheme="majorHAnsi" w:hAnsiTheme="majorHAnsi"/>
        </w:rPr>
        <w:t xml:space="preserve"> the</w:t>
      </w:r>
      <w:r w:rsidRPr="00173826">
        <w:rPr>
          <w:rFonts w:asciiTheme="majorHAnsi" w:hAnsiTheme="majorHAnsi"/>
        </w:rPr>
        <w:t xml:space="preserve"> </w:t>
      </w:r>
      <w:r w:rsidR="007D1C07" w:rsidRPr="00173826">
        <w:rPr>
          <w:rFonts w:asciiTheme="majorHAnsi" w:hAnsiTheme="majorHAnsi"/>
        </w:rPr>
        <w:t xml:space="preserve">GNC focused on four strategic areas: 1) coordination and networking, 2) capacity development, 3) </w:t>
      </w:r>
      <w:r w:rsidR="00183518" w:rsidRPr="00173826">
        <w:rPr>
          <w:rFonts w:asciiTheme="majorHAnsi" w:hAnsiTheme="majorHAnsi"/>
        </w:rPr>
        <w:t>r</w:t>
      </w:r>
      <w:r w:rsidRPr="00173826">
        <w:rPr>
          <w:rFonts w:asciiTheme="majorHAnsi" w:hAnsiTheme="majorHAnsi"/>
        </w:rPr>
        <w:t>esource</w:t>
      </w:r>
      <w:r w:rsidR="00183518" w:rsidRPr="00173826">
        <w:rPr>
          <w:rFonts w:asciiTheme="majorHAnsi" w:hAnsiTheme="majorHAnsi"/>
        </w:rPr>
        <w:t xml:space="preserve"> mobilization and supplies, </w:t>
      </w:r>
      <w:r w:rsidR="007D1C07" w:rsidRPr="00173826">
        <w:rPr>
          <w:rFonts w:asciiTheme="majorHAnsi" w:hAnsiTheme="majorHAnsi"/>
        </w:rPr>
        <w:t xml:space="preserve">4) </w:t>
      </w:r>
      <w:r w:rsidR="00183518" w:rsidRPr="00173826">
        <w:rPr>
          <w:rFonts w:asciiTheme="majorHAnsi" w:hAnsiTheme="majorHAnsi"/>
        </w:rPr>
        <w:t>stewardship, technical g</w:t>
      </w:r>
      <w:r w:rsidRPr="00173826">
        <w:rPr>
          <w:rFonts w:asciiTheme="majorHAnsi" w:hAnsiTheme="majorHAnsi"/>
        </w:rPr>
        <w:t xml:space="preserve">uidance, </w:t>
      </w:r>
      <w:r w:rsidR="00183518" w:rsidRPr="00173826">
        <w:rPr>
          <w:rFonts w:asciiTheme="majorHAnsi" w:hAnsiTheme="majorHAnsi"/>
        </w:rPr>
        <w:t>p</w:t>
      </w:r>
      <w:r w:rsidRPr="00173826">
        <w:rPr>
          <w:rFonts w:asciiTheme="majorHAnsi" w:hAnsiTheme="majorHAnsi"/>
        </w:rPr>
        <w:t xml:space="preserve">reparedness, and </w:t>
      </w:r>
      <w:r w:rsidR="00183518" w:rsidRPr="00173826">
        <w:rPr>
          <w:rFonts w:asciiTheme="majorHAnsi" w:hAnsiTheme="majorHAnsi"/>
        </w:rPr>
        <w:t>monitoring and e</w:t>
      </w:r>
      <w:r w:rsidRPr="00173826">
        <w:rPr>
          <w:rFonts w:asciiTheme="majorHAnsi" w:hAnsiTheme="majorHAnsi"/>
        </w:rPr>
        <w:t>valuation.</w:t>
      </w:r>
      <w:r w:rsidR="006A2900" w:rsidRPr="00173826">
        <w:rPr>
          <w:rFonts w:asciiTheme="majorHAnsi" w:hAnsiTheme="majorHAnsi"/>
        </w:rPr>
        <w:t xml:space="preserve"> </w:t>
      </w:r>
      <w:r w:rsidR="007D1C07" w:rsidRPr="00173826">
        <w:rPr>
          <w:rFonts w:asciiTheme="majorHAnsi" w:hAnsiTheme="majorHAnsi"/>
        </w:rPr>
        <w:t>Significant achievements were realized during this period including the development of technical guidance and tools such as the Harmonized Training Package (HTP), Nutrition in Emergencies toolkit, Operational Guidance on Infant and Young Child Feeding in Emergencies (IYCF-E), a review of the Management of Acute Malnutrition in Infants (MAMI), a supply and commodity tool kit and support to the update of the SMART survey tool and the Initial Rapid Assessment (IRA) toolkit</w:t>
      </w:r>
      <w:r w:rsidR="007D1C07" w:rsidRPr="00173826">
        <w:rPr>
          <w:rStyle w:val="FootnoteReference"/>
          <w:rFonts w:asciiTheme="majorHAnsi" w:hAnsiTheme="majorHAnsi"/>
        </w:rPr>
        <w:footnoteReference w:id="1"/>
      </w:r>
      <w:r w:rsidR="007D1C07" w:rsidRPr="00173826">
        <w:rPr>
          <w:rFonts w:asciiTheme="majorHAnsi" w:hAnsiTheme="majorHAnsi"/>
        </w:rPr>
        <w:t>.</w:t>
      </w:r>
    </w:p>
    <w:p w14:paraId="2CAA037C" w14:textId="77777777" w:rsidR="006E728E" w:rsidRPr="00173826" w:rsidRDefault="006E728E" w:rsidP="00FE7770">
      <w:pPr>
        <w:jc w:val="both"/>
        <w:rPr>
          <w:rFonts w:asciiTheme="majorHAnsi" w:hAnsiTheme="majorHAnsi"/>
        </w:rPr>
      </w:pPr>
    </w:p>
    <w:p w14:paraId="71B11E60" w14:textId="4007C16E" w:rsidR="001A2576" w:rsidRPr="00173826" w:rsidRDefault="007D1C07" w:rsidP="00FE7770">
      <w:pPr>
        <w:jc w:val="both"/>
        <w:rPr>
          <w:rFonts w:asciiTheme="majorHAnsi" w:hAnsiTheme="majorHAnsi"/>
        </w:rPr>
      </w:pPr>
      <w:r w:rsidRPr="00173826">
        <w:rPr>
          <w:rFonts w:asciiTheme="majorHAnsi" w:hAnsiTheme="majorHAnsi"/>
        </w:rPr>
        <w:t xml:space="preserve">While many guidelines and reviews were conducted during this period, in 2009 there was recognition that the GNC needed to re-organize to better support </w:t>
      </w:r>
      <w:r w:rsidR="00023CB4" w:rsidRPr="00173826">
        <w:rPr>
          <w:rFonts w:asciiTheme="majorHAnsi" w:hAnsiTheme="majorHAnsi"/>
        </w:rPr>
        <w:t xml:space="preserve">the roll out of these tools and general </w:t>
      </w:r>
      <w:r w:rsidRPr="00173826">
        <w:rPr>
          <w:rFonts w:asciiTheme="majorHAnsi" w:hAnsiTheme="majorHAnsi"/>
        </w:rPr>
        <w:t xml:space="preserve">cluster activities at the regional and country levels. A vision </w:t>
      </w:r>
      <w:r w:rsidR="00023CB4" w:rsidRPr="00173826">
        <w:rPr>
          <w:rFonts w:asciiTheme="majorHAnsi" w:hAnsiTheme="majorHAnsi"/>
        </w:rPr>
        <w:t xml:space="preserve">and strategic </w:t>
      </w:r>
      <w:r w:rsidR="00D42CEE" w:rsidRPr="00173826">
        <w:rPr>
          <w:rFonts w:asciiTheme="majorHAnsi" w:hAnsiTheme="majorHAnsi"/>
        </w:rPr>
        <w:t xml:space="preserve">framework was developed based on discussions in the </w:t>
      </w:r>
      <w:r w:rsidR="00AD63F4" w:rsidRPr="00173826">
        <w:rPr>
          <w:rFonts w:asciiTheme="majorHAnsi" w:hAnsiTheme="majorHAnsi"/>
        </w:rPr>
        <w:t xml:space="preserve">2009 </w:t>
      </w:r>
      <w:r w:rsidR="00023CB4" w:rsidRPr="00173826">
        <w:rPr>
          <w:rFonts w:asciiTheme="majorHAnsi" w:hAnsiTheme="majorHAnsi"/>
        </w:rPr>
        <w:t>annual meeting</w:t>
      </w:r>
      <w:r w:rsidR="00D42CEE" w:rsidRPr="00173826">
        <w:rPr>
          <w:rFonts w:asciiTheme="majorHAnsi" w:hAnsiTheme="majorHAnsi"/>
        </w:rPr>
        <w:t xml:space="preserve">. This framework outlined key outputs for the GNC at global, regional and country levels. </w:t>
      </w:r>
    </w:p>
    <w:p w14:paraId="68E3E889" w14:textId="77777777" w:rsidR="001A2576" w:rsidRPr="00173826" w:rsidRDefault="001A2576" w:rsidP="00FE7770">
      <w:pPr>
        <w:jc w:val="both"/>
        <w:rPr>
          <w:rFonts w:asciiTheme="majorHAnsi" w:hAnsiTheme="majorHAnsi"/>
        </w:rPr>
      </w:pPr>
    </w:p>
    <w:p w14:paraId="0670EAB8" w14:textId="77AF4FD5" w:rsidR="002C3DE1" w:rsidRPr="00173826" w:rsidRDefault="001A2576" w:rsidP="00FE7770">
      <w:pPr>
        <w:jc w:val="both"/>
        <w:rPr>
          <w:rFonts w:asciiTheme="majorHAnsi" w:hAnsiTheme="majorHAnsi"/>
        </w:rPr>
      </w:pPr>
      <w:r w:rsidRPr="00173826">
        <w:rPr>
          <w:rFonts w:asciiTheme="majorHAnsi" w:hAnsiTheme="majorHAnsi"/>
        </w:rPr>
        <w:t>In the July 2010 annual meeting, GNC partners agreed that the Strategic Framework should</w:t>
      </w:r>
      <w:r w:rsidR="002C3DE1" w:rsidRPr="00173826">
        <w:rPr>
          <w:rFonts w:asciiTheme="majorHAnsi" w:hAnsiTheme="majorHAnsi"/>
        </w:rPr>
        <w:t xml:space="preserve"> more explicitly reflect areas of priority activities for the GNC and thus </w:t>
      </w:r>
      <w:r w:rsidRPr="00173826">
        <w:rPr>
          <w:rFonts w:asciiTheme="majorHAnsi" w:hAnsiTheme="majorHAnsi"/>
        </w:rPr>
        <w:t xml:space="preserve">6 thematic pillars </w:t>
      </w:r>
      <w:r w:rsidR="002C3DE1" w:rsidRPr="00173826">
        <w:rPr>
          <w:rFonts w:asciiTheme="majorHAnsi" w:hAnsiTheme="majorHAnsi"/>
        </w:rPr>
        <w:t xml:space="preserve">were identified to capture the work of the GNC moving forward: </w:t>
      </w:r>
      <w:r w:rsidRPr="00173826">
        <w:rPr>
          <w:rFonts w:asciiTheme="majorHAnsi" w:hAnsiTheme="majorHAnsi"/>
        </w:rPr>
        <w:t xml:space="preserve">1) coordination, advocacy and resource mobilization, 2) policy, standards and guidelines, 3) capacity development for humanitarian response, 4) preparedness, 5) assessment, monitoring and information management and 6) best practices and lessons learned. </w:t>
      </w:r>
      <w:r w:rsidR="002C3DE1" w:rsidRPr="00173826">
        <w:rPr>
          <w:rFonts w:asciiTheme="majorHAnsi" w:hAnsiTheme="majorHAnsi"/>
        </w:rPr>
        <w:t>A</w:t>
      </w:r>
      <w:r w:rsidRPr="00173826">
        <w:rPr>
          <w:rFonts w:asciiTheme="majorHAnsi" w:hAnsiTheme="majorHAnsi"/>
        </w:rPr>
        <w:t>fter th</w:t>
      </w:r>
      <w:r w:rsidR="00DD3D07">
        <w:rPr>
          <w:rFonts w:asciiTheme="majorHAnsi" w:hAnsiTheme="majorHAnsi"/>
        </w:rPr>
        <w:t>is</w:t>
      </w:r>
      <w:r w:rsidRPr="00173826">
        <w:rPr>
          <w:rFonts w:asciiTheme="majorHAnsi" w:hAnsiTheme="majorHAnsi"/>
        </w:rPr>
        <w:t xml:space="preserve"> meeting</w:t>
      </w:r>
      <w:r w:rsidR="00DD3D07">
        <w:rPr>
          <w:rFonts w:asciiTheme="majorHAnsi" w:hAnsiTheme="majorHAnsi"/>
        </w:rPr>
        <w:t>,</w:t>
      </w:r>
      <w:r w:rsidRPr="00173826">
        <w:rPr>
          <w:rFonts w:asciiTheme="majorHAnsi" w:hAnsiTheme="majorHAnsi"/>
        </w:rPr>
        <w:t xml:space="preserve"> </w:t>
      </w:r>
      <w:r w:rsidR="00023CB4" w:rsidRPr="00173826">
        <w:rPr>
          <w:rFonts w:asciiTheme="majorHAnsi" w:hAnsiTheme="majorHAnsi"/>
        </w:rPr>
        <w:t xml:space="preserve">a new Strategic Framework </w:t>
      </w:r>
      <w:r w:rsidR="002C3DE1" w:rsidRPr="00173826">
        <w:rPr>
          <w:rFonts w:asciiTheme="majorHAnsi" w:hAnsiTheme="majorHAnsi"/>
        </w:rPr>
        <w:t>(</w:t>
      </w:r>
      <w:r w:rsidR="00023CB4" w:rsidRPr="00173826">
        <w:rPr>
          <w:rFonts w:asciiTheme="majorHAnsi" w:hAnsiTheme="majorHAnsi"/>
        </w:rPr>
        <w:t>2010</w:t>
      </w:r>
      <w:r w:rsidR="002C3DE1" w:rsidRPr="00173826">
        <w:rPr>
          <w:rFonts w:asciiTheme="majorHAnsi" w:hAnsiTheme="majorHAnsi"/>
        </w:rPr>
        <w:t>)</w:t>
      </w:r>
      <w:r w:rsidR="00023CB4" w:rsidRPr="00173826">
        <w:rPr>
          <w:rFonts w:asciiTheme="majorHAnsi" w:hAnsiTheme="majorHAnsi"/>
        </w:rPr>
        <w:t xml:space="preserve"> </w:t>
      </w:r>
      <w:r w:rsidR="002C3DE1" w:rsidRPr="00173826">
        <w:rPr>
          <w:rFonts w:asciiTheme="majorHAnsi" w:hAnsiTheme="majorHAnsi"/>
        </w:rPr>
        <w:t xml:space="preserve">with these pillars </w:t>
      </w:r>
      <w:r w:rsidR="00023CB4" w:rsidRPr="00173826">
        <w:rPr>
          <w:rFonts w:asciiTheme="majorHAnsi" w:hAnsiTheme="majorHAnsi"/>
        </w:rPr>
        <w:t>was developed</w:t>
      </w:r>
      <w:r w:rsidR="00023CB4" w:rsidRPr="00173826">
        <w:rPr>
          <w:rStyle w:val="FootnoteReference"/>
          <w:rFonts w:asciiTheme="majorHAnsi" w:hAnsiTheme="majorHAnsi"/>
        </w:rPr>
        <w:footnoteReference w:id="2"/>
      </w:r>
      <w:r w:rsidR="007D1C07" w:rsidRPr="00173826">
        <w:rPr>
          <w:rFonts w:asciiTheme="majorHAnsi" w:hAnsiTheme="majorHAnsi"/>
        </w:rPr>
        <w:t>.</w:t>
      </w:r>
      <w:r w:rsidR="00023CB4" w:rsidRPr="00173826">
        <w:rPr>
          <w:rFonts w:asciiTheme="majorHAnsi" w:hAnsiTheme="majorHAnsi"/>
        </w:rPr>
        <w:t xml:space="preserve"> This framework guided GNC activities until the end of 2013. </w:t>
      </w:r>
    </w:p>
    <w:p w14:paraId="36228D26" w14:textId="77777777" w:rsidR="00E7208F" w:rsidRPr="00173826" w:rsidRDefault="00E7208F" w:rsidP="00FE7770">
      <w:pPr>
        <w:jc w:val="both"/>
        <w:rPr>
          <w:rFonts w:asciiTheme="majorHAnsi" w:hAnsiTheme="majorHAnsi"/>
        </w:rPr>
      </w:pPr>
    </w:p>
    <w:p w14:paraId="34E95881" w14:textId="443A3835" w:rsidR="002C3DE1" w:rsidRPr="00173826" w:rsidRDefault="002C3DE1" w:rsidP="00FE7770">
      <w:pPr>
        <w:jc w:val="both"/>
        <w:rPr>
          <w:rFonts w:asciiTheme="majorHAnsi" w:hAnsiTheme="majorHAnsi" w:cs="Verdana"/>
          <w:color w:val="363636"/>
        </w:rPr>
      </w:pPr>
      <w:r w:rsidRPr="00173826">
        <w:rPr>
          <w:rFonts w:asciiTheme="majorHAnsi" w:hAnsiTheme="majorHAnsi"/>
        </w:rPr>
        <w:t xml:space="preserve">During this time, reviews from </w:t>
      </w:r>
      <w:r w:rsidR="00FE7770">
        <w:rPr>
          <w:rFonts w:asciiTheme="majorHAnsi" w:hAnsiTheme="majorHAnsi"/>
        </w:rPr>
        <w:t xml:space="preserve">the </w:t>
      </w:r>
      <w:r w:rsidRPr="00173826">
        <w:rPr>
          <w:rFonts w:asciiTheme="majorHAnsi" w:hAnsiTheme="majorHAnsi"/>
        </w:rPr>
        <w:t xml:space="preserve">humanitarian response in 2010 and 2011 were conducted by the IASC. </w:t>
      </w:r>
      <w:r w:rsidR="00363D17" w:rsidRPr="00173826">
        <w:rPr>
          <w:rFonts w:asciiTheme="majorHAnsi" w:hAnsiTheme="majorHAnsi"/>
        </w:rPr>
        <w:t xml:space="preserve">It was documented that while </w:t>
      </w:r>
      <w:r w:rsidR="00363D17" w:rsidRPr="00173826">
        <w:rPr>
          <w:rFonts w:asciiTheme="majorHAnsi" w:hAnsiTheme="majorHAnsi" w:cs="Verdana"/>
          <w:color w:val="363636"/>
        </w:rPr>
        <w:t xml:space="preserve">emergency response capacity has been reinforced at the global level according to an agreed division of labor since the cluster approach was initiated, challenges still remain in deploying adequate leadership; putting in place appropriate coordination mechanisms at various levels and ensuring clear mutual accountabilities as evidenced by several major disasters over the past years. </w:t>
      </w:r>
      <w:r w:rsidR="00363D17" w:rsidRPr="00173826">
        <w:rPr>
          <w:rFonts w:asciiTheme="majorHAnsi" w:hAnsiTheme="majorHAnsi"/>
        </w:rPr>
        <w:t xml:space="preserve">As a result, the </w:t>
      </w:r>
      <w:r w:rsidRPr="00173826">
        <w:rPr>
          <w:rFonts w:asciiTheme="majorHAnsi" w:hAnsiTheme="majorHAnsi"/>
        </w:rPr>
        <w:t xml:space="preserve">Transformative </w:t>
      </w:r>
      <w:r w:rsidRPr="00173826">
        <w:rPr>
          <w:rFonts w:asciiTheme="majorHAnsi" w:hAnsiTheme="majorHAnsi"/>
        </w:rPr>
        <w:lastRenderedPageBreak/>
        <w:t>Agenda</w:t>
      </w:r>
      <w:r w:rsidR="005F7EDC" w:rsidRPr="00173826">
        <w:rPr>
          <w:rStyle w:val="FootnoteReference"/>
          <w:rFonts w:asciiTheme="majorHAnsi" w:hAnsiTheme="majorHAnsi"/>
          <w:b/>
        </w:rPr>
        <w:footnoteReference w:id="3"/>
      </w:r>
      <w:r w:rsidRPr="00173826">
        <w:rPr>
          <w:rFonts w:asciiTheme="majorHAnsi" w:hAnsiTheme="majorHAnsi"/>
        </w:rPr>
        <w:t xml:space="preserve"> was agreed in December 2011</w:t>
      </w:r>
      <w:r w:rsidR="00363D17" w:rsidRPr="00173826">
        <w:rPr>
          <w:rFonts w:asciiTheme="majorHAnsi" w:hAnsiTheme="majorHAnsi"/>
        </w:rPr>
        <w:t xml:space="preserve">. </w:t>
      </w:r>
      <w:r w:rsidR="008C66C8" w:rsidRPr="00173826">
        <w:rPr>
          <w:rFonts w:asciiTheme="majorHAnsi" w:hAnsiTheme="majorHAnsi"/>
        </w:rPr>
        <w:t>It</w:t>
      </w:r>
      <w:r w:rsidR="00363D17" w:rsidRPr="00173826">
        <w:rPr>
          <w:rFonts w:asciiTheme="majorHAnsi" w:hAnsiTheme="majorHAnsi" w:cs="Verdana"/>
          <w:color w:val="363636"/>
        </w:rPr>
        <w:t xml:space="preserve"> sets out six functional areas for the cluster</w:t>
      </w:r>
      <w:r w:rsidR="006C2C3A">
        <w:rPr>
          <w:rFonts w:asciiTheme="majorHAnsi" w:hAnsiTheme="majorHAnsi" w:cs="Verdana"/>
          <w:color w:val="363636"/>
        </w:rPr>
        <w:t>s at country level</w:t>
      </w:r>
      <w:r w:rsidR="00363D17" w:rsidRPr="00173826">
        <w:rPr>
          <w:rFonts w:asciiTheme="majorHAnsi" w:hAnsiTheme="majorHAnsi" w:cs="Verdana"/>
          <w:color w:val="363636"/>
        </w:rPr>
        <w:t>:</w:t>
      </w:r>
    </w:p>
    <w:p w14:paraId="583C8316" w14:textId="77777777" w:rsidR="00363D17" w:rsidRPr="00173826" w:rsidRDefault="00363D17" w:rsidP="00FE7770">
      <w:pPr>
        <w:numPr>
          <w:ilvl w:val="1"/>
          <w:numId w:val="28"/>
        </w:numPr>
        <w:tabs>
          <w:tab w:val="clear" w:pos="1440"/>
          <w:tab w:val="left" w:pos="1350"/>
        </w:tabs>
        <w:ind w:left="1350" w:hanging="180"/>
        <w:contextualSpacing/>
        <w:jc w:val="both"/>
        <w:rPr>
          <w:rFonts w:asciiTheme="majorHAnsi" w:eastAsia="Times New Roman" w:hAnsiTheme="majorHAnsi" w:cs="Times New Roman"/>
          <w:color w:val="auto"/>
        </w:rPr>
      </w:pPr>
      <w:r w:rsidRPr="00173826">
        <w:rPr>
          <w:rFonts w:asciiTheme="majorHAnsi" w:hAnsiTheme="majorHAnsi" w:cstheme="minorBidi"/>
          <w:bCs/>
          <w:color w:val="000000" w:themeColor="text1"/>
          <w:kern w:val="24"/>
        </w:rPr>
        <w:t xml:space="preserve">Supporting service delivery </w:t>
      </w:r>
    </w:p>
    <w:p w14:paraId="247DB50A" w14:textId="77777777" w:rsidR="00363D17" w:rsidRPr="00173826" w:rsidRDefault="00363D17" w:rsidP="00FE7770">
      <w:pPr>
        <w:numPr>
          <w:ilvl w:val="1"/>
          <w:numId w:val="28"/>
        </w:numPr>
        <w:tabs>
          <w:tab w:val="clear" w:pos="1440"/>
          <w:tab w:val="left" w:pos="1350"/>
        </w:tabs>
        <w:ind w:left="1350" w:hanging="180"/>
        <w:contextualSpacing/>
        <w:jc w:val="both"/>
        <w:rPr>
          <w:rFonts w:asciiTheme="majorHAnsi" w:eastAsia="Times New Roman" w:hAnsiTheme="majorHAnsi" w:cs="Times New Roman"/>
          <w:color w:val="auto"/>
        </w:rPr>
      </w:pPr>
      <w:r w:rsidRPr="00173826">
        <w:rPr>
          <w:rFonts w:asciiTheme="majorHAnsi" w:hAnsiTheme="majorHAnsi" w:cstheme="minorBidi"/>
          <w:bCs/>
          <w:color w:val="000000" w:themeColor="text1"/>
          <w:kern w:val="24"/>
        </w:rPr>
        <w:t>Informing strategic decision-making of the HC/HCT for the humanitarian response</w:t>
      </w:r>
    </w:p>
    <w:p w14:paraId="05971681" w14:textId="77777777" w:rsidR="00363D17" w:rsidRPr="00173826" w:rsidRDefault="00363D17" w:rsidP="00FE7770">
      <w:pPr>
        <w:numPr>
          <w:ilvl w:val="1"/>
          <w:numId w:val="28"/>
        </w:numPr>
        <w:tabs>
          <w:tab w:val="clear" w:pos="1440"/>
          <w:tab w:val="left" w:pos="1350"/>
        </w:tabs>
        <w:ind w:left="1350" w:hanging="180"/>
        <w:contextualSpacing/>
        <w:jc w:val="both"/>
        <w:rPr>
          <w:rFonts w:asciiTheme="majorHAnsi" w:eastAsia="Times New Roman" w:hAnsiTheme="majorHAnsi" w:cs="Times New Roman"/>
          <w:color w:val="auto"/>
        </w:rPr>
      </w:pPr>
      <w:r w:rsidRPr="00173826">
        <w:rPr>
          <w:rFonts w:asciiTheme="majorHAnsi" w:hAnsiTheme="majorHAnsi" w:cstheme="minorBidi"/>
          <w:bCs/>
          <w:color w:val="000000" w:themeColor="text1"/>
          <w:kern w:val="24"/>
        </w:rPr>
        <w:t>Planning and strategy development</w:t>
      </w:r>
    </w:p>
    <w:p w14:paraId="12BF5715" w14:textId="77777777" w:rsidR="00363D17" w:rsidRPr="00173826" w:rsidRDefault="00363D17" w:rsidP="00FE7770">
      <w:pPr>
        <w:numPr>
          <w:ilvl w:val="1"/>
          <w:numId w:val="28"/>
        </w:numPr>
        <w:tabs>
          <w:tab w:val="clear" w:pos="1440"/>
          <w:tab w:val="left" w:pos="1350"/>
        </w:tabs>
        <w:ind w:left="1350" w:hanging="180"/>
        <w:contextualSpacing/>
        <w:jc w:val="both"/>
        <w:rPr>
          <w:rFonts w:asciiTheme="majorHAnsi" w:hAnsiTheme="majorHAnsi"/>
        </w:rPr>
      </w:pPr>
      <w:r w:rsidRPr="00173826">
        <w:rPr>
          <w:rFonts w:asciiTheme="majorHAnsi" w:hAnsiTheme="majorHAnsi" w:cstheme="minorBidi"/>
          <w:bCs/>
          <w:color w:val="000000" w:themeColor="text1"/>
          <w:kern w:val="24"/>
        </w:rPr>
        <w:t xml:space="preserve">Advocacy </w:t>
      </w:r>
    </w:p>
    <w:p w14:paraId="3E73B95D" w14:textId="77777777" w:rsidR="00363D17" w:rsidRPr="00173826" w:rsidRDefault="00363D17" w:rsidP="00FE7770">
      <w:pPr>
        <w:numPr>
          <w:ilvl w:val="1"/>
          <w:numId w:val="28"/>
        </w:numPr>
        <w:tabs>
          <w:tab w:val="clear" w:pos="1440"/>
          <w:tab w:val="left" w:pos="1350"/>
        </w:tabs>
        <w:ind w:left="1350" w:hanging="180"/>
        <w:contextualSpacing/>
        <w:jc w:val="both"/>
        <w:rPr>
          <w:rFonts w:asciiTheme="majorHAnsi" w:hAnsiTheme="majorHAnsi"/>
        </w:rPr>
      </w:pPr>
      <w:r w:rsidRPr="00173826">
        <w:rPr>
          <w:rFonts w:asciiTheme="majorHAnsi" w:hAnsiTheme="majorHAnsi" w:cstheme="minorBidi"/>
          <w:bCs/>
          <w:color w:val="000000" w:themeColor="text1"/>
          <w:kern w:val="24"/>
        </w:rPr>
        <w:t>Monitoring and reporting</w:t>
      </w:r>
      <w:r w:rsidRPr="00173826">
        <w:rPr>
          <w:rFonts w:asciiTheme="majorHAnsi" w:hAnsiTheme="majorHAnsi" w:cstheme="minorBidi"/>
          <w:color w:val="000000" w:themeColor="text1"/>
          <w:kern w:val="24"/>
        </w:rPr>
        <w:t xml:space="preserve"> </w:t>
      </w:r>
    </w:p>
    <w:p w14:paraId="600A7F6B" w14:textId="6B0397A3" w:rsidR="00363D17" w:rsidRPr="00173826" w:rsidRDefault="00363D17" w:rsidP="00FE7770">
      <w:pPr>
        <w:numPr>
          <w:ilvl w:val="1"/>
          <w:numId w:val="28"/>
        </w:numPr>
        <w:tabs>
          <w:tab w:val="clear" w:pos="1440"/>
          <w:tab w:val="left" w:pos="1350"/>
        </w:tabs>
        <w:ind w:left="1350" w:hanging="180"/>
        <w:contextualSpacing/>
        <w:jc w:val="both"/>
        <w:rPr>
          <w:rFonts w:asciiTheme="majorHAnsi" w:hAnsiTheme="majorHAnsi"/>
        </w:rPr>
      </w:pPr>
      <w:r w:rsidRPr="00173826">
        <w:rPr>
          <w:rFonts w:asciiTheme="majorHAnsi" w:hAnsiTheme="majorHAnsi" w:cstheme="minorBidi"/>
          <w:bCs/>
          <w:color w:val="000000" w:themeColor="text1"/>
          <w:kern w:val="24"/>
        </w:rPr>
        <w:t>Contingency planning/preparedness</w:t>
      </w:r>
    </w:p>
    <w:p w14:paraId="24744A4A" w14:textId="77777777" w:rsidR="00363D17" w:rsidRPr="00173826" w:rsidRDefault="00363D17" w:rsidP="00FE7770">
      <w:pPr>
        <w:jc w:val="both"/>
        <w:rPr>
          <w:rFonts w:asciiTheme="majorHAnsi" w:hAnsiTheme="majorHAnsi"/>
          <w:highlight w:val="yellow"/>
        </w:rPr>
      </w:pPr>
    </w:p>
    <w:p w14:paraId="7D98B04E" w14:textId="088B25B8" w:rsidR="004334FB" w:rsidRPr="00173826" w:rsidRDefault="004334FB" w:rsidP="00FE7770">
      <w:pPr>
        <w:jc w:val="both"/>
        <w:rPr>
          <w:rFonts w:asciiTheme="majorHAnsi" w:hAnsiTheme="majorHAnsi"/>
        </w:rPr>
      </w:pPr>
      <w:r w:rsidRPr="00173826">
        <w:rPr>
          <w:rFonts w:asciiTheme="majorHAnsi" w:hAnsiTheme="majorHAnsi"/>
        </w:rPr>
        <w:t xml:space="preserve">In </w:t>
      </w:r>
      <w:r w:rsidR="006A2900" w:rsidRPr="00173826">
        <w:rPr>
          <w:rFonts w:asciiTheme="majorHAnsi" w:hAnsiTheme="majorHAnsi"/>
        </w:rPr>
        <w:t xml:space="preserve">2013, in </w:t>
      </w:r>
      <w:r w:rsidRPr="00173826">
        <w:rPr>
          <w:rFonts w:asciiTheme="majorHAnsi" w:hAnsiTheme="majorHAnsi"/>
        </w:rPr>
        <w:t xml:space="preserve">order to </w:t>
      </w:r>
      <w:r w:rsidR="00E84BBD" w:rsidRPr="00173826">
        <w:rPr>
          <w:rFonts w:asciiTheme="majorHAnsi" w:hAnsiTheme="majorHAnsi"/>
        </w:rPr>
        <w:t xml:space="preserve">enhance performance of the GNC and </w:t>
      </w:r>
      <w:r w:rsidRPr="00173826">
        <w:rPr>
          <w:rFonts w:asciiTheme="majorHAnsi" w:hAnsiTheme="majorHAnsi"/>
        </w:rPr>
        <w:t xml:space="preserve">align </w:t>
      </w:r>
      <w:r w:rsidR="00E84BBD" w:rsidRPr="00173826">
        <w:rPr>
          <w:rFonts w:asciiTheme="majorHAnsi" w:hAnsiTheme="majorHAnsi"/>
        </w:rPr>
        <w:t xml:space="preserve">its focus </w:t>
      </w:r>
      <w:r w:rsidRPr="00173826">
        <w:rPr>
          <w:rFonts w:asciiTheme="majorHAnsi" w:hAnsiTheme="majorHAnsi"/>
        </w:rPr>
        <w:t>with the Transformative Agenda</w:t>
      </w:r>
      <w:r w:rsidR="006C2C3A">
        <w:rPr>
          <w:rFonts w:asciiTheme="majorHAnsi" w:hAnsiTheme="majorHAnsi"/>
        </w:rPr>
        <w:t xml:space="preserve"> (TA)</w:t>
      </w:r>
      <w:r w:rsidR="005F7EDC" w:rsidRPr="00173826">
        <w:rPr>
          <w:rStyle w:val="FootnoteReference"/>
          <w:rFonts w:asciiTheme="majorHAnsi" w:hAnsiTheme="majorHAnsi"/>
        </w:rPr>
        <w:t xml:space="preserve"> </w:t>
      </w:r>
      <w:r w:rsidR="005F7EDC" w:rsidRPr="00173826">
        <w:rPr>
          <w:rFonts w:asciiTheme="majorHAnsi" w:hAnsiTheme="majorHAnsi"/>
        </w:rPr>
        <w:t xml:space="preserve"> </w:t>
      </w:r>
      <w:r w:rsidRPr="00173826">
        <w:rPr>
          <w:rFonts w:asciiTheme="majorHAnsi" w:hAnsiTheme="majorHAnsi"/>
        </w:rPr>
        <w:t>and overall Humanitarian Project Cycle</w:t>
      </w:r>
      <w:r w:rsidR="00FD0DFF" w:rsidRPr="00173826">
        <w:rPr>
          <w:rStyle w:val="FootnoteReference"/>
          <w:rFonts w:asciiTheme="majorHAnsi" w:hAnsiTheme="majorHAnsi"/>
        </w:rPr>
        <w:footnoteReference w:id="4"/>
      </w:r>
      <w:r w:rsidR="006C2C3A">
        <w:rPr>
          <w:rFonts w:asciiTheme="majorHAnsi" w:hAnsiTheme="majorHAnsi"/>
        </w:rPr>
        <w:t xml:space="preserve"> and other TA related guidance,</w:t>
      </w:r>
      <w:r w:rsidRPr="00173826">
        <w:rPr>
          <w:rFonts w:asciiTheme="majorHAnsi" w:hAnsiTheme="majorHAnsi"/>
        </w:rPr>
        <w:t xml:space="preserve"> the GNC conducted a governance review. Recommendations from this review included </w:t>
      </w:r>
      <w:r w:rsidR="00023CB4" w:rsidRPr="00173826">
        <w:rPr>
          <w:rFonts w:asciiTheme="majorHAnsi" w:hAnsiTheme="majorHAnsi"/>
        </w:rPr>
        <w:t xml:space="preserve">the development of a </w:t>
      </w:r>
      <w:r w:rsidR="00224D86" w:rsidRPr="00173826">
        <w:rPr>
          <w:rFonts w:asciiTheme="majorHAnsi" w:hAnsiTheme="majorHAnsi"/>
        </w:rPr>
        <w:t>three-year Strategic P</w:t>
      </w:r>
      <w:r w:rsidRPr="00173826">
        <w:rPr>
          <w:rFonts w:asciiTheme="majorHAnsi" w:hAnsiTheme="majorHAnsi"/>
        </w:rPr>
        <w:t>lan</w:t>
      </w:r>
      <w:r w:rsidR="00363D17" w:rsidRPr="00173826">
        <w:rPr>
          <w:rFonts w:asciiTheme="majorHAnsi" w:hAnsiTheme="majorHAnsi"/>
        </w:rPr>
        <w:t xml:space="preserve"> with revised focus to reflect the</w:t>
      </w:r>
      <w:r w:rsidR="00703260" w:rsidRPr="00173826">
        <w:rPr>
          <w:rFonts w:asciiTheme="majorHAnsi" w:hAnsiTheme="majorHAnsi"/>
        </w:rPr>
        <w:t xml:space="preserve"> functional areas set out in the Transformative Agenda.</w:t>
      </w:r>
      <w:r w:rsidR="00224D86" w:rsidRPr="00173826">
        <w:rPr>
          <w:rFonts w:asciiTheme="majorHAnsi" w:hAnsiTheme="majorHAnsi"/>
        </w:rPr>
        <w:t xml:space="preserve"> </w:t>
      </w:r>
    </w:p>
    <w:p w14:paraId="0F6F3F56" w14:textId="77777777" w:rsidR="00183518" w:rsidRPr="00173826" w:rsidRDefault="00183518" w:rsidP="00FE7770">
      <w:pPr>
        <w:jc w:val="both"/>
        <w:rPr>
          <w:rFonts w:asciiTheme="majorHAnsi" w:hAnsiTheme="majorHAnsi"/>
        </w:rPr>
      </w:pPr>
    </w:p>
    <w:p w14:paraId="39DD73A6" w14:textId="223FA904" w:rsidR="00183518" w:rsidRPr="00173826" w:rsidRDefault="00183518" w:rsidP="00FE7770">
      <w:pPr>
        <w:jc w:val="both"/>
        <w:rPr>
          <w:rFonts w:asciiTheme="majorHAnsi" w:hAnsiTheme="majorHAnsi"/>
        </w:rPr>
      </w:pPr>
      <w:r w:rsidRPr="00173826">
        <w:rPr>
          <w:rFonts w:asciiTheme="majorHAnsi" w:hAnsiTheme="majorHAnsi"/>
        </w:rPr>
        <w:t>The following Strategi</w:t>
      </w:r>
      <w:r w:rsidR="003878B6" w:rsidRPr="00173826">
        <w:rPr>
          <w:rFonts w:asciiTheme="majorHAnsi" w:hAnsiTheme="majorHAnsi"/>
        </w:rPr>
        <w:t xml:space="preserve">c Plan </w:t>
      </w:r>
      <w:r w:rsidR="00224D86" w:rsidRPr="00173826">
        <w:rPr>
          <w:rFonts w:asciiTheme="majorHAnsi" w:hAnsiTheme="majorHAnsi"/>
        </w:rPr>
        <w:t xml:space="preserve">draws from partner </w:t>
      </w:r>
      <w:r w:rsidR="003878B6" w:rsidRPr="00173826">
        <w:rPr>
          <w:rFonts w:asciiTheme="majorHAnsi" w:hAnsiTheme="majorHAnsi"/>
        </w:rPr>
        <w:t xml:space="preserve">feedback </w:t>
      </w:r>
      <w:r w:rsidR="00224D86" w:rsidRPr="00173826">
        <w:rPr>
          <w:rFonts w:asciiTheme="majorHAnsi" w:hAnsiTheme="majorHAnsi"/>
        </w:rPr>
        <w:t xml:space="preserve">during </w:t>
      </w:r>
      <w:r w:rsidR="00023CB4" w:rsidRPr="00173826">
        <w:rPr>
          <w:rFonts w:asciiTheme="majorHAnsi" w:hAnsiTheme="majorHAnsi"/>
        </w:rPr>
        <w:t>the governance review</w:t>
      </w:r>
      <w:r w:rsidR="00224D86" w:rsidRPr="00173826">
        <w:rPr>
          <w:rStyle w:val="FootnoteReference"/>
          <w:rFonts w:asciiTheme="majorHAnsi" w:hAnsiTheme="majorHAnsi"/>
        </w:rPr>
        <w:footnoteReference w:id="5"/>
      </w:r>
      <w:r w:rsidR="003878B6" w:rsidRPr="00173826">
        <w:rPr>
          <w:rFonts w:asciiTheme="majorHAnsi" w:hAnsiTheme="majorHAnsi"/>
        </w:rPr>
        <w:t xml:space="preserve">, discussions in the </w:t>
      </w:r>
      <w:r w:rsidRPr="00173826">
        <w:rPr>
          <w:rFonts w:asciiTheme="majorHAnsi" w:hAnsiTheme="majorHAnsi"/>
        </w:rPr>
        <w:t>GNC Annual meeting (July 2013)</w:t>
      </w:r>
      <w:r w:rsidR="00224D86" w:rsidRPr="00173826">
        <w:rPr>
          <w:rStyle w:val="FootnoteReference"/>
          <w:rFonts w:asciiTheme="majorHAnsi" w:hAnsiTheme="majorHAnsi"/>
        </w:rPr>
        <w:footnoteReference w:id="6"/>
      </w:r>
      <w:r w:rsidR="00A5291B" w:rsidRPr="00173826">
        <w:rPr>
          <w:rFonts w:asciiTheme="majorHAnsi" w:hAnsiTheme="majorHAnsi"/>
        </w:rPr>
        <w:t xml:space="preserve">, </w:t>
      </w:r>
      <w:r w:rsidR="00224D86" w:rsidRPr="00173826">
        <w:rPr>
          <w:rFonts w:asciiTheme="majorHAnsi" w:hAnsiTheme="majorHAnsi"/>
        </w:rPr>
        <w:t>a</w:t>
      </w:r>
      <w:r w:rsidR="003878B6" w:rsidRPr="00173826">
        <w:rPr>
          <w:rFonts w:asciiTheme="majorHAnsi" w:hAnsiTheme="majorHAnsi"/>
        </w:rPr>
        <w:t xml:space="preserve"> strategic planning exercise </w:t>
      </w:r>
      <w:r w:rsidR="00224D86" w:rsidRPr="00173826">
        <w:rPr>
          <w:rFonts w:asciiTheme="majorHAnsi" w:hAnsiTheme="majorHAnsi"/>
        </w:rPr>
        <w:t xml:space="preserve">conducted </w:t>
      </w:r>
      <w:r w:rsidR="003878B6" w:rsidRPr="00173826">
        <w:rPr>
          <w:rFonts w:asciiTheme="majorHAnsi" w:hAnsiTheme="majorHAnsi"/>
        </w:rPr>
        <w:t>with the GNC-CT and the SAG</w:t>
      </w:r>
      <w:r w:rsidR="006E728E" w:rsidRPr="00173826">
        <w:rPr>
          <w:rFonts w:asciiTheme="majorHAnsi" w:hAnsiTheme="majorHAnsi"/>
        </w:rPr>
        <w:t xml:space="preserve"> (November 2013)</w:t>
      </w:r>
      <w:r w:rsidR="00A5291B" w:rsidRPr="00173826">
        <w:rPr>
          <w:rFonts w:asciiTheme="majorHAnsi" w:hAnsiTheme="majorHAnsi"/>
        </w:rPr>
        <w:t xml:space="preserve"> and feedback provided in the GNC face-to-face meeting (February 2014)</w:t>
      </w:r>
      <w:r w:rsidR="003878B6" w:rsidRPr="00173826">
        <w:rPr>
          <w:rFonts w:asciiTheme="majorHAnsi" w:hAnsiTheme="majorHAnsi"/>
        </w:rPr>
        <w:t xml:space="preserve">. </w:t>
      </w:r>
    </w:p>
    <w:p w14:paraId="63251417" w14:textId="77777777" w:rsidR="004334FB" w:rsidRPr="00173826" w:rsidRDefault="004334FB" w:rsidP="00FE7770">
      <w:pPr>
        <w:jc w:val="both"/>
        <w:rPr>
          <w:rFonts w:asciiTheme="majorHAnsi" w:hAnsiTheme="majorHAnsi"/>
          <w:b/>
        </w:rPr>
      </w:pPr>
    </w:p>
    <w:p w14:paraId="4F76483F" w14:textId="07BE7893" w:rsidR="003878B6" w:rsidRPr="00173826" w:rsidRDefault="003878B6" w:rsidP="00FE7770">
      <w:pPr>
        <w:jc w:val="both"/>
        <w:rPr>
          <w:rFonts w:asciiTheme="majorHAnsi" w:hAnsiTheme="majorHAnsi"/>
          <w:b/>
        </w:rPr>
      </w:pPr>
      <w:r w:rsidRPr="00173826">
        <w:rPr>
          <w:rFonts w:asciiTheme="majorHAnsi" w:hAnsiTheme="majorHAnsi"/>
          <w:noProof/>
        </w:rPr>
        <mc:AlternateContent>
          <mc:Choice Requires="wps">
            <w:drawing>
              <wp:anchor distT="0" distB="0" distL="114300" distR="114300" simplePos="0" relativeHeight="251669504" behindDoc="0" locked="0" layoutInCell="1" allowOverlap="1" wp14:anchorId="542933AF" wp14:editId="4BB0A175">
                <wp:simplePos x="0" y="0"/>
                <wp:positionH relativeFrom="column">
                  <wp:posOffset>0</wp:posOffset>
                </wp:positionH>
                <wp:positionV relativeFrom="paragraph">
                  <wp:posOffset>170815</wp:posOffset>
                </wp:positionV>
                <wp:extent cx="5715000" cy="262255"/>
                <wp:effectExtent l="0" t="0" r="25400" b="17145"/>
                <wp:wrapSquare wrapText="bothSides"/>
                <wp:docPr id="7" name="Text Box 7"/>
                <wp:cNvGraphicFramePr/>
                <a:graphic xmlns:a="http://schemas.openxmlformats.org/drawingml/2006/main">
                  <a:graphicData uri="http://schemas.microsoft.com/office/word/2010/wordprocessingShape">
                    <wps:wsp>
                      <wps:cNvSpPr txBox="1"/>
                      <wps:spPr>
                        <a:xfrm>
                          <a:off x="0" y="0"/>
                          <a:ext cx="5715000" cy="262255"/>
                        </a:xfrm>
                        <a:prstGeom prst="rect">
                          <a:avLst/>
                        </a:prstGeom>
                        <a:noFill/>
                        <a:ln>
                          <a:solidFill>
                            <a:schemeClr val="tx1"/>
                          </a:solidFill>
                        </a:ln>
                        <a:effectLst/>
                        <a:extLst>
                          <a:ext uri="{C572A759-6A51-4108-AA02-DFA0A04FC94B}">
                            <ma14:wrappingTextBoxFlag xmlns:ma14="http://schemas.microsoft.com/office/mac/drawingml/2011/main"/>
                          </a:ext>
                        </a:extLst>
                      </wps:spPr>
                      <wps:txbx>
                        <w:txbxContent>
                          <w:p w14:paraId="6B310546" w14:textId="6DE1661E" w:rsidR="00281E85" w:rsidRPr="00AF76F7" w:rsidRDefault="00281E85" w:rsidP="003878B6">
                            <w:pPr>
                              <w:shd w:val="clear" w:color="auto" w:fill="DEFF47"/>
                              <w:rPr>
                                <w:b/>
                              </w:rPr>
                            </w:pPr>
                            <w:r>
                              <w:rPr>
                                <w:b/>
                              </w:rPr>
                              <w:t>Vision and core 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7" o:spid="_x0000_s1027" type="#_x0000_t202" style="position:absolute;left:0;text-align:left;margin-left:0;margin-top:13.45pt;width:450pt;height:20.6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" filled="f" strokecolor="black [3213]">
                <v:textbox style="mso-fit-shape-to-text:t">
                  <w:txbxContent>
                    <w:p w14:paraId="6B310546" w14:textId="6DE1661E" w:rsidR="00FE7770" w:rsidRPr="00AF76F7" w:rsidRDefault="00FE7770" w:rsidP="003878B6">
                      <w:pPr>
                        <w:shd w:val="clear" w:color="auto" w:fill="DEFF47"/>
                        <w:rPr>
                          <w:b/>
                        </w:rPr>
                      </w:pPr>
                      <w:r>
                        <w:rPr>
                          <w:b/>
                        </w:rPr>
                        <w:t>Vision and core purpose</w:t>
                      </w:r>
                    </w:p>
                  </w:txbxContent>
                </v:textbox>
                <w10:wrap type="square"/>
              </v:shape>
            </w:pict>
          </mc:Fallback>
        </mc:AlternateContent>
      </w:r>
    </w:p>
    <w:p w14:paraId="4B174B92" w14:textId="1D6A0967" w:rsidR="00662279" w:rsidRPr="00173826" w:rsidRDefault="00FD0DFF" w:rsidP="00FE7770">
      <w:pPr>
        <w:jc w:val="both"/>
        <w:rPr>
          <w:rFonts w:asciiTheme="majorHAnsi" w:hAnsiTheme="majorHAnsi"/>
          <w:b/>
        </w:rPr>
      </w:pPr>
      <w:r w:rsidRPr="00173826">
        <w:rPr>
          <w:rFonts w:asciiTheme="majorHAnsi" w:hAnsiTheme="majorHAnsi"/>
        </w:rPr>
        <w:t>The</w:t>
      </w:r>
      <w:r w:rsidRPr="00173826">
        <w:rPr>
          <w:rFonts w:asciiTheme="majorHAnsi" w:hAnsiTheme="majorHAnsi"/>
          <w:b/>
        </w:rPr>
        <w:t xml:space="preserve"> v</w:t>
      </w:r>
      <w:r w:rsidR="00662279" w:rsidRPr="00173826">
        <w:rPr>
          <w:rFonts w:asciiTheme="majorHAnsi" w:hAnsiTheme="majorHAnsi"/>
          <w:b/>
        </w:rPr>
        <w:t>ision</w:t>
      </w:r>
      <w:r w:rsidRPr="00173826">
        <w:rPr>
          <w:rFonts w:asciiTheme="majorHAnsi" w:hAnsiTheme="majorHAnsi"/>
          <w:b/>
        </w:rPr>
        <w:t xml:space="preserve"> </w:t>
      </w:r>
      <w:r w:rsidRPr="00173826">
        <w:rPr>
          <w:rFonts w:asciiTheme="majorHAnsi" w:hAnsiTheme="majorHAnsi"/>
        </w:rPr>
        <w:t>of the GNC is t</w:t>
      </w:r>
      <w:r w:rsidR="00662279" w:rsidRPr="00173826">
        <w:rPr>
          <w:rFonts w:asciiTheme="majorHAnsi" w:hAnsiTheme="majorHAnsi"/>
          <w:color w:val="000000"/>
        </w:rPr>
        <w:t>o safeguard and improve the nutritional status of emergency affected populations by ensuring an appropriate response that is predictable, timely and effective and at scale.</w:t>
      </w:r>
    </w:p>
    <w:p w14:paraId="13A1B41E" w14:textId="77777777" w:rsidR="008C66C8" w:rsidRPr="00173826" w:rsidRDefault="008C66C8" w:rsidP="00FE7770">
      <w:pPr>
        <w:jc w:val="both"/>
        <w:rPr>
          <w:rFonts w:asciiTheme="majorHAnsi" w:hAnsiTheme="majorHAnsi"/>
        </w:rPr>
      </w:pPr>
    </w:p>
    <w:p w14:paraId="058FD2B2" w14:textId="6DF24FA2" w:rsidR="005F7EDC" w:rsidRPr="00173826" w:rsidRDefault="005F7EDC" w:rsidP="00FE7770">
      <w:pPr>
        <w:jc w:val="both"/>
        <w:rPr>
          <w:rFonts w:asciiTheme="majorHAnsi" w:hAnsiTheme="majorHAnsi"/>
        </w:rPr>
      </w:pPr>
      <w:r w:rsidRPr="00173826">
        <w:rPr>
          <w:rFonts w:asciiTheme="majorHAnsi" w:hAnsiTheme="majorHAnsi"/>
        </w:rPr>
        <w:t xml:space="preserve">The GNC is first and foremost a coordination mechanism. The GNC’s </w:t>
      </w:r>
      <w:r w:rsidRPr="00173826">
        <w:rPr>
          <w:rFonts w:asciiTheme="majorHAnsi" w:hAnsiTheme="majorHAnsi"/>
          <w:b/>
        </w:rPr>
        <w:t>core purpose</w:t>
      </w:r>
      <w:r w:rsidRPr="00173826">
        <w:rPr>
          <w:rFonts w:asciiTheme="majorHAnsi" w:hAnsiTheme="majorHAnsi"/>
        </w:rPr>
        <w:t xml:space="preserve"> is to </w:t>
      </w:r>
      <w:r w:rsidR="00A85570" w:rsidRPr="00173826">
        <w:rPr>
          <w:rFonts w:asciiTheme="majorHAnsi" w:hAnsiTheme="majorHAnsi"/>
        </w:rPr>
        <w:t>enable</w:t>
      </w:r>
      <w:r w:rsidRPr="00173826">
        <w:rPr>
          <w:rFonts w:asciiTheme="majorHAnsi" w:hAnsiTheme="majorHAnsi"/>
        </w:rPr>
        <w:t xml:space="preserve"> country coordination mechanisms to achieve timely, quality, and appropriate nutrition response to emergencies. </w:t>
      </w:r>
      <w:r w:rsidR="00A85570" w:rsidRPr="00173826">
        <w:rPr>
          <w:rFonts w:asciiTheme="majorHAnsi" w:hAnsiTheme="majorHAnsi"/>
        </w:rPr>
        <w:t>The GNC supports country coordination in strategic decision-making, planning and strategy development, advocacy, monitoring and reporting, and contingency planning/preparedness</w:t>
      </w:r>
      <w:r w:rsidR="008C66C8" w:rsidRPr="00173826">
        <w:rPr>
          <w:rStyle w:val="FootnoteReference"/>
          <w:rFonts w:asciiTheme="majorHAnsi" w:hAnsiTheme="majorHAnsi"/>
        </w:rPr>
        <w:footnoteReference w:id="7"/>
      </w:r>
      <w:r w:rsidR="00A85570" w:rsidRPr="00173826">
        <w:rPr>
          <w:rFonts w:asciiTheme="majorHAnsi" w:hAnsiTheme="majorHAnsi"/>
        </w:rPr>
        <w:t>.</w:t>
      </w:r>
    </w:p>
    <w:p w14:paraId="7992B17B" w14:textId="77777777" w:rsidR="005F7EDC" w:rsidRPr="00173826" w:rsidRDefault="005F7EDC" w:rsidP="00FE7770">
      <w:pPr>
        <w:jc w:val="both"/>
        <w:rPr>
          <w:rFonts w:asciiTheme="majorHAnsi" w:hAnsiTheme="majorHAnsi"/>
          <w:highlight w:val="yellow"/>
        </w:rPr>
      </w:pPr>
    </w:p>
    <w:p w14:paraId="6DFD8AC4" w14:textId="00D44317" w:rsidR="00B637C7" w:rsidRPr="00173826" w:rsidRDefault="00B637C7" w:rsidP="00FE7770">
      <w:pPr>
        <w:jc w:val="both"/>
        <w:rPr>
          <w:rFonts w:asciiTheme="majorHAnsi" w:hAnsiTheme="majorHAnsi"/>
          <w:b/>
        </w:rPr>
      </w:pPr>
    </w:p>
    <w:p w14:paraId="2CD8FDE0" w14:textId="40E57738" w:rsidR="00A5291B" w:rsidRPr="00173826" w:rsidRDefault="00A5291B" w:rsidP="00FE7770">
      <w:pPr>
        <w:jc w:val="both"/>
        <w:rPr>
          <w:rFonts w:asciiTheme="majorHAnsi" w:hAnsiTheme="majorHAnsi"/>
        </w:rPr>
      </w:pPr>
      <w:r w:rsidRPr="00173826">
        <w:rPr>
          <w:rFonts w:asciiTheme="majorHAnsi" w:hAnsiTheme="majorHAnsi"/>
          <w:noProof/>
        </w:rPr>
        <mc:AlternateContent>
          <mc:Choice Requires="wps">
            <w:drawing>
              <wp:anchor distT="0" distB="0" distL="114300" distR="114300" simplePos="0" relativeHeight="251679744" behindDoc="0" locked="0" layoutInCell="1" allowOverlap="1" wp14:anchorId="417FC275" wp14:editId="0490C515">
                <wp:simplePos x="0" y="0"/>
                <wp:positionH relativeFrom="column">
                  <wp:posOffset>0</wp:posOffset>
                </wp:positionH>
                <wp:positionV relativeFrom="paragraph">
                  <wp:posOffset>114300</wp:posOffset>
                </wp:positionV>
                <wp:extent cx="5715000" cy="262255"/>
                <wp:effectExtent l="0" t="0" r="25400" b="17145"/>
                <wp:wrapSquare wrapText="bothSides"/>
                <wp:docPr id="3" name="Text Box 3"/>
                <wp:cNvGraphicFramePr/>
                <a:graphic xmlns:a="http://schemas.openxmlformats.org/drawingml/2006/main">
                  <a:graphicData uri="http://schemas.microsoft.com/office/word/2010/wordprocessingShape">
                    <wps:wsp>
                      <wps:cNvSpPr txBox="1"/>
                      <wps:spPr>
                        <a:xfrm>
                          <a:off x="0" y="0"/>
                          <a:ext cx="5715000" cy="262255"/>
                        </a:xfrm>
                        <a:prstGeom prst="rect">
                          <a:avLst/>
                        </a:prstGeom>
                        <a:noFill/>
                        <a:ln>
                          <a:solidFill>
                            <a:schemeClr val="tx1"/>
                          </a:solidFill>
                        </a:ln>
                        <a:effectLst/>
                        <a:extLst>
                          <a:ext uri="{C572A759-6A51-4108-AA02-DFA0A04FC94B}">
                            <ma14:wrappingTextBoxFlag xmlns:ma14="http://schemas.microsoft.com/office/mac/drawingml/2011/main"/>
                          </a:ext>
                        </a:extLst>
                      </wps:spPr>
                      <wps:txbx>
                        <w:txbxContent>
                          <w:p w14:paraId="1B90442F" w14:textId="77777777" w:rsidR="00281E85" w:rsidRPr="00AF76F7" w:rsidRDefault="00281E85" w:rsidP="00A5291B">
                            <w:pPr>
                              <w:shd w:val="clear" w:color="auto" w:fill="DEFF47"/>
                              <w:rPr>
                                <w:b/>
                              </w:rPr>
                            </w:pPr>
                            <w:r>
                              <w:rPr>
                                <w:b/>
                              </w:rPr>
                              <w:t>Structure of the GNC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3" o:spid="_x0000_s1028" type="#_x0000_t202" style="position:absolute;left:0;text-align:left;margin-left:0;margin-top:9pt;width:450pt;height:20.6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" filled="f" strokecolor="black [3213]">
                <v:textbox style="mso-fit-shape-to-text:t">
                  <w:txbxContent>
                    <w:p w14:paraId="1B90442F" w14:textId="77777777" w:rsidR="00FE7770" w:rsidRPr="00AF76F7" w:rsidRDefault="00FE7770" w:rsidP="00A5291B">
                      <w:pPr>
                        <w:shd w:val="clear" w:color="auto" w:fill="DEFF47"/>
                        <w:rPr>
                          <w:b/>
                        </w:rPr>
                      </w:pPr>
                      <w:r>
                        <w:rPr>
                          <w:b/>
                        </w:rPr>
                        <w:t>Structure of the GNC</w:t>
                      </w:r>
                    </w:p>
                  </w:txbxContent>
                </v:textbox>
                <w10:wrap type="square"/>
              </v:shape>
            </w:pict>
          </mc:Fallback>
        </mc:AlternateContent>
      </w:r>
    </w:p>
    <w:p w14:paraId="332185B3" w14:textId="72E7D890" w:rsidR="00B637C7" w:rsidRPr="00173826" w:rsidRDefault="002A067D" w:rsidP="00FE7770">
      <w:pPr>
        <w:jc w:val="both"/>
        <w:rPr>
          <w:rFonts w:asciiTheme="majorHAnsi" w:hAnsiTheme="majorHAnsi"/>
        </w:rPr>
      </w:pPr>
      <w:r w:rsidRPr="00173826">
        <w:rPr>
          <w:rFonts w:asciiTheme="majorHAnsi" w:hAnsiTheme="majorHAnsi"/>
        </w:rPr>
        <w:lastRenderedPageBreak/>
        <w:t>The GNC is a large partnership. E</w:t>
      </w:r>
      <w:r w:rsidR="00B637C7" w:rsidRPr="00173826">
        <w:rPr>
          <w:rFonts w:asciiTheme="majorHAnsi" w:hAnsiTheme="majorHAnsi"/>
        </w:rPr>
        <w:t xml:space="preserve">ach partner agency is unique and their contributions through identified agency focal persons enhance the diversity and richness of the GNC. </w:t>
      </w:r>
      <w:r w:rsidR="00AB0D6B" w:rsidRPr="00173826">
        <w:rPr>
          <w:rFonts w:asciiTheme="majorHAnsi" w:hAnsiTheme="majorHAnsi"/>
        </w:rPr>
        <w:t>The partnership is based around the principles of equality, transparency, responsibility and complementarity as outlined in the Principles of Partnership</w:t>
      </w:r>
      <w:r w:rsidR="00AB0D6B" w:rsidRPr="00173826">
        <w:rPr>
          <w:rStyle w:val="FootnoteReference"/>
          <w:rFonts w:asciiTheme="majorHAnsi" w:hAnsiTheme="majorHAnsi"/>
        </w:rPr>
        <w:footnoteReference w:id="8"/>
      </w:r>
      <w:r w:rsidR="00AB0D6B" w:rsidRPr="00173826">
        <w:rPr>
          <w:rFonts w:asciiTheme="majorHAnsi" w:hAnsiTheme="majorHAnsi"/>
        </w:rPr>
        <w:t xml:space="preserve">. </w:t>
      </w:r>
    </w:p>
    <w:p w14:paraId="07F8A373" w14:textId="7479D920" w:rsidR="00B637C7" w:rsidRPr="00173826" w:rsidRDefault="00B637C7" w:rsidP="00FE7770">
      <w:pPr>
        <w:jc w:val="both"/>
        <w:rPr>
          <w:rFonts w:asciiTheme="majorHAnsi" w:hAnsiTheme="majorHAnsi"/>
        </w:rPr>
      </w:pPr>
    </w:p>
    <w:p w14:paraId="43B4A9C5" w14:textId="3486A22B" w:rsidR="00662279" w:rsidRPr="00173826" w:rsidRDefault="00806E1A" w:rsidP="00FE7770">
      <w:pPr>
        <w:jc w:val="both"/>
        <w:rPr>
          <w:rFonts w:asciiTheme="majorHAnsi" w:hAnsiTheme="majorHAnsi"/>
        </w:rPr>
      </w:pPr>
      <w:r w:rsidRPr="00173826">
        <w:rPr>
          <w:rFonts w:asciiTheme="majorHAnsi" w:hAnsiTheme="majorHAnsi"/>
        </w:rPr>
        <w:t>There are three levels of engagement within the GNC: partner, observer and the Nutrit</w:t>
      </w:r>
      <w:r w:rsidR="004E25DF" w:rsidRPr="00173826">
        <w:rPr>
          <w:rFonts w:asciiTheme="majorHAnsi" w:hAnsiTheme="majorHAnsi"/>
        </w:rPr>
        <w:t xml:space="preserve">ion Cluster Coordinator </w:t>
      </w:r>
      <w:r w:rsidR="00A4574C" w:rsidRPr="00173826">
        <w:rPr>
          <w:rFonts w:asciiTheme="majorHAnsi" w:hAnsiTheme="majorHAnsi"/>
        </w:rPr>
        <w:t xml:space="preserve">(NCC) </w:t>
      </w:r>
      <w:r w:rsidR="004E25DF" w:rsidRPr="00173826">
        <w:rPr>
          <w:rFonts w:asciiTheme="majorHAnsi" w:hAnsiTheme="majorHAnsi"/>
        </w:rPr>
        <w:t>group</w:t>
      </w:r>
      <w:r w:rsidR="00FE7770">
        <w:rPr>
          <w:rFonts w:asciiTheme="majorHAnsi" w:hAnsiTheme="majorHAnsi"/>
        </w:rPr>
        <w:t xml:space="preserve"> (individual NCCs work for the Nutrition Cluster at country level)</w:t>
      </w:r>
      <w:r w:rsidR="004E25DF" w:rsidRPr="00173826">
        <w:rPr>
          <w:rFonts w:asciiTheme="majorHAnsi" w:hAnsiTheme="majorHAnsi"/>
        </w:rPr>
        <w:t xml:space="preserve">. </w:t>
      </w:r>
      <w:r w:rsidR="00282099" w:rsidRPr="00173826">
        <w:rPr>
          <w:rFonts w:asciiTheme="majorHAnsi" w:hAnsiTheme="majorHAnsi"/>
        </w:rPr>
        <w:t>A Strategic</w:t>
      </w:r>
      <w:r w:rsidR="00733629" w:rsidRPr="00173826">
        <w:rPr>
          <w:rFonts w:asciiTheme="majorHAnsi" w:hAnsiTheme="majorHAnsi"/>
        </w:rPr>
        <w:t xml:space="preserve"> Advisory Group (SAG) provides strategic guidance to the GNC Coordination Team</w:t>
      </w:r>
      <w:r w:rsidR="00282099" w:rsidRPr="00173826">
        <w:rPr>
          <w:rFonts w:asciiTheme="majorHAnsi" w:hAnsiTheme="majorHAnsi"/>
        </w:rPr>
        <w:t xml:space="preserve"> </w:t>
      </w:r>
      <w:r w:rsidR="00A5291B" w:rsidRPr="00173826">
        <w:rPr>
          <w:rFonts w:asciiTheme="majorHAnsi" w:hAnsiTheme="majorHAnsi"/>
        </w:rPr>
        <w:t xml:space="preserve">(GNC-CT) </w:t>
      </w:r>
      <w:r w:rsidR="00282099" w:rsidRPr="00173826">
        <w:rPr>
          <w:rFonts w:asciiTheme="majorHAnsi" w:hAnsiTheme="majorHAnsi"/>
        </w:rPr>
        <w:t xml:space="preserve">and the affairs of the GNC. </w:t>
      </w:r>
      <w:r w:rsidRPr="00173826">
        <w:rPr>
          <w:rFonts w:asciiTheme="majorHAnsi" w:hAnsiTheme="majorHAnsi"/>
        </w:rPr>
        <w:t>Additionally</w:t>
      </w:r>
      <w:r w:rsidR="006C2C3A">
        <w:rPr>
          <w:rFonts w:asciiTheme="majorHAnsi" w:hAnsiTheme="majorHAnsi"/>
        </w:rPr>
        <w:t xml:space="preserve">, </w:t>
      </w:r>
      <w:r w:rsidR="006C2C3A" w:rsidRPr="00173826">
        <w:rPr>
          <w:rFonts w:asciiTheme="majorHAnsi" w:hAnsiTheme="majorHAnsi"/>
        </w:rPr>
        <w:t>specific</w:t>
      </w:r>
      <w:r w:rsidRPr="00173826">
        <w:rPr>
          <w:rFonts w:asciiTheme="majorHAnsi" w:hAnsiTheme="majorHAnsi"/>
        </w:rPr>
        <w:t xml:space="preserve"> task forces </w:t>
      </w:r>
      <w:r w:rsidR="006E728E" w:rsidRPr="00173826">
        <w:rPr>
          <w:rFonts w:asciiTheme="majorHAnsi" w:hAnsiTheme="majorHAnsi"/>
        </w:rPr>
        <w:t xml:space="preserve">are </w:t>
      </w:r>
      <w:r w:rsidRPr="00173826">
        <w:rPr>
          <w:rFonts w:asciiTheme="majorHAnsi" w:hAnsiTheme="majorHAnsi"/>
        </w:rPr>
        <w:t>established on a</w:t>
      </w:r>
      <w:r w:rsidR="00E7208F" w:rsidRPr="00173826">
        <w:rPr>
          <w:rFonts w:asciiTheme="majorHAnsi" w:hAnsiTheme="majorHAnsi"/>
        </w:rPr>
        <w:t xml:space="preserve">n ‘as </w:t>
      </w:r>
      <w:r w:rsidRPr="00173826">
        <w:rPr>
          <w:rFonts w:asciiTheme="majorHAnsi" w:hAnsiTheme="majorHAnsi"/>
        </w:rPr>
        <w:t>needed</w:t>
      </w:r>
      <w:r w:rsidR="006E728E" w:rsidRPr="00173826">
        <w:rPr>
          <w:rFonts w:asciiTheme="majorHAnsi" w:hAnsiTheme="majorHAnsi"/>
        </w:rPr>
        <w:t>’</w:t>
      </w:r>
      <w:r w:rsidRPr="00173826">
        <w:rPr>
          <w:rFonts w:asciiTheme="majorHAnsi" w:hAnsiTheme="majorHAnsi"/>
        </w:rPr>
        <w:t xml:space="preserve"> basis, to </w:t>
      </w:r>
      <w:r w:rsidR="006E728E" w:rsidRPr="00173826">
        <w:rPr>
          <w:rFonts w:asciiTheme="majorHAnsi" w:hAnsiTheme="majorHAnsi"/>
        </w:rPr>
        <w:t xml:space="preserve">guide and </w:t>
      </w:r>
      <w:r w:rsidRPr="00173826">
        <w:rPr>
          <w:rFonts w:asciiTheme="majorHAnsi" w:hAnsiTheme="majorHAnsi"/>
        </w:rPr>
        <w:t xml:space="preserve">support </w:t>
      </w:r>
      <w:r w:rsidR="006E728E" w:rsidRPr="00173826">
        <w:rPr>
          <w:rFonts w:asciiTheme="majorHAnsi" w:hAnsiTheme="majorHAnsi"/>
        </w:rPr>
        <w:t xml:space="preserve">the implementation of </w:t>
      </w:r>
      <w:r w:rsidRPr="00173826">
        <w:rPr>
          <w:rFonts w:asciiTheme="majorHAnsi" w:hAnsiTheme="majorHAnsi"/>
        </w:rPr>
        <w:t xml:space="preserve">the </w:t>
      </w:r>
      <w:r w:rsidR="00926A6F" w:rsidRPr="00173826">
        <w:rPr>
          <w:rFonts w:asciiTheme="majorHAnsi" w:hAnsiTheme="majorHAnsi"/>
        </w:rPr>
        <w:t>Work Plan</w:t>
      </w:r>
      <w:r w:rsidR="003A4315" w:rsidRPr="00173826">
        <w:rPr>
          <w:rStyle w:val="FootnoteReference"/>
          <w:rFonts w:asciiTheme="majorHAnsi" w:hAnsiTheme="majorHAnsi"/>
        </w:rPr>
        <w:footnoteReference w:id="9"/>
      </w:r>
      <w:r w:rsidRPr="00173826">
        <w:rPr>
          <w:rFonts w:asciiTheme="majorHAnsi" w:hAnsiTheme="majorHAnsi"/>
        </w:rPr>
        <w:t>.</w:t>
      </w:r>
    </w:p>
    <w:p w14:paraId="5A91FD8A" w14:textId="0C02CD15" w:rsidR="00806E1A" w:rsidRPr="00173826" w:rsidRDefault="00806E1A" w:rsidP="00FE7770">
      <w:pPr>
        <w:jc w:val="both"/>
        <w:rPr>
          <w:rFonts w:asciiTheme="majorHAnsi" w:hAnsiTheme="majorHAnsi"/>
        </w:rPr>
      </w:pPr>
    </w:p>
    <w:p w14:paraId="53D0C065" w14:textId="75DBE5D4" w:rsidR="00806E1A" w:rsidRPr="00173826" w:rsidRDefault="00806E1A" w:rsidP="00FE7770">
      <w:pPr>
        <w:jc w:val="both"/>
        <w:rPr>
          <w:rFonts w:asciiTheme="majorHAnsi" w:hAnsiTheme="majorHAnsi"/>
        </w:rPr>
      </w:pPr>
      <w:r w:rsidRPr="00173826">
        <w:rPr>
          <w:rFonts w:asciiTheme="majorHAnsi" w:hAnsiTheme="majorHAnsi"/>
          <w:b/>
        </w:rPr>
        <w:t xml:space="preserve">GNC Partners </w:t>
      </w:r>
      <w:r w:rsidR="00552CDB" w:rsidRPr="00173826">
        <w:rPr>
          <w:rFonts w:asciiTheme="majorHAnsi" w:hAnsiTheme="majorHAnsi"/>
        </w:rPr>
        <w:t>a</w:t>
      </w:r>
      <w:r w:rsidRPr="00173826">
        <w:rPr>
          <w:rFonts w:asciiTheme="majorHAnsi" w:hAnsiTheme="majorHAnsi"/>
        </w:rPr>
        <w:t>re entities (organizations, groups or individuals) committed to respecting fundamental humanitarian principles</w:t>
      </w:r>
      <w:r w:rsidR="00BB69F3" w:rsidRPr="00173826">
        <w:rPr>
          <w:rStyle w:val="FootnoteReference"/>
          <w:rFonts w:asciiTheme="majorHAnsi" w:hAnsiTheme="majorHAnsi"/>
        </w:rPr>
        <w:footnoteReference w:id="10"/>
      </w:r>
      <w:r w:rsidRPr="00173826">
        <w:rPr>
          <w:rFonts w:asciiTheme="majorHAnsi" w:hAnsiTheme="majorHAnsi"/>
        </w:rPr>
        <w:t xml:space="preserve">, working </w:t>
      </w:r>
      <w:r w:rsidR="00552CDB" w:rsidRPr="00173826">
        <w:rPr>
          <w:rFonts w:asciiTheme="majorHAnsi" w:hAnsiTheme="majorHAnsi"/>
        </w:rPr>
        <w:t>in Nutrition in Emergencies,</w:t>
      </w:r>
      <w:r w:rsidRPr="00173826">
        <w:rPr>
          <w:rFonts w:asciiTheme="majorHAnsi" w:hAnsiTheme="majorHAnsi"/>
        </w:rPr>
        <w:t xml:space="preserve"> who are willing to actively help the GNC fulfill its role</w:t>
      </w:r>
      <w:r w:rsidR="00552CDB" w:rsidRPr="00173826">
        <w:rPr>
          <w:rFonts w:asciiTheme="majorHAnsi" w:hAnsiTheme="majorHAnsi"/>
        </w:rPr>
        <w:t xml:space="preserve"> and who </w:t>
      </w:r>
    </w:p>
    <w:p w14:paraId="66A469F8" w14:textId="20E4F703" w:rsidR="00552CDB" w:rsidRPr="00173826" w:rsidRDefault="00552CDB" w:rsidP="00FE7770">
      <w:pPr>
        <w:pStyle w:val="ListParagraph"/>
        <w:numPr>
          <w:ilvl w:val="0"/>
          <w:numId w:val="2"/>
        </w:numPr>
        <w:jc w:val="both"/>
        <w:rPr>
          <w:rFonts w:asciiTheme="majorHAnsi" w:hAnsiTheme="majorHAnsi"/>
        </w:rPr>
      </w:pPr>
      <w:r w:rsidRPr="00173826">
        <w:rPr>
          <w:rFonts w:asciiTheme="majorHAnsi" w:hAnsiTheme="majorHAnsi"/>
        </w:rPr>
        <w:t xml:space="preserve">Support </w:t>
      </w:r>
      <w:r w:rsidR="003D3032" w:rsidRPr="00173826">
        <w:rPr>
          <w:rFonts w:asciiTheme="majorHAnsi" w:hAnsiTheme="majorHAnsi"/>
        </w:rPr>
        <w:t xml:space="preserve">the </w:t>
      </w:r>
      <w:r w:rsidRPr="00173826">
        <w:rPr>
          <w:rFonts w:asciiTheme="majorHAnsi" w:hAnsiTheme="majorHAnsi"/>
        </w:rPr>
        <w:t xml:space="preserve">fulfillment of the GNC Strategic Plan </w:t>
      </w:r>
      <w:r w:rsidR="00E7208F" w:rsidRPr="00173826">
        <w:rPr>
          <w:rFonts w:asciiTheme="majorHAnsi" w:hAnsiTheme="majorHAnsi"/>
        </w:rPr>
        <w:t xml:space="preserve">by </w:t>
      </w:r>
      <w:r w:rsidR="003B4DCD" w:rsidRPr="00173826">
        <w:rPr>
          <w:rFonts w:asciiTheme="majorHAnsi" w:hAnsiTheme="majorHAnsi"/>
        </w:rPr>
        <w:t xml:space="preserve">collectively developing </w:t>
      </w:r>
      <w:r w:rsidR="00AB0D6B" w:rsidRPr="00173826">
        <w:rPr>
          <w:rFonts w:asciiTheme="majorHAnsi" w:hAnsiTheme="majorHAnsi"/>
        </w:rPr>
        <w:t xml:space="preserve">and contributing to </w:t>
      </w:r>
      <w:r w:rsidR="003B4DCD" w:rsidRPr="00173826">
        <w:rPr>
          <w:rFonts w:asciiTheme="majorHAnsi" w:hAnsiTheme="majorHAnsi"/>
        </w:rPr>
        <w:t xml:space="preserve">the GNC </w:t>
      </w:r>
      <w:r w:rsidR="00926A6F" w:rsidRPr="00173826">
        <w:rPr>
          <w:rFonts w:asciiTheme="majorHAnsi" w:hAnsiTheme="majorHAnsi"/>
        </w:rPr>
        <w:t>Work Plan</w:t>
      </w:r>
      <w:r w:rsidR="003B4DCD" w:rsidRPr="00173826">
        <w:rPr>
          <w:rFonts w:asciiTheme="majorHAnsi" w:hAnsiTheme="majorHAnsi"/>
        </w:rPr>
        <w:t xml:space="preserve"> </w:t>
      </w:r>
      <w:r w:rsidR="00E7208F" w:rsidRPr="00173826">
        <w:rPr>
          <w:rFonts w:asciiTheme="majorHAnsi" w:hAnsiTheme="majorHAnsi"/>
        </w:rPr>
        <w:t xml:space="preserve">via </w:t>
      </w:r>
      <w:r w:rsidR="00AB0D6B" w:rsidRPr="00173826">
        <w:rPr>
          <w:rFonts w:asciiTheme="majorHAnsi" w:hAnsiTheme="majorHAnsi"/>
        </w:rPr>
        <w:t xml:space="preserve">funding </w:t>
      </w:r>
      <w:r w:rsidR="00E7208F" w:rsidRPr="00173826">
        <w:rPr>
          <w:rFonts w:asciiTheme="majorHAnsi" w:hAnsiTheme="majorHAnsi"/>
        </w:rPr>
        <w:t xml:space="preserve">contribution or in-kind </w:t>
      </w:r>
      <w:r w:rsidR="00AB0D6B" w:rsidRPr="00173826">
        <w:rPr>
          <w:rFonts w:asciiTheme="majorHAnsi" w:hAnsiTheme="majorHAnsi"/>
        </w:rPr>
        <w:t xml:space="preserve">person time (e.g. participation in </w:t>
      </w:r>
      <w:r w:rsidR="00E7208F" w:rsidRPr="00173826">
        <w:rPr>
          <w:rFonts w:asciiTheme="majorHAnsi" w:hAnsiTheme="majorHAnsi"/>
        </w:rPr>
        <w:t xml:space="preserve">task forces) </w:t>
      </w:r>
    </w:p>
    <w:p w14:paraId="7CC46F17" w14:textId="36783251" w:rsidR="002B54AF" w:rsidRPr="00173826" w:rsidRDefault="002B54AF" w:rsidP="00FE7770">
      <w:pPr>
        <w:pStyle w:val="ListParagraph"/>
        <w:numPr>
          <w:ilvl w:val="0"/>
          <w:numId w:val="2"/>
        </w:numPr>
        <w:jc w:val="both"/>
        <w:rPr>
          <w:rFonts w:asciiTheme="majorHAnsi" w:hAnsiTheme="majorHAnsi"/>
        </w:rPr>
      </w:pPr>
      <w:r w:rsidRPr="00173826">
        <w:rPr>
          <w:rFonts w:asciiTheme="majorHAnsi" w:hAnsiTheme="majorHAnsi"/>
        </w:rPr>
        <w:t xml:space="preserve">Are signatories to a Conflict </w:t>
      </w:r>
      <w:r w:rsidR="0006209A" w:rsidRPr="00173826">
        <w:rPr>
          <w:rFonts w:asciiTheme="majorHAnsi" w:hAnsiTheme="majorHAnsi"/>
        </w:rPr>
        <w:t>of Interest clause</w:t>
      </w:r>
      <w:r w:rsidR="0006209A" w:rsidRPr="00173826">
        <w:rPr>
          <w:rStyle w:val="FootnoteReference"/>
          <w:rFonts w:asciiTheme="majorHAnsi" w:hAnsiTheme="majorHAnsi"/>
        </w:rPr>
        <w:footnoteReference w:id="11"/>
      </w:r>
    </w:p>
    <w:p w14:paraId="75C8907D" w14:textId="27109994" w:rsidR="00552CDB" w:rsidRPr="00173826" w:rsidRDefault="0006209A" w:rsidP="00FE7770">
      <w:pPr>
        <w:pStyle w:val="ListParagraph"/>
        <w:numPr>
          <w:ilvl w:val="0"/>
          <w:numId w:val="2"/>
        </w:numPr>
        <w:jc w:val="both"/>
        <w:rPr>
          <w:rFonts w:asciiTheme="majorHAnsi" w:hAnsiTheme="majorHAnsi"/>
        </w:rPr>
      </w:pPr>
      <w:r w:rsidRPr="00173826">
        <w:rPr>
          <w:rFonts w:asciiTheme="majorHAnsi" w:hAnsiTheme="majorHAnsi"/>
        </w:rPr>
        <w:t xml:space="preserve">Support the monitoring of activities in the GNC </w:t>
      </w:r>
      <w:r w:rsidR="00926A6F" w:rsidRPr="00173826">
        <w:rPr>
          <w:rFonts w:asciiTheme="majorHAnsi" w:hAnsiTheme="majorHAnsi"/>
        </w:rPr>
        <w:t>Work Plan</w:t>
      </w:r>
      <w:r w:rsidRPr="00173826">
        <w:rPr>
          <w:rFonts w:asciiTheme="majorHAnsi" w:hAnsiTheme="majorHAnsi"/>
        </w:rPr>
        <w:t xml:space="preserve"> that they are actively contributing towards </w:t>
      </w:r>
    </w:p>
    <w:p w14:paraId="0B87B1A9" w14:textId="36C8EBD1" w:rsidR="00552CDB" w:rsidRPr="00173826" w:rsidRDefault="00E7208F" w:rsidP="00FE7770">
      <w:pPr>
        <w:pStyle w:val="ListParagraph"/>
        <w:numPr>
          <w:ilvl w:val="0"/>
          <w:numId w:val="2"/>
        </w:numPr>
        <w:jc w:val="both"/>
        <w:rPr>
          <w:rFonts w:asciiTheme="majorHAnsi" w:hAnsiTheme="majorHAnsi"/>
        </w:rPr>
      </w:pPr>
      <w:r w:rsidRPr="00173826">
        <w:rPr>
          <w:rFonts w:asciiTheme="majorHAnsi" w:hAnsiTheme="majorHAnsi"/>
        </w:rPr>
        <w:t>Contribute to GNC discussions through participation in GNC meetings and teleconferences</w:t>
      </w:r>
    </w:p>
    <w:p w14:paraId="75F9F468" w14:textId="2F1D6E4C" w:rsidR="00AF6E3F" w:rsidRPr="00173826" w:rsidRDefault="00AF6E3F" w:rsidP="00FE7770">
      <w:pPr>
        <w:pStyle w:val="ListParagraph"/>
        <w:numPr>
          <w:ilvl w:val="0"/>
          <w:numId w:val="2"/>
        </w:numPr>
        <w:jc w:val="both"/>
        <w:rPr>
          <w:rFonts w:asciiTheme="majorHAnsi" w:hAnsiTheme="majorHAnsi"/>
        </w:rPr>
      </w:pPr>
      <w:r w:rsidRPr="00173826">
        <w:rPr>
          <w:rFonts w:asciiTheme="majorHAnsi" w:hAnsiTheme="majorHAnsi"/>
        </w:rPr>
        <w:t xml:space="preserve">Support a sense of equality and mutual respect for all other partners.  </w:t>
      </w:r>
    </w:p>
    <w:p w14:paraId="53F84575" w14:textId="647131F0" w:rsidR="003D3032" w:rsidRPr="00173826" w:rsidRDefault="003D3032" w:rsidP="00FE7770">
      <w:pPr>
        <w:pStyle w:val="ListParagraph"/>
        <w:numPr>
          <w:ilvl w:val="0"/>
          <w:numId w:val="2"/>
        </w:numPr>
        <w:jc w:val="both"/>
        <w:rPr>
          <w:rFonts w:asciiTheme="majorHAnsi" w:hAnsiTheme="majorHAnsi"/>
        </w:rPr>
      </w:pPr>
      <w:r w:rsidRPr="00173826">
        <w:rPr>
          <w:rFonts w:asciiTheme="majorHAnsi" w:hAnsiTheme="majorHAnsi"/>
        </w:rPr>
        <w:t>Are mutually accountable</w:t>
      </w:r>
    </w:p>
    <w:p w14:paraId="7AA6D858" w14:textId="6C20F79B" w:rsidR="00552CDB" w:rsidRPr="00173826" w:rsidRDefault="00552CDB" w:rsidP="00FE7770">
      <w:pPr>
        <w:pStyle w:val="ListParagraph"/>
        <w:numPr>
          <w:ilvl w:val="0"/>
          <w:numId w:val="2"/>
        </w:numPr>
        <w:jc w:val="both"/>
        <w:rPr>
          <w:rFonts w:asciiTheme="majorHAnsi" w:hAnsiTheme="majorHAnsi"/>
        </w:rPr>
      </w:pPr>
      <w:r w:rsidRPr="00173826">
        <w:rPr>
          <w:rFonts w:asciiTheme="majorHAnsi" w:hAnsiTheme="majorHAnsi"/>
        </w:rPr>
        <w:t>Contribute to decision making</w:t>
      </w:r>
      <w:r w:rsidR="00E46CD3" w:rsidRPr="00173826">
        <w:rPr>
          <w:rStyle w:val="FootnoteReference"/>
          <w:rFonts w:asciiTheme="majorHAnsi" w:hAnsiTheme="majorHAnsi"/>
        </w:rPr>
        <w:footnoteReference w:id="12"/>
      </w:r>
      <w:r w:rsidRPr="00173826">
        <w:rPr>
          <w:rFonts w:asciiTheme="majorHAnsi" w:hAnsiTheme="majorHAnsi"/>
        </w:rPr>
        <w:t xml:space="preserve"> in the best interests of the collective</w:t>
      </w:r>
    </w:p>
    <w:p w14:paraId="44790DB1" w14:textId="6A5C38A3" w:rsidR="00552CDB" w:rsidRPr="00173826" w:rsidRDefault="00552CDB" w:rsidP="00FE7770">
      <w:pPr>
        <w:jc w:val="both"/>
        <w:rPr>
          <w:rFonts w:asciiTheme="majorHAnsi" w:hAnsiTheme="majorHAnsi"/>
        </w:rPr>
      </w:pPr>
    </w:p>
    <w:p w14:paraId="2FD3559C" w14:textId="3BED15FC" w:rsidR="002D2DC9" w:rsidRPr="00173826" w:rsidRDefault="002D2DC9" w:rsidP="00FE7770">
      <w:pPr>
        <w:jc w:val="both"/>
        <w:rPr>
          <w:rFonts w:asciiTheme="majorHAnsi" w:hAnsiTheme="majorHAnsi"/>
        </w:rPr>
      </w:pPr>
      <w:r w:rsidRPr="00173826">
        <w:rPr>
          <w:rFonts w:asciiTheme="majorHAnsi" w:hAnsiTheme="majorHAnsi"/>
        </w:rPr>
        <w:t xml:space="preserve">Partnership will </w:t>
      </w:r>
      <w:r w:rsidR="004C592B" w:rsidRPr="00173826">
        <w:rPr>
          <w:rFonts w:asciiTheme="majorHAnsi" w:hAnsiTheme="majorHAnsi"/>
        </w:rPr>
        <w:t>be re-assessed by the GNC-CT on an annual basis based on a list of criteria outlined in the SOP.</w:t>
      </w:r>
    </w:p>
    <w:p w14:paraId="15D23728" w14:textId="6A8F010E" w:rsidR="004C592B" w:rsidRPr="00173826" w:rsidRDefault="004C592B" w:rsidP="00FE7770">
      <w:pPr>
        <w:jc w:val="both"/>
        <w:rPr>
          <w:rFonts w:asciiTheme="majorHAnsi" w:hAnsiTheme="majorHAnsi"/>
        </w:rPr>
      </w:pPr>
    </w:p>
    <w:p w14:paraId="3DA1A817" w14:textId="3964B9C2" w:rsidR="00552CDB" w:rsidRPr="00173826" w:rsidRDefault="00552CDB" w:rsidP="00FE7770">
      <w:pPr>
        <w:jc w:val="both"/>
        <w:rPr>
          <w:rFonts w:asciiTheme="majorHAnsi" w:hAnsiTheme="majorHAnsi"/>
        </w:rPr>
      </w:pPr>
      <w:r w:rsidRPr="00173826">
        <w:rPr>
          <w:rFonts w:asciiTheme="majorHAnsi" w:hAnsiTheme="majorHAnsi"/>
          <w:b/>
        </w:rPr>
        <w:t xml:space="preserve">GNC observers </w:t>
      </w:r>
      <w:r w:rsidRPr="00173826">
        <w:rPr>
          <w:rFonts w:asciiTheme="majorHAnsi" w:hAnsiTheme="majorHAnsi"/>
        </w:rPr>
        <w:t xml:space="preserve">choose not to contribute </w:t>
      </w:r>
      <w:r w:rsidR="00CE60F4" w:rsidRPr="00173826">
        <w:rPr>
          <w:rFonts w:asciiTheme="majorHAnsi" w:hAnsiTheme="majorHAnsi"/>
        </w:rPr>
        <w:t xml:space="preserve">directly </w:t>
      </w:r>
      <w:r w:rsidRPr="00173826">
        <w:rPr>
          <w:rFonts w:asciiTheme="majorHAnsi" w:hAnsiTheme="majorHAnsi"/>
        </w:rPr>
        <w:t>to the GNC’s work. They are interested to receive and share informa</w:t>
      </w:r>
      <w:r w:rsidR="003A4315" w:rsidRPr="00173826">
        <w:rPr>
          <w:rFonts w:asciiTheme="majorHAnsi" w:hAnsiTheme="majorHAnsi"/>
        </w:rPr>
        <w:t xml:space="preserve">tion where appropriate and may </w:t>
      </w:r>
      <w:r w:rsidRPr="00173826">
        <w:rPr>
          <w:rFonts w:asciiTheme="majorHAnsi" w:hAnsiTheme="majorHAnsi"/>
        </w:rPr>
        <w:t>be invited to attend meetings. They have no voice or vote regarding GNC decisions.</w:t>
      </w:r>
    </w:p>
    <w:p w14:paraId="5F76D6C8" w14:textId="4077025A" w:rsidR="00552CDB" w:rsidRPr="00173826" w:rsidRDefault="00552CDB" w:rsidP="00FE7770">
      <w:pPr>
        <w:jc w:val="both"/>
        <w:rPr>
          <w:rFonts w:asciiTheme="majorHAnsi" w:hAnsiTheme="majorHAnsi"/>
        </w:rPr>
      </w:pPr>
    </w:p>
    <w:p w14:paraId="1B1A0A5D" w14:textId="2C080F48" w:rsidR="00DD2631" w:rsidRPr="00173826" w:rsidRDefault="00DD2631" w:rsidP="00FE7770">
      <w:pPr>
        <w:jc w:val="both"/>
        <w:rPr>
          <w:rFonts w:asciiTheme="majorHAnsi" w:hAnsiTheme="majorHAnsi" w:cs="Calibri"/>
        </w:rPr>
      </w:pPr>
      <w:r w:rsidRPr="00173826">
        <w:rPr>
          <w:rFonts w:asciiTheme="majorHAnsi" w:eastAsia="Calibri" w:hAnsiTheme="majorHAnsi" w:cs="Calibri"/>
          <w:b/>
          <w:bCs/>
          <w:color w:val="auto"/>
          <w:lang w:val="id-ID"/>
        </w:rPr>
        <w:t>The NCC Group</w:t>
      </w:r>
      <w:r w:rsidRPr="00173826">
        <w:rPr>
          <w:rFonts w:asciiTheme="majorHAnsi" w:hAnsiTheme="majorHAnsi"/>
          <w:b/>
        </w:rPr>
        <w:t xml:space="preserve"> </w:t>
      </w:r>
      <w:r w:rsidRPr="00173826">
        <w:rPr>
          <w:rFonts w:asciiTheme="majorHAnsi" w:hAnsiTheme="majorHAnsi" w:cs="Calibri"/>
        </w:rPr>
        <w:t xml:space="preserve">is a special group of stakeholders of the GNC, constituting NCCs, Information Management Officers (IMOs) and Nutrition Sector Coordinators working at country level in emergencies. The GNC-CT ensures that there is widespread consultation with the NCCs through the NCC monthly calls (hosted by the GNC-CT) where individual NCCs/IMOs provide updates on their work and their opinion is sought on specific GNC issues. Any concerns or issues relevant to the </w:t>
      </w:r>
      <w:r w:rsidR="002C6AA5">
        <w:rPr>
          <w:rFonts w:asciiTheme="majorHAnsi" w:hAnsiTheme="majorHAnsi" w:cs="Calibri"/>
        </w:rPr>
        <w:t xml:space="preserve">NCC </w:t>
      </w:r>
      <w:r w:rsidRPr="00173826">
        <w:rPr>
          <w:rFonts w:asciiTheme="majorHAnsi" w:hAnsiTheme="majorHAnsi" w:cs="Calibri"/>
        </w:rPr>
        <w:t xml:space="preserve">are highlighted by the GNC-CT in monthly GNC partner teleconferences. </w:t>
      </w:r>
    </w:p>
    <w:p w14:paraId="510C4E40" w14:textId="77777777" w:rsidR="00DD2631" w:rsidRPr="00173826" w:rsidRDefault="00DD2631" w:rsidP="00FE7770">
      <w:pPr>
        <w:jc w:val="both"/>
        <w:rPr>
          <w:rFonts w:asciiTheme="majorHAnsi" w:hAnsiTheme="majorHAnsi" w:cs="Calibri"/>
        </w:rPr>
      </w:pPr>
    </w:p>
    <w:p w14:paraId="6022DD7E" w14:textId="77777777" w:rsidR="00DD2631" w:rsidRPr="00173826" w:rsidRDefault="00DD2631" w:rsidP="00FE7770">
      <w:pPr>
        <w:jc w:val="both"/>
        <w:rPr>
          <w:rFonts w:asciiTheme="majorHAnsi" w:hAnsiTheme="majorHAnsi" w:cs="Calibri"/>
        </w:rPr>
      </w:pPr>
      <w:r w:rsidRPr="00173826">
        <w:rPr>
          <w:rFonts w:asciiTheme="majorHAnsi" w:hAnsiTheme="majorHAnsi" w:cs="Calibri"/>
        </w:rPr>
        <w:lastRenderedPageBreak/>
        <w:t>Members of the NCC group also participate in GNC meetings, Task Forces and other specific consultations and activities as appropriate.</w:t>
      </w:r>
    </w:p>
    <w:p w14:paraId="4E6CC03D" w14:textId="77777777" w:rsidR="00733629" w:rsidRPr="00173826" w:rsidRDefault="00733629" w:rsidP="00FE7770">
      <w:pPr>
        <w:pStyle w:val="ListParagraph"/>
        <w:jc w:val="both"/>
        <w:rPr>
          <w:rFonts w:asciiTheme="majorHAnsi" w:hAnsiTheme="majorHAnsi"/>
        </w:rPr>
      </w:pPr>
    </w:p>
    <w:p w14:paraId="161C9E54" w14:textId="090A0CE1" w:rsidR="00662279" w:rsidRPr="00173826" w:rsidRDefault="00282099" w:rsidP="00FE7770">
      <w:pPr>
        <w:jc w:val="both"/>
        <w:rPr>
          <w:rFonts w:asciiTheme="majorHAnsi" w:hAnsiTheme="majorHAnsi"/>
        </w:rPr>
      </w:pPr>
      <w:r w:rsidRPr="00173826">
        <w:rPr>
          <w:rFonts w:asciiTheme="majorHAnsi" w:hAnsiTheme="majorHAnsi"/>
          <w:b/>
        </w:rPr>
        <w:t>GNC Coordination Team (GNC-C</w:t>
      </w:r>
      <w:r w:rsidR="00662279" w:rsidRPr="00173826">
        <w:rPr>
          <w:rFonts w:asciiTheme="majorHAnsi" w:hAnsiTheme="majorHAnsi"/>
          <w:b/>
        </w:rPr>
        <w:t>T</w:t>
      </w:r>
      <w:r w:rsidRPr="00173826">
        <w:rPr>
          <w:rFonts w:asciiTheme="majorHAnsi" w:hAnsiTheme="majorHAnsi"/>
          <w:b/>
        </w:rPr>
        <w:t>)</w:t>
      </w:r>
      <w:r w:rsidR="006E1E3C" w:rsidRPr="00173826">
        <w:rPr>
          <w:rFonts w:asciiTheme="majorHAnsi" w:hAnsiTheme="majorHAnsi"/>
          <w:b/>
        </w:rPr>
        <w:t xml:space="preserve">, </w:t>
      </w:r>
      <w:r w:rsidR="006E1E3C" w:rsidRPr="00173826">
        <w:rPr>
          <w:rFonts w:asciiTheme="majorHAnsi" w:hAnsiTheme="majorHAnsi"/>
        </w:rPr>
        <w:t>led by the GNC Coordinator,</w:t>
      </w:r>
      <w:r w:rsidR="006E1E3C" w:rsidRPr="00173826">
        <w:rPr>
          <w:rFonts w:asciiTheme="majorHAnsi" w:hAnsiTheme="majorHAnsi"/>
          <w:b/>
        </w:rPr>
        <w:t xml:space="preserve"> </w:t>
      </w:r>
      <w:r w:rsidR="000451C9" w:rsidRPr="00173826">
        <w:rPr>
          <w:rFonts w:asciiTheme="majorHAnsi" w:hAnsiTheme="majorHAnsi"/>
        </w:rPr>
        <w:t>provides leadership to the GNC in consultation with the SAG,</w:t>
      </w:r>
      <w:r w:rsidR="006E1E3C" w:rsidRPr="00173826">
        <w:rPr>
          <w:rFonts w:asciiTheme="majorHAnsi" w:hAnsiTheme="majorHAnsi"/>
        </w:rPr>
        <w:t xml:space="preserve"> </w:t>
      </w:r>
      <w:r w:rsidR="002B54AF" w:rsidRPr="00173826">
        <w:rPr>
          <w:rFonts w:asciiTheme="majorHAnsi" w:hAnsiTheme="majorHAnsi"/>
        </w:rPr>
        <w:t xml:space="preserve">GNC </w:t>
      </w:r>
      <w:r w:rsidR="006E1E3C" w:rsidRPr="00173826">
        <w:rPr>
          <w:rFonts w:asciiTheme="majorHAnsi" w:hAnsiTheme="majorHAnsi"/>
        </w:rPr>
        <w:t>partners and NCC group. The GNC Coordinator has management decision-making authority. The GNC-CT also</w:t>
      </w:r>
      <w:r w:rsidR="00FE3387" w:rsidRPr="00173826">
        <w:rPr>
          <w:rStyle w:val="FootnoteReference"/>
          <w:rFonts w:asciiTheme="majorHAnsi" w:hAnsiTheme="majorHAnsi"/>
        </w:rPr>
        <w:footnoteReference w:id="13"/>
      </w:r>
    </w:p>
    <w:p w14:paraId="022A9318" w14:textId="6CE92332" w:rsidR="006E1E3C" w:rsidRPr="00173826" w:rsidRDefault="006E1E3C" w:rsidP="00FE7770">
      <w:pPr>
        <w:pStyle w:val="ListParagraph"/>
        <w:numPr>
          <w:ilvl w:val="0"/>
          <w:numId w:val="5"/>
        </w:numPr>
        <w:jc w:val="both"/>
        <w:rPr>
          <w:rFonts w:asciiTheme="majorHAnsi" w:hAnsiTheme="majorHAnsi"/>
        </w:rPr>
      </w:pPr>
      <w:r w:rsidRPr="00173826">
        <w:rPr>
          <w:rFonts w:asciiTheme="majorHAnsi" w:hAnsiTheme="majorHAnsi"/>
        </w:rPr>
        <w:t xml:space="preserve">Supports fulfillment of GNC Strategic and </w:t>
      </w:r>
      <w:r w:rsidR="00926A6F" w:rsidRPr="00173826">
        <w:rPr>
          <w:rFonts w:asciiTheme="majorHAnsi" w:hAnsiTheme="majorHAnsi"/>
        </w:rPr>
        <w:t>Work Plan</w:t>
      </w:r>
      <w:r w:rsidRPr="00173826">
        <w:rPr>
          <w:rFonts w:asciiTheme="majorHAnsi" w:hAnsiTheme="majorHAnsi"/>
        </w:rPr>
        <w:t>s through act</w:t>
      </w:r>
      <w:r w:rsidR="00F43D59" w:rsidRPr="00173826">
        <w:rPr>
          <w:rFonts w:asciiTheme="majorHAnsi" w:hAnsiTheme="majorHAnsi"/>
        </w:rPr>
        <w:t xml:space="preserve">ivities in the GNC-CT </w:t>
      </w:r>
      <w:r w:rsidR="00926A6F" w:rsidRPr="00173826">
        <w:rPr>
          <w:rFonts w:asciiTheme="majorHAnsi" w:hAnsiTheme="majorHAnsi"/>
        </w:rPr>
        <w:t>Work Plan</w:t>
      </w:r>
      <w:r w:rsidR="00F43D59" w:rsidRPr="00173826">
        <w:rPr>
          <w:rFonts w:asciiTheme="majorHAnsi" w:hAnsiTheme="majorHAnsi"/>
        </w:rPr>
        <w:t>,</w:t>
      </w:r>
    </w:p>
    <w:p w14:paraId="7A902AB0" w14:textId="77777777" w:rsidR="002B54AF" w:rsidRPr="00173826" w:rsidRDefault="006E1E3C" w:rsidP="00FE7770">
      <w:pPr>
        <w:pStyle w:val="ListParagraph"/>
        <w:numPr>
          <w:ilvl w:val="0"/>
          <w:numId w:val="5"/>
        </w:numPr>
        <w:jc w:val="both"/>
        <w:rPr>
          <w:rFonts w:asciiTheme="majorHAnsi" w:hAnsiTheme="majorHAnsi"/>
        </w:rPr>
      </w:pPr>
      <w:r w:rsidRPr="00173826">
        <w:rPr>
          <w:rFonts w:asciiTheme="majorHAnsi" w:hAnsiTheme="majorHAnsi"/>
        </w:rPr>
        <w:t xml:space="preserve">Acts as the secretariat of the GNC, </w:t>
      </w:r>
    </w:p>
    <w:p w14:paraId="24E2AD5C" w14:textId="7C19A87C" w:rsidR="00FE3387" w:rsidRPr="00173826" w:rsidRDefault="00AA626B" w:rsidP="00FE7770">
      <w:pPr>
        <w:pStyle w:val="ListParagraph"/>
        <w:numPr>
          <w:ilvl w:val="0"/>
          <w:numId w:val="5"/>
        </w:numPr>
        <w:jc w:val="both"/>
        <w:rPr>
          <w:rFonts w:asciiTheme="majorHAnsi" w:hAnsiTheme="majorHAnsi"/>
        </w:rPr>
      </w:pPr>
      <w:r w:rsidRPr="00173826">
        <w:rPr>
          <w:rFonts w:asciiTheme="majorHAnsi" w:hAnsiTheme="majorHAnsi"/>
        </w:rPr>
        <w:t xml:space="preserve">Represents the GNC at IASC </w:t>
      </w:r>
      <w:r w:rsidR="00FE3387" w:rsidRPr="00173826">
        <w:rPr>
          <w:rFonts w:asciiTheme="majorHAnsi" w:hAnsiTheme="majorHAnsi"/>
        </w:rPr>
        <w:t>meetings and contributes learning to IASC processes and guidance</w:t>
      </w:r>
      <w:r w:rsidR="00A56E87" w:rsidRPr="00173826">
        <w:rPr>
          <w:rFonts w:asciiTheme="majorHAnsi" w:hAnsiTheme="majorHAnsi"/>
        </w:rPr>
        <w:t>,</w:t>
      </w:r>
    </w:p>
    <w:p w14:paraId="76ADDF4E" w14:textId="7F61941B" w:rsidR="00AA626B" w:rsidRPr="00173826" w:rsidRDefault="00FE3387" w:rsidP="00FE7770">
      <w:pPr>
        <w:pStyle w:val="ListParagraph"/>
        <w:numPr>
          <w:ilvl w:val="0"/>
          <w:numId w:val="5"/>
        </w:numPr>
        <w:jc w:val="both"/>
        <w:rPr>
          <w:rFonts w:asciiTheme="majorHAnsi" w:hAnsiTheme="majorHAnsi"/>
        </w:rPr>
      </w:pPr>
      <w:r w:rsidRPr="00173826">
        <w:rPr>
          <w:rFonts w:asciiTheme="majorHAnsi" w:hAnsiTheme="majorHAnsi"/>
        </w:rPr>
        <w:t>Provides operational support to country clusters</w:t>
      </w:r>
      <w:r w:rsidR="00A56E87" w:rsidRPr="00173826">
        <w:rPr>
          <w:rFonts w:asciiTheme="majorHAnsi" w:hAnsiTheme="majorHAnsi"/>
        </w:rPr>
        <w:t>,</w:t>
      </w:r>
      <w:r w:rsidR="00AA626B" w:rsidRPr="00173826">
        <w:rPr>
          <w:rFonts w:asciiTheme="majorHAnsi" w:hAnsiTheme="majorHAnsi"/>
        </w:rPr>
        <w:t xml:space="preserve"> </w:t>
      </w:r>
    </w:p>
    <w:p w14:paraId="5237E72F" w14:textId="77777777" w:rsidR="002B54AF" w:rsidRPr="00173826" w:rsidRDefault="002B54AF" w:rsidP="00FE7770">
      <w:pPr>
        <w:pStyle w:val="ListParagraph"/>
        <w:numPr>
          <w:ilvl w:val="0"/>
          <w:numId w:val="5"/>
        </w:numPr>
        <w:jc w:val="both"/>
        <w:rPr>
          <w:rFonts w:asciiTheme="majorHAnsi" w:hAnsiTheme="majorHAnsi"/>
        </w:rPr>
      </w:pPr>
      <w:r w:rsidRPr="00173826">
        <w:rPr>
          <w:rFonts w:asciiTheme="majorHAnsi" w:hAnsiTheme="majorHAnsi"/>
        </w:rPr>
        <w:t>R</w:t>
      </w:r>
      <w:r w:rsidR="006E1E3C" w:rsidRPr="00173826">
        <w:rPr>
          <w:rFonts w:asciiTheme="majorHAnsi" w:hAnsiTheme="majorHAnsi"/>
        </w:rPr>
        <w:t>eport</w:t>
      </w:r>
      <w:r w:rsidRPr="00173826">
        <w:rPr>
          <w:rFonts w:asciiTheme="majorHAnsi" w:hAnsiTheme="majorHAnsi"/>
        </w:rPr>
        <w:t xml:space="preserve">s </w:t>
      </w:r>
      <w:r w:rsidR="006E1E3C" w:rsidRPr="00173826">
        <w:rPr>
          <w:rFonts w:asciiTheme="majorHAnsi" w:hAnsiTheme="majorHAnsi"/>
        </w:rPr>
        <w:t xml:space="preserve">both to the CLA and GNC partners, </w:t>
      </w:r>
    </w:p>
    <w:p w14:paraId="28762B46" w14:textId="706E73BE" w:rsidR="006E1E3C" w:rsidRPr="00173826" w:rsidRDefault="006D2393" w:rsidP="00FE7770">
      <w:pPr>
        <w:pStyle w:val="ListParagraph"/>
        <w:numPr>
          <w:ilvl w:val="0"/>
          <w:numId w:val="5"/>
        </w:numPr>
        <w:jc w:val="both"/>
        <w:rPr>
          <w:rFonts w:asciiTheme="majorHAnsi" w:hAnsiTheme="majorHAnsi"/>
        </w:rPr>
      </w:pPr>
      <w:r w:rsidRPr="00173826">
        <w:rPr>
          <w:rFonts w:asciiTheme="majorHAnsi" w:hAnsiTheme="majorHAnsi"/>
        </w:rPr>
        <w:t>Facilitates</w:t>
      </w:r>
      <w:r w:rsidR="002B54AF" w:rsidRPr="00173826">
        <w:rPr>
          <w:rFonts w:asciiTheme="majorHAnsi" w:hAnsiTheme="majorHAnsi"/>
        </w:rPr>
        <w:t xml:space="preserve"> </w:t>
      </w:r>
      <w:r w:rsidR="006E1E3C" w:rsidRPr="00173826">
        <w:rPr>
          <w:rFonts w:asciiTheme="majorHAnsi" w:hAnsiTheme="majorHAnsi"/>
        </w:rPr>
        <w:t>links and communications between various GNC groups</w:t>
      </w:r>
      <w:r w:rsidR="00FE3387" w:rsidRPr="00173826">
        <w:rPr>
          <w:rFonts w:asciiTheme="majorHAnsi" w:hAnsiTheme="majorHAnsi"/>
        </w:rPr>
        <w:t>,</w:t>
      </w:r>
      <w:r w:rsidR="006E1E3C" w:rsidRPr="00173826">
        <w:rPr>
          <w:rFonts w:asciiTheme="majorHAnsi" w:hAnsiTheme="majorHAnsi"/>
        </w:rPr>
        <w:t xml:space="preserve"> UNICEF as CLA</w:t>
      </w:r>
      <w:r w:rsidR="00F43D59" w:rsidRPr="00173826">
        <w:rPr>
          <w:rFonts w:asciiTheme="majorHAnsi" w:hAnsiTheme="majorHAnsi"/>
        </w:rPr>
        <w:t xml:space="preserve">, </w:t>
      </w:r>
      <w:r w:rsidR="00FE3387" w:rsidRPr="00173826">
        <w:rPr>
          <w:rFonts w:asciiTheme="majorHAnsi" w:hAnsiTheme="majorHAnsi"/>
        </w:rPr>
        <w:t>and other clusters,</w:t>
      </w:r>
      <w:r w:rsidR="00F43D59" w:rsidRPr="00173826">
        <w:rPr>
          <w:rFonts w:asciiTheme="majorHAnsi" w:hAnsiTheme="majorHAnsi"/>
        </w:rPr>
        <w:t xml:space="preserve"> </w:t>
      </w:r>
    </w:p>
    <w:p w14:paraId="1DB21F09" w14:textId="6FC5AD68" w:rsidR="00FE3387" w:rsidRPr="00173826" w:rsidRDefault="006E1E3C" w:rsidP="00FE7770">
      <w:pPr>
        <w:pStyle w:val="ListParagraph"/>
        <w:numPr>
          <w:ilvl w:val="0"/>
          <w:numId w:val="5"/>
        </w:numPr>
        <w:jc w:val="both"/>
        <w:rPr>
          <w:rFonts w:asciiTheme="majorHAnsi" w:hAnsiTheme="majorHAnsi"/>
        </w:rPr>
      </w:pPr>
      <w:r w:rsidRPr="00173826">
        <w:rPr>
          <w:rFonts w:asciiTheme="majorHAnsi" w:hAnsiTheme="majorHAnsi"/>
        </w:rPr>
        <w:t xml:space="preserve">Monitors the GNC-CT </w:t>
      </w:r>
      <w:r w:rsidR="00926A6F" w:rsidRPr="00173826">
        <w:rPr>
          <w:rFonts w:asciiTheme="majorHAnsi" w:hAnsiTheme="majorHAnsi"/>
        </w:rPr>
        <w:t>Work Plan</w:t>
      </w:r>
      <w:r w:rsidRPr="00173826">
        <w:rPr>
          <w:rFonts w:asciiTheme="majorHAnsi" w:hAnsiTheme="majorHAnsi"/>
        </w:rPr>
        <w:t xml:space="preserve"> on a monthly basis</w:t>
      </w:r>
      <w:r w:rsidR="00A56E87" w:rsidRPr="00173826">
        <w:rPr>
          <w:rFonts w:asciiTheme="majorHAnsi" w:hAnsiTheme="majorHAnsi"/>
        </w:rPr>
        <w:t>,</w:t>
      </w:r>
      <w:r w:rsidR="00FE3387" w:rsidRPr="00173826">
        <w:rPr>
          <w:rFonts w:asciiTheme="majorHAnsi" w:hAnsiTheme="majorHAnsi"/>
        </w:rPr>
        <w:t xml:space="preserve"> and</w:t>
      </w:r>
    </w:p>
    <w:p w14:paraId="21709AA0" w14:textId="23CCA6FB" w:rsidR="006E1E3C" w:rsidRPr="00173826" w:rsidRDefault="00FE3387" w:rsidP="00FE7770">
      <w:pPr>
        <w:pStyle w:val="ListParagraph"/>
        <w:numPr>
          <w:ilvl w:val="0"/>
          <w:numId w:val="5"/>
        </w:numPr>
        <w:jc w:val="both"/>
        <w:rPr>
          <w:rFonts w:asciiTheme="majorHAnsi" w:hAnsiTheme="majorHAnsi"/>
        </w:rPr>
      </w:pPr>
      <w:r w:rsidRPr="00173826">
        <w:rPr>
          <w:rFonts w:asciiTheme="majorHAnsi" w:hAnsiTheme="majorHAnsi"/>
        </w:rPr>
        <w:t>Writes the annual GNC report</w:t>
      </w:r>
      <w:r w:rsidR="00F43D59" w:rsidRPr="00173826">
        <w:rPr>
          <w:rFonts w:asciiTheme="majorHAnsi" w:hAnsiTheme="majorHAnsi"/>
        </w:rPr>
        <w:t>.</w:t>
      </w:r>
      <w:r w:rsidR="006E1E3C" w:rsidRPr="00173826">
        <w:rPr>
          <w:rFonts w:asciiTheme="majorHAnsi" w:hAnsiTheme="majorHAnsi"/>
        </w:rPr>
        <w:t xml:space="preserve"> </w:t>
      </w:r>
    </w:p>
    <w:p w14:paraId="1A670093" w14:textId="77777777" w:rsidR="006E1E3C" w:rsidRPr="00173826" w:rsidRDefault="006E1E3C" w:rsidP="00FE7770">
      <w:pPr>
        <w:ind w:left="360"/>
        <w:jc w:val="both"/>
        <w:rPr>
          <w:rFonts w:asciiTheme="majorHAnsi" w:hAnsiTheme="majorHAnsi"/>
        </w:rPr>
      </w:pPr>
    </w:p>
    <w:p w14:paraId="37A205D6" w14:textId="0DEFC161" w:rsidR="00C63D14" w:rsidRPr="00173826" w:rsidRDefault="00C63D14" w:rsidP="00FE7770">
      <w:pPr>
        <w:jc w:val="both"/>
        <w:rPr>
          <w:rFonts w:asciiTheme="majorHAnsi" w:hAnsiTheme="majorHAnsi"/>
        </w:rPr>
      </w:pPr>
      <w:r w:rsidRPr="00173826">
        <w:rPr>
          <w:rFonts w:asciiTheme="majorHAnsi" w:hAnsiTheme="majorHAnsi"/>
        </w:rPr>
        <w:t>The</w:t>
      </w:r>
      <w:r w:rsidRPr="00173826">
        <w:rPr>
          <w:rFonts w:asciiTheme="majorHAnsi" w:hAnsiTheme="majorHAnsi"/>
          <w:b/>
        </w:rPr>
        <w:t xml:space="preserve"> Strategic Advisory Group (SAG) </w:t>
      </w:r>
      <w:r w:rsidRPr="00173826">
        <w:rPr>
          <w:rFonts w:asciiTheme="majorHAnsi" w:hAnsiTheme="majorHAnsi"/>
        </w:rPr>
        <w:t xml:space="preserve">is composed of representatives from four GNC partners, one NCC, </w:t>
      </w:r>
      <w:r w:rsidR="00545754" w:rsidRPr="00173826">
        <w:rPr>
          <w:rFonts w:asciiTheme="majorHAnsi" w:hAnsiTheme="majorHAnsi"/>
        </w:rPr>
        <w:t xml:space="preserve">and </w:t>
      </w:r>
      <w:r w:rsidRPr="00173826">
        <w:rPr>
          <w:rFonts w:asciiTheme="majorHAnsi" w:hAnsiTheme="majorHAnsi"/>
        </w:rPr>
        <w:t>the CLA</w:t>
      </w:r>
      <w:r w:rsidR="00545754" w:rsidRPr="00173826">
        <w:rPr>
          <w:rFonts w:asciiTheme="majorHAnsi" w:hAnsiTheme="majorHAnsi"/>
        </w:rPr>
        <w:t>.</w:t>
      </w:r>
      <w:r w:rsidRPr="00173826">
        <w:rPr>
          <w:rFonts w:asciiTheme="majorHAnsi" w:hAnsiTheme="majorHAnsi"/>
        </w:rPr>
        <w:t xml:space="preserve"> The SAG</w:t>
      </w:r>
    </w:p>
    <w:p w14:paraId="5DC6B7B6" w14:textId="77777777" w:rsidR="00C63D14" w:rsidRPr="00173826" w:rsidRDefault="00C63D14" w:rsidP="00FE7770">
      <w:pPr>
        <w:pStyle w:val="ListParagraph"/>
        <w:jc w:val="both"/>
        <w:rPr>
          <w:rFonts w:asciiTheme="majorHAnsi" w:hAnsiTheme="majorHAnsi"/>
        </w:rPr>
      </w:pPr>
    </w:p>
    <w:p w14:paraId="2B829A35" w14:textId="32EDDB47" w:rsidR="00C63D14" w:rsidRPr="00173826" w:rsidRDefault="00C63D14" w:rsidP="00FE7770">
      <w:pPr>
        <w:pStyle w:val="ListParagraph"/>
        <w:numPr>
          <w:ilvl w:val="0"/>
          <w:numId w:val="6"/>
        </w:numPr>
        <w:jc w:val="both"/>
        <w:rPr>
          <w:rFonts w:asciiTheme="majorHAnsi" w:hAnsiTheme="majorHAnsi"/>
        </w:rPr>
      </w:pPr>
      <w:r w:rsidRPr="00173826">
        <w:rPr>
          <w:rFonts w:asciiTheme="majorHAnsi" w:hAnsiTheme="majorHAnsi"/>
        </w:rPr>
        <w:t>Provides strategic support to the GNC-CT (GNC Coordinator and deputy) to guide direction of GNC affairs based on SAG TOR,</w:t>
      </w:r>
    </w:p>
    <w:p w14:paraId="4C62BBF8" w14:textId="77777777" w:rsidR="00C63D14" w:rsidRPr="00173826" w:rsidRDefault="00C63D14" w:rsidP="00FE7770">
      <w:pPr>
        <w:pStyle w:val="ListParagraph"/>
        <w:numPr>
          <w:ilvl w:val="0"/>
          <w:numId w:val="6"/>
        </w:numPr>
        <w:jc w:val="both"/>
        <w:rPr>
          <w:rFonts w:asciiTheme="majorHAnsi" w:hAnsiTheme="majorHAnsi"/>
        </w:rPr>
      </w:pPr>
      <w:r w:rsidRPr="00173826">
        <w:rPr>
          <w:rFonts w:asciiTheme="majorHAnsi" w:hAnsiTheme="majorHAnsi"/>
        </w:rPr>
        <w:t>Commits to working in fulfillment of the activities outlined in the annual meeting,</w:t>
      </w:r>
    </w:p>
    <w:p w14:paraId="02D1F556" w14:textId="3966CA67" w:rsidR="00C63D14" w:rsidRPr="00173826" w:rsidRDefault="00C63D14" w:rsidP="00FE7770">
      <w:pPr>
        <w:pStyle w:val="ListParagraph"/>
        <w:numPr>
          <w:ilvl w:val="0"/>
          <w:numId w:val="6"/>
        </w:numPr>
        <w:jc w:val="both"/>
        <w:rPr>
          <w:rFonts w:asciiTheme="majorHAnsi" w:hAnsiTheme="majorHAnsi"/>
        </w:rPr>
      </w:pPr>
      <w:r w:rsidRPr="00173826">
        <w:rPr>
          <w:rFonts w:asciiTheme="majorHAnsi" w:hAnsiTheme="majorHAnsi" w:cs="Arial"/>
        </w:rPr>
        <w:t xml:space="preserve">Supports the GNC CT in monitoring the progress on the GNC </w:t>
      </w:r>
      <w:r w:rsidR="00926A6F" w:rsidRPr="00173826">
        <w:rPr>
          <w:rFonts w:asciiTheme="majorHAnsi" w:hAnsiTheme="majorHAnsi" w:cs="Arial"/>
        </w:rPr>
        <w:t>Work Plan</w:t>
      </w:r>
      <w:r w:rsidRPr="00173826">
        <w:rPr>
          <w:rStyle w:val="FootnoteReference"/>
          <w:rFonts w:asciiTheme="majorHAnsi" w:hAnsiTheme="majorHAnsi" w:cs="Arial"/>
        </w:rPr>
        <w:footnoteReference w:id="14"/>
      </w:r>
      <w:r w:rsidR="00EB6B28" w:rsidRPr="00173826">
        <w:rPr>
          <w:rFonts w:asciiTheme="majorHAnsi" w:hAnsiTheme="majorHAnsi" w:cs="Arial"/>
        </w:rPr>
        <w:t>,</w:t>
      </w:r>
      <w:r w:rsidRPr="00173826">
        <w:rPr>
          <w:rFonts w:asciiTheme="majorHAnsi" w:hAnsiTheme="majorHAnsi" w:cs="Arial"/>
        </w:rPr>
        <w:t xml:space="preserve"> highlighting and suggesting actions if off track</w:t>
      </w:r>
      <w:r w:rsidR="00545754" w:rsidRPr="00173826">
        <w:rPr>
          <w:rFonts w:asciiTheme="majorHAnsi" w:hAnsiTheme="majorHAnsi" w:cs="Arial"/>
        </w:rPr>
        <w:t>.</w:t>
      </w:r>
    </w:p>
    <w:p w14:paraId="6A0201D7" w14:textId="77777777" w:rsidR="00C63D14" w:rsidRPr="00173826" w:rsidRDefault="00C63D14" w:rsidP="00FE7770">
      <w:pPr>
        <w:jc w:val="both"/>
        <w:rPr>
          <w:rFonts w:asciiTheme="majorHAnsi" w:hAnsiTheme="majorHAnsi"/>
        </w:rPr>
      </w:pPr>
    </w:p>
    <w:p w14:paraId="4298CFC3" w14:textId="59DCA7D2" w:rsidR="00C63D14" w:rsidRPr="00173826" w:rsidRDefault="00C63D14" w:rsidP="00FE7770">
      <w:pPr>
        <w:jc w:val="both"/>
        <w:rPr>
          <w:rFonts w:asciiTheme="majorHAnsi" w:hAnsiTheme="majorHAnsi"/>
        </w:rPr>
      </w:pPr>
      <w:r w:rsidRPr="00173826">
        <w:rPr>
          <w:rFonts w:asciiTheme="majorHAnsi" w:hAnsiTheme="majorHAnsi"/>
        </w:rPr>
        <w:t>The SAG has a decision-making role only if delegated by partners (at meetings or via email).</w:t>
      </w:r>
    </w:p>
    <w:p w14:paraId="7B6730EC" w14:textId="77777777" w:rsidR="00C63D14" w:rsidRPr="00173826" w:rsidRDefault="00C63D14" w:rsidP="00FE7770">
      <w:pPr>
        <w:jc w:val="both"/>
        <w:rPr>
          <w:rFonts w:asciiTheme="majorHAnsi" w:hAnsiTheme="majorHAnsi"/>
        </w:rPr>
      </w:pPr>
    </w:p>
    <w:p w14:paraId="3AEFB84F" w14:textId="77777777" w:rsidR="00111618" w:rsidRPr="00173826" w:rsidRDefault="00111618" w:rsidP="00FE7770">
      <w:pPr>
        <w:jc w:val="both"/>
        <w:rPr>
          <w:rFonts w:asciiTheme="majorHAnsi" w:hAnsiTheme="majorHAnsi"/>
        </w:rPr>
      </w:pPr>
      <w:r w:rsidRPr="00173826">
        <w:rPr>
          <w:rFonts w:asciiTheme="majorHAnsi" w:hAnsiTheme="majorHAnsi"/>
        </w:rPr>
        <w:t xml:space="preserve">The GNC also hosts a </w:t>
      </w:r>
      <w:r w:rsidRPr="00173826">
        <w:rPr>
          <w:rFonts w:asciiTheme="majorHAnsi" w:hAnsiTheme="majorHAnsi"/>
          <w:b/>
        </w:rPr>
        <w:t>Rapid Response Team (RRT),</w:t>
      </w:r>
      <w:r w:rsidRPr="00173826">
        <w:rPr>
          <w:rFonts w:asciiTheme="majorHAnsi" w:hAnsiTheme="majorHAnsi"/>
        </w:rPr>
        <w:t xml:space="preserve"> consisting of five experienced nutrition professionals, available for rapid deployment of up to 3 months to support country-level cluster coordination and information management functions. RRT staff are operationally supported by four GNC partner agencies: Action Against Hunger—International, International Medical Corps, Save the Children—United Kingdom, and World Vision International with financial support from ECHO.</w:t>
      </w:r>
    </w:p>
    <w:p w14:paraId="197E8DDC" w14:textId="77777777" w:rsidR="00111618" w:rsidRPr="00173826" w:rsidRDefault="00111618" w:rsidP="00FE7770">
      <w:pPr>
        <w:jc w:val="both"/>
        <w:rPr>
          <w:rFonts w:asciiTheme="majorHAnsi" w:hAnsiTheme="majorHAnsi"/>
          <w:b/>
        </w:rPr>
      </w:pPr>
    </w:p>
    <w:p w14:paraId="747A63BD" w14:textId="3F32ED2E" w:rsidR="006E1E3C" w:rsidRPr="00173826" w:rsidRDefault="006E1E3C" w:rsidP="00FE7770">
      <w:pPr>
        <w:jc w:val="both"/>
        <w:rPr>
          <w:rFonts w:asciiTheme="majorHAnsi" w:hAnsiTheme="majorHAnsi"/>
        </w:rPr>
      </w:pPr>
      <w:r w:rsidRPr="00173826">
        <w:rPr>
          <w:rFonts w:asciiTheme="majorHAnsi" w:hAnsiTheme="majorHAnsi"/>
          <w:b/>
        </w:rPr>
        <w:t xml:space="preserve">Task forces </w:t>
      </w:r>
      <w:r w:rsidRPr="00173826">
        <w:rPr>
          <w:rFonts w:asciiTheme="majorHAnsi" w:hAnsiTheme="majorHAnsi"/>
        </w:rPr>
        <w:t>are comp</w:t>
      </w:r>
      <w:r w:rsidR="00BE2E6D" w:rsidRPr="00173826">
        <w:rPr>
          <w:rFonts w:asciiTheme="majorHAnsi" w:hAnsiTheme="majorHAnsi"/>
        </w:rPr>
        <w:t>o</w:t>
      </w:r>
      <w:r w:rsidRPr="00173826">
        <w:rPr>
          <w:rFonts w:asciiTheme="majorHAnsi" w:hAnsiTheme="majorHAnsi"/>
        </w:rPr>
        <w:t xml:space="preserve">sed of GNC partners and observers who volunteer to dedicate time to action specific work identified in the GNC </w:t>
      </w:r>
      <w:r w:rsidR="00926A6F" w:rsidRPr="00173826">
        <w:rPr>
          <w:rFonts w:asciiTheme="majorHAnsi" w:hAnsiTheme="majorHAnsi"/>
        </w:rPr>
        <w:t>Work Plan</w:t>
      </w:r>
      <w:r w:rsidRPr="00173826">
        <w:rPr>
          <w:rFonts w:asciiTheme="majorHAnsi" w:hAnsiTheme="majorHAnsi"/>
        </w:rPr>
        <w:t>. Representatives from other Clusters could also be asked to join where relevant.</w:t>
      </w:r>
      <w:r w:rsidR="00BE2E6D" w:rsidRPr="00173826">
        <w:rPr>
          <w:rFonts w:asciiTheme="majorHAnsi" w:hAnsiTheme="majorHAnsi"/>
        </w:rPr>
        <w:t xml:space="preserve"> Anticipated outputs and a clear </w:t>
      </w:r>
      <w:r w:rsidR="00F43D59" w:rsidRPr="00173826">
        <w:rPr>
          <w:rFonts w:asciiTheme="majorHAnsi" w:hAnsiTheme="majorHAnsi"/>
        </w:rPr>
        <w:t>time frame</w:t>
      </w:r>
      <w:r w:rsidR="00BE2E6D" w:rsidRPr="00173826">
        <w:rPr>
          <w:rFonts w:asciiTheme="majorHAnsi" w:hAnsiTheme="majorHAnsi"/>
        </w:rPr>
        <w:t xml:space="preserve"> </w:t>
      </w:r>
      <w:r w:rsidR="002B54AF" w:rsidRPr="00173826">
        <w:rPr>
          <w:rFonts w:asciiTheme="majorHAnsi" w:hAnsiTheme="majorHAnsi"/>
        </w:rPr>
        <w:t xml:space="preserve">for task forces are agreed by </w:t>
      </w:r>
      <w:r w:rsidR="00BE2E6D" w:rsidRPr="00173826">
        <w:rPr>
          <w:rFonts w:asciiTheme="majorHAnsi" w:hAnsiTheme="majorHAnsi"/>
        </w:rPr>
        <w:t xml:space="preserve">the GNC-CT and SAG. </w:t>
      </w:r>
    </w:p>
    <w:p w14:paraId="6ECBFBB1" w14:textId="77777777" w:rsidR="004534A5" w:rsidRPr="00173826" w:rsidRDefault="004534A5" w:rsidP="00FE7770">
      <w:pPr>
        <w:jc w:val="both"/>
        <w:rPr>
          <w:rFonts w:asciiTheme="majorHAnsi" w:hAnsiTheme="majorHAnsi"/>
          <w:color w:val="auto"/>
        </w:rPr>
      </w:pPr>
    </w:p>
    <w:p w14:paraId="05BFACA4" w14:textId="77777777" w:rsidR="002365ED" w:rsidRPr="00173826" w:rsidRDefault="002365ED" w:rsidP="00FE7770">
      <w:pPr>
        <w:jc w:val="both"/>
        <w:rPr>
          <w:rFonts w:asciiTheme="majorHAnsi" w:hAnsiTheme="majorHAnsi"/>
        </w:rPr>
      </w:pPr>
    </w:p>
    <w:p w14:paraId="6F2E94B9" w14:textId="77777777" w:rsidR="002C6AA5" w:rsidRDefault="002C6AA5">
      <w:pPr>
        <w:rPr>
          <w:rFonts w:asciiTheme="majorHAnsi" w:hAnsiTheme="majorHAnsi"/>
        </w:rPr>
      </w:pPr>
      <w:r>
        <w:rPr>
          <w:rFonts w:asciiTheme="majorHAnsi" w:hAnsiTheme="majorHAnsi"/>
        </w:rPr>
        <w:br w:type="page"/>
      </w:r>
    </w:p>
    <w:p w14:paraId="52AB768B" w14:textId="2BDD9875" w:rsidR="00662279" w:rsidRPr="00173826" w:rsidRDefault="000C5118" w:rsidP="00FE7770">
      <w:pPr>
        <w:jc w:val="both"/>
        <w:rPr>
          <w:rFonts w:asciiTheme="majorHAnsi" w:hAnsiTheme="majorHAnsi"/>
        </w:rPr>
      </w:pPr>
      <w:r w:rsidRPr="00173826">
        <w:rPr>
          <w:rFonts w:asciiTheme="majorHAnsi" w:hAnsiTheme="majorHAnsi"/>
          <w:noProof/>
        </w:rPr>
        <w:lastRenderedPageBreak/>
        <mc:AlternateContent>
          <mc:Choice Requires="wps">
            <w:drawing>
              <wp:anchor distT="0" distB="0" distL="114300" distR="114300" simplePos="0" relativeHeight="251663360" behindDoc="0" locked="0" layoutInCell="1" allowOverlap="1" wp14:anchorId="663E8BC5" wp14:editId="1ACF6459">
                <wp:simplePos x="0" y="0"/>
                <wp:positionH relativeFrom="column">
                  <wp:posOffset>0</wp:posOffset>
                </wp:positionH>
                <wp:positionV relativeFrom="paragraph">
                  <wp:posOffset>170815</wp:posOffset>
                </wp:positionV>
                <wp:extent cx="5715000" cy="262255"/>
                <wp:effectExtent l="0" t="0" r="25400" b="17145"/>
                <wp:wrapSquare wrapText="bothSides"/>
                <wp:docPr id="4" name="Text Box 4"/>
                <wp:cNvGraphicFramePr/>
                <a:graphic xmlns:a="http://schemas.openxmlformats.org/drawingml/2006/main">
                  <a:graphicData uri="http://schemas.microsoft.com/office/word/2010/wordprocessingShape">
                    <wps:wsp>
                      <wps:cNvSpPr txBox="1"/>
                      <wps:spPr>
                        <a:xfrm>
                          <a:off x="0" y="0"/>
                          <a:ext cx="5715000" cy="262255"/>
                        </a:xfrm>
                        <a:prstGeom prst="rect">
                          <a:avLst/>
                        </a:prstGeom>
                        <a:noFill/>
                        <a:ln>
                          <a:solidFill>
                            <a:schemeClr val="tx1"/>
                          </a:solidFill>
                        </a:ln>
                        <a:effectLst/>
                        <a:extLst>
                          <a:ext uri="{C572A759-6A51-4108-AA02-DFA0A04FC94B}">
                            <ma14:wrappingTextBoxFlag xmlns:ma14="http://schemas.microsoft.com/office/mac/drawingml/2011/main"/>
                          </a:ext>
                        </a:extLst>
                      </wps:spPr>
                      <wps:txbx>
                        <w:txbxContent>
                          <w:p w14:paraId="3126BC93" w14:textId="31245128" w:rsidR="00281E85" w:rsidRPr="007A0173" w:rsidRDefault="00281E85" w:rsidP="000C5118">
                            <w:pPr>
                              <w:shd w:val="clear" w:color="auto" w:fill="DEFF47"/>
                              <w:rPr>
                                <w:b/>
                              </w:rPr>
                            </w:pPr>
                            <w:r>
                              <w:rPr>
                                <w:b/>
                              </w:rPr>
                              <w:t>Strategic pillars 2014-2016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4" o:spid="_x0000_s1029" type="#_x0000_t202" style="position:absolute;left:0;text-align:left;margin-left:0;margin-top:13.45pt;width:450pt;height:20.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" filled="f" strokecolor="black [3213]">
                <v:textbox style="mso-fit-shape-to-text:t">
                  <w:txbxContent>
                    <w:p w14:paraId="3126BC93" w14:textId="31245128" w:rsidR="00FE7770" w:rsidRPr="007A0173" w:rsidRDefault="00FE7770" w:rsidP="000C5118">
                      <w:pPr>
                        <w:shd w:val="clear" w:color="auto" w:fill="DEFF47"/>
                        <w:rPr>
                          <w:b/>
                        </w:rPr>
                      </w:pPr>
                      <w:r>
                        <w:rPr>
                          <w:b/>
                        </w:rPr>
                        <w:t>Strategic pillars 2014-2016</w:t>
                      </w:r>
                    </w:p>
                  </w:txbxContent>
                </v:textbox>
                <w10:wrap type="square"/>
              </v:shape>
            </w:pict>
          </mc:Fallback>
        </mc:AlternateContent>
      </w:r>
    </w:p>
    <w:p w14:paraId="16EFA643" w14:textId="0CC87D64" w:rsidR="00662279" w:rsidRPr="00173826" w:rsidRDefault="003878B6" w:rsidP="00FE7770">
      <w:pPr>
        <w:jc w:val="both"/>
        <w:rPr>
          <w:rFonts w:asciiTheme="majorHAnsi" w:hAnsiTheme="majorHAnsi"/>
        </w:rPr>
      </w:pPr>
      <w:r w:rsidRPr="00173826">
        <w:rPr>
          <w:rFonts w:asciiTheme="majorHAnsi" w:hAnsiTheme="majorHAnsi"/>
        </w:rPr>
        <w:t xml:space="preserve">The GNC’s work from 1 January 2014 to 31 December 2016 </w:t>
      </w:r>
      <w:r w:rsidR="00955AB6" w:rsidRPr="00173826">
        <w:rPr>
          <w:rFonts w:asciiTheme="majorHAnsi" w:hAnsiTheme="majorHAnsi"/>
        </w:rPr>
        <w:t xml:space="preserve">will fall under the following four pillars: </w:t>
      </w:r>
    </w:p>
    <w:p w14:paraId="10D5C560" w14:textId="77777777" w:rsidR="00BA40B1" w:rsidRPr="00173826" w:rsidRDefault="00BA40B1" w:rsidP="00FE7770">
      <w:pPr>
        <w:jc w:val="both"/>
        <w:rPr>
          <w:rFonts w:asciiTheme="majorHAnsi" w:hAnsiTheme="majorHAnsi"/>
          <w:b/>
        </w:rPr>
      </w:pPr>
    </w:p>
    <w:p w14:paraId="02CA242C" w14:textId="6A8C1A0B" w:rsidR="00662279" w:rsidRPr="00173826" w:rsidRDefault="00A346F7" w:rsidP="00FE7770">
      <w:pPr>
        <w:pStyle w:val="ListParagraph"/>
        <w:numPr>
          <w:ilvl w:val="0"/>
          <w:numId w:val="29"/>
        </w:numPr>
        <w:jc w:val="both"/>
        <w:rPr>
          <w:rFonts w:asciiTheme="majorHAnsi" w:hAnsiTheme="majorHAnsi"/>
        </w:rPr>
      </w:pPr>
      <w:r w:rsidRPr="00173826">
        <w:rPr>
          <w:rFonts w:asciiTheme="majorHAnsi" w:hAnsiTheme="majorHAnsi"/>
          <w:b/>
        </w:rPr>
        <w:t>Partnership, communication, a</w:t>
      </w:r>
      <w:r w:rsidR="00662279" w:rsidRPr="00173826">
        <w:rPr>
          <w:rFonts w:asciiTheme="majorHAnsi" w:hAnsiTheme="majorHAnsi"/>
          <w:b/>
        </w:rPr>
        <w:t>dvocacy,</w:t>
      </w:r>
      <w:r w:rsidR="00804136" w:rsidRPr="00173826">
        <w:rPr>
          <w:rFonts w:asciiTheme="majorHAnsi" w:hAnsiTheme="majorHAnsi"/>
          <w:b/>
        </w:rPr>
        <w:t xml:space="preserve"> </w:t>
      </w:r>
      <w:r w:rsidR="00F65F21" w:rsidRPr="00173826">
        <w:rPr>
          <w:rFonts w:asciiTheme="majorHAnsi" w:hAnsiTheme="majorHAnsi"/>
          <w:b/>
        </w:rPr>
        <w:t>and resource mobiliz</w:t>
      </w:r>
      <w:r w:rsidR="00804136" w:rsidRPr="00173826">
        <w:rPr>
          <w:rFonts w:asciiTheme="majorHAnsi" w:hAnsiTheme="majorHAnsi"/>
          <w:b/>
        </w:rPr>
        <w:t>ation</w:t>
      </w:r>
      <w:r w:rsidR="00955AB6" w:rsidRPr="00173826">
        <w:rPr>
          <w:rFonts w:asciiTheme="majorHAnsi" w:hAnsiTheme="majorHAnsi"/>
          <w:b/>
        </w:rPr>
        <w:t xml:space="preserve"> </w:t>
      </w:r>
    </w:p>
    <w:p w14:paraId="1FDA5892" w14:textId="1948ADAF" w:rsidR="00662279" w:rsidRPr="00173826" w:rsidRDefault="00662279" w:rsidP="00FE7770">
      <w:pPr>
        <w:pStyle w:val="ListParagraph"/>
        <w:numPr>
          <w:ilvl w:val="0"/>
          <w:numId w:val="29"/>
        </w:numPr>
        <w:jc w:val="both"/>
        <w:rPr>
          <w:rFonts w:asciiTheme="majorHAnsi" w:hAnsiTheme="majorHAnsi"/>
        </w:rPr>
      </w:pPr>
      <w:r w:rsidRPr="00173826">
        <w:rPr>
          <w:rFonts w:asciiTheme="majorHAnsi" w:hAnsiTheme="majorHAnsi"/>
          <w:b/>
        </w:rPr>
        <w:t>Capacity developme</w:t>
      </w:r>
      <w:r w:rsidR="00457522" w:rsidRPr="00173826">
        <w:rPr>
          <w:rFonts w:asciiTheme="majorHAnsi" w:hAnsiTheme="majorHAnsi"/>
          <w:b/>
        </w:rPr>
        <w:t>nt in humanitarian coordination</w:t>
      </w:r>
    </w:p>
    <w:p w14:paraId="16848F71" w14:textId="575FCD68" w:rsidR="00662279" w:rsidRPr="00173826" w:rsidRDefault="00662279" w:rsidP="00FE7770">
      <w:pPr>
        <w:pStyle w:val="ListParagraph"/>
        <w:numPr>
          <w:ilvl w:val="0"/>
          <w:numId w:val="29"/>
        </w:numPr>
        <w:jc w:val="both"/>
        <w:rPr>
          <w:rFonts w:asciiTheme="majorHAnsi" w:hAnsiTheme="majorHAnsi"/>
        </w:rPr>
      </w:pPr>
      <w:r w:rsidRPr="00173826">
        <w:rPr>
          <w:rFonts w:asciiTheme="majorHAnsi" w:hAnsiTheme="majorHAnsi"/>
          <w:b/>
          <w:bCs/>
        </w:rPr>
        <w:t xml:space="preserve">Operational and surge support to </w:t>
      </w:r>
      <w:r w:rsidR="006313EF" w:rsidRPr="00173826">
        <w:rPr>
          <w:rFonts w:asciiTheme="majorHAnsi" w:hAnsiTheme="majorHAnsi"/>
          <w:b/>
          <w:bCs/>
        </w:rPr>
        <w:t>country clusters</w:t>
      </w:r>
    </w:p>
    <w:p w14:paraId="6C45CA23" w14:textId="760ADBD8" w:rsidR="00FD2C0B" w:rsidRPr="00173826" w:rsidRDefault="00662279" w:rsidP="00FE7770">
      <w:pPr>
        <w:pStyle w:val="ListParagraph"/>
        <w:numPr>
          <w:ilvl w:val="0"/>
          <w:numId w:val="29"/>
        </w:numPr>
        <w:jc w:val="both"/>
        <w:rPr>
          <w:rFonts w:asciiTheme="majorHAnsi" w:hAnsiTheme="majorHAnsi"/>
        </w:rPr>
      </w:pPr>
      <w:r w:rsidRPr="00173826">
        <w:rPr>
          <w:rFonts w:asciiTheme="majorHAnsi" w:hAnsiTheme="majorHAnsi"/>
          <w:b/>
          <w:bCs/>
        </w:rPr>
        <w:t>Information and Knowledge Management</w:t>
      </w:r>
    </w:p>
    <w:p w14:paraId="5E6AE971" w14:textId="77777777" w:rsidR="006466B4" w:rsidRPr="00173826" w:rsidRDefault="006466B4" w:rsidP="00FE7770">
      <w:pPr>
        <w:jc w:val="both"/>
        <w:rPr>
          <w:rFonts w:asciiTheme="majorHAnsi" w:hAnsiTheme="majorHAnsi"/>
        </w:rPr>
      </w:pPr>
    </w:p>
    <w:p w14:paraId="2E0592C4" w14:textId="73B5644D" w:rsidR="006466B4" w:rsidRPr="00173826" w:rsidRDefault="00BA40B1" w:rsidP="00FE7770">
      <w:pPr>
        <w:jc w:val="both"/>
        <w:rPr>
          <w:rFonts w:asciiTheme="majorHAnsi" w:hAnsiTheme="majorHAnsi"/>
        </w:rPr>
      </w:pPr>
      <w:r w:rsidRPr="00173826">
        <w:rPr>
          <w:rFonts w:asciiTheme="majorHAnsi" w:hAnsiTheme="majorHAnsi"/>
        </w:rPr>
        <w:t xml:space="preserve">An overview of each pillar, </w:t>
      </w:r>
      <w:r w:rsidR="006466B4" w:rsidRPr="00173826">
        <w:rPr>
          <w:rFonts w:asciiTheme="majorHAnsi" w:hAnsiTheme="majorHAnsi"/>
        </w:rPr>
        <w:t xml:space="preserve">expected results and priority activities are detailed below. </w:t>
      </w:r>
    </w:p>
    <w:p w14:paraId="767FA795" w14:textId="15592185" w:rsidR="00662279" w:rsidRPr="00173826" w:rsidRDefault="00FD2C0B" w:rsidP="00FE7770">
      <w:pPr>
        <w:pStyle w:val="ListParagraph"/>
        <w:jc w:val="both"/>
        <w:rPr>
          <w:rFonts w:asciiTheme="majorHAnsi" w:hAnsiTheme="majorHAnsi"/>
        </w:rPr>
      </w:pPr>
      <w:r w:rsidRPr="00173826">
        <w:rPr>
          <w:rFonts w:asciiTheme="majorHAnsi" w:hAnsiTheme="majorHAnsi"/>
          <w:noProof/>
        </w:rPr>
        <mc:AlternateContent>
          <mc:Choice Requires="wps">
            <w:drawing>
              <wp:anchor distT="0" distB="0" distL="114300" distR="114300" simplePos="0" relativeHeight="251671552" behindDoc="0" locked="0" layoutInCell="1" allowOverlap="1" wp14:anchorId="0BCD5EB2" wp14:editId="17679ECC">
                <wp:simplePos x="0" y="0"/>
                <wp:positionH relativeFrom="column">
                  <wp:posOffset>0</wp:posOffset>
                </wp:positionH>
                <wp:positionV relativeFrom="paragraph">
                  <wp:posOffset>175895</wp:posOffset>
                </wp:positionV>
                <wp:extent cx="5600700" cy="262255"/>
                <wp:effectExtent l="0" t="0" r="38100" b="17145"/>
                <wp:wrapSquare wrapText="bothSides"/>
                <wp:docPr id="8" name="Text Box 8"/>
                <wp:cNvGraphicFramePr/>
                <a:graphic xmlns:a="http://schemas.openxmlformats.org/drawingml/2006/main">
                  <a:graphicData uri="http://schemas.microsoft.com/office/word/2010/wordprocessingShape">
                    <wps:wsp>
                      <wps:cNvSpPr txBox="1"/>
                      <wps:spPr>
                        <a:xfrm>
                          <a:off x="0" y="0"/>
                          <a:ext cx="5600700" cy="262255"/>
                        </a:xfrm>
                        <a:prstGeom prst="rect">
                          <a:avLst/>
                        </a:prstGeom>
                        <a:noFill/>
                        <a:ln>
                          <a:solidFill>
                            <a:schemeClr val="tx1"/>
                          </a:solidFill>
                        </a:ln>
                        <a:effectLst/>
                        <a:extLst>
                          <a:ext uri="{C572A759-6A51-4108-AA02-DFA0A04FC94B}">
                            <ma14:wrappingTextBoxFlag xmlns:ma14="http://schemas.microsoft.com/office/mac/drawingml/2011/main"/>
                          </a:ext>
                        </a:extLst>
                      </wps:spPr>
                      <wps:txbx>
                        <w:txbxContent>
                          <w:p w14:paraId="2FAD1D73" w14:textId="024F4D67" w:rsidR="00281E85" w:rsidRPr="00A26098" w:rsidRDefault="00281E85">
                            <w:pPr>
                              <w:rPr>
                                <w:b/>
                              </w:rPr>
                            </w:pPr>
                            <w:r w:rsidRPr="003B4DCD">
                              <w:rPr>
                                <w:b/>
                              </w:rPr>
                              <w:t xml:space="preserve">Pillar 1. </w:t>
                            </w:r>
                            <w:r>
                              <w:rPr>
                                <w:b/>
                              </w:rPr>
                              <w:t>Partnership, communication, advocacy, and resource mobilization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8" o:spid="_x0000_s1030" type="#_x0000_t202" style="position:absolute;left:0;text-align:left;margin-left:0;margin-top:13.85pt;width:441pt;height:20.6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" filled="f" strokecolor="black [3213]">
                <v:textbox style="mso-fit-shape-to-text:t">
                  <w:txbxContent>
                    <w:p w14:paraId="2FAD1D73" w14:textId="024F4D67" w:rsidR="00FE7770" w:rsidRPr="00A26098" w:rsidRDefault="00FE7770">
                      <w:pPr>
                        <w:rPr>
                          <w:b/>
                        </w:rPr>
                      </w:pPr>
                      <w:r w:rsidRPr="003B4DCD">
                        <w:rPr>
                          <w:b/>
                        </w:rPr>
                        <w:t xml:space="preserve">Pillar 1. </w:t>
                      </w:r>
                      <w:r>
                        <w:rPr>
                          <w:b/>
                        </w:rPr>
                        <w:t>Partnership, communication, advocacy, and resource mobilization</w:t>
                      </w:r>
                    </w:p>
                  </w:txbxContent>
                </v:textbox>
                <w10:wrap type="square"/>
              </v:shape>
            </w:pict>
          </mc:Fallback>
        </mc:AlternateContent>
      </w:r>
      <w:r w:rsidR="000D3082" w:rsidRPr="00173826">
        <w:rPr>
          <w:rFonts w:asciiTheme="majorHAnsi" w:hAnsiTheme="majorHAnsi"/>
          <w:bCs/>
        </w:rPr>
        <w:t xml:space="preserve"> </w:t>
      </w:r>
    </w:p>
    <w:p w14:paraId="48AD9E57" w14:textId="77777777" w:rsidR="00A346F7" w:rsidRPr="00173826" w:rsidRDefault="00A346F7" w:rsidP="00FE7770">
      <w:pPr>
        <w:jc w:val="both"/>
        <w:rPr>
          <w:rFonts w:asciiTheme="majorHAnsi" w:hAnsiTheme="majorHAnsi"/>
        </w:rPr>
      </w:pPr>
    </w:p>
    <w:p w14:paraId="097BEA96" w14:textId="5E6AF7B4" w:rsidR="00793ED7" w:rsidRPr="00173826" w:rsidRDefault="00A346F7" w:rsidP="00FE7770">
      <w:pPr>
        <w:jc w:val="both"/>
        <w:rPr>
          <w:rFonts w:asciiTheme="majorHAnsi" w:hAnsiTheme="majorHAnsi"/>
        </w:rPr>
      </w:pPr>
      <w:r w:rsidRPr="00173826">
        <w:rPr>
          <w:rFonts w:asciiTheme="majorHAnsi" w:hAnsiTheme="majorHAnsi"/>
        </w:rPr>
        <w:t>This involves fostering internal (among GNC partners) and external (GNC to other clusters, agencies, institutions, etc.) partnerships; communicating essential information to all relevant stakeholders at global and country level in a timely fashion; and advocating with key decision makers to ensure policies, coordination and funding mechanisms enable an efficient cluster response.</w:t>
      </w:r>
    </w:p>
    <w:p w14:paraId="47A0434D" w14:textId="77777777" w:rsidR="00A346F7" w:rsidRPr="00173826" w:rsidRDefault="00A346F7" w:rsidP="00FE7770">
      <w:pPr>
        <w:jc w:val="both"/>
        <w:rPr>
          <w:rFonts w:asciiTheme="majorHAnsi" w:hAnsiTheme="majorHAnsi"/>
        </w:rPr>
      </w:pPr>
    </w:p>
    <w:p w14:paraId="086A75EB" w14:textId="63560474" w:rsidR="00793ED7" w:rsidRPr="00173826" w:rsidRDefault="003E093C" w:rsidP="00FE7770">
      <w:pPr>
        <w:jc w:val="both"/>
        <w:rPr>
          <w:rFonts w:asciiTheme="majorHAnsi" w:hAnsiTheme="majorHAnsi"/>
          <w:b/>
        </w:rPr>
      </w:pPr>
      <w:r w:rsidRPr="00173826">
        <w:rPr>
          <w:rFonts w:asciiTheme="majorHAnsi" w:hAnsiTheme="majorHAnsi"/>
          <w:b/>
        </w:rPr>
        <w:t>Objectives</w:t>
      </w:r>
    </w:p>
    <w:p w14:paraId="49FACB1B" w14:textId="77777777" w:rsidR="00966813" w:rsidRPr="00173826" w:rsidRDefault="000414CD" w:rsidP="00FE7770">
      <w:pPr>
        <w:jc w:val="both"/>
        <w:rPr>
          <w:rFonts w:asciiTheme="majorHAnsi" w:hAnsiTheme="majorHAnsi"/>
        </w:rPr>
      </w:pPr>
      <w:r w:rsidRPr="00173826">
        <w:rPr>
          <w:rFonts w:asciiTheme="majorHAnsi" w:hAnsiTheme="majorHAnsi"/>
        </w:rPr>
        <w:t>The objective</w:t>
      </w:r>
      <w:r w:rsidR="00966813" w:rsidRPr="00173826">
        <w:rPr>
          <w:rFonts w:asciiTheme="majorHAnsi" w:hAnsiTheme="majorHAnsi"/>
        </w:rPr>
        <w:t>s</w:t>
      </w:r>
      <w:r w:rsidRPr="00173826">
        <w:rPr>
          <w:rFonts w:asciiTheme="majorHAnsi" w:hAnsiTheme="majorHAnsi"/>
        </w:rPr>
        <w:t xml:space="preserve"> of</w:t>
      </w:r>
      <w:r w:rsidR="00966813" w:rsidRPr="00173826">
        <w:rPr>
          <w:rFonts w:asciiTheme="majorHAnsi" w:hAnsiTheme="majorHAnsi"/>
        </w:rPr>
        <w:t xml:space="preserve"> this pillar are </w:t>
      </w:r>
    </w:p>
    <w:p w14:paraId="2DDA0BB5" w14:textId="230B0993" w:rsidR="00BA40B1" w:rsidRPr="00173826" w:rsidRDefault="00BA40B1" w:rsidP="00FE7770">
      <w:pPr>
        <w:pStyle w:val="ListParagraph"/>
        <w:numPr>
          <w:ilvl w:val="0"/>
          <w:numId w:val="8"/>
        </w:numPr>
        <w:jc w:val="both"/>
        <w:rPr>
          <w:rFonts w:asciiTheme="majorHAnsi" w:hAnsiTheme="majorHAnsi"/>
        </w:rPr>
      </w:pPr>
      <w:r w:rsidRPr="00173826">
        <w:rPr>
          <w:rFonts w:asciiTheme="majorHAnsi" w:hAnsiTheme="majorHAnsi"/>
        </w:rPr>
        <w:t xml:space="preserve">To strengthen existing partnerships and support the development of new partnerships to enhance accountability within a coordinated response, </w:t>
      </w:r>
    </w:p>
    <w:p w14:paraId="2CB5F34C" w14:textId="77777777" w:rsidR="00804136" w:rsidRPr="00173826" w:rsidRDefault="00804136" w:rsidP="00FE7770">
      <w:pPr>
        <w:pStyle w:val="ListParagraph"/>
        <w:numPr>
          <w:ilvl w:val="0"/>
          <w:numId w:val="8"/>
        </w:numPr>
        <w:jc w:val="both"/>
        <w:rPr>
          <w:rFonts w:asciiTheme="majorHAnsi" w:hAnsiTheme="majorHAnsi"/>
        </w:rPr>
      </w:pPr>
      <w:r w:rsidRPr="00173826">
        <w:rPr>
          <w:rFonts w:asciiTheme="majorHAnsi" w:hAnsiTheme="majorHAnsi"/>
        </w:rPr>
        <w:t>To communicate effectively and transparently with partners and nutrition stakeholders through email, in teleconferences and in meetings,</w:t>
      </w:r>
    </w:p>
    <w:p w14:paraId="6C9F7494" w14:textId="6673FAA4" w:rsidR="000414CD" w:rsidRPr="00173826" w:rsidRDefault="00BA40B1" w:rsidP="00FE7770">
      <w:pPr>
        <w:pStyle w:val="ListParagraph"/>
        <w:numPr>
          <w:ilvl w:val="0"/>
          <w:numId w:val="8"/>
        </w:numPr>
        <w:jc w:val="both"/>
        <w:rPr>
          <w:rFonts w:asciiTheme="majorHAnsi" w:hAnsiTheme="majorHAnsi"/>
        </w:rPr>
      </w:pPr>
      <w:r w:rsidRPr="00173826">
        <w:rPr>
          <w:rFonts w:asciiTheme="majorHAnsi" w:hAnsiTheme="majorHAnsi"/>
        </w:rPr>
        <w:t>To ensure that relevant advocacy messages are developed and appropriately communicated to enhance policies, coordination and response capacity</w:t>
      </w:r>
      <w:r w:rsidR="00804136" w:rsidRPr="00173826">
        <w:rPr>
          <w:rFonts w:asciiTheme="majorHAnsi" w:hAnsiTheme="majorHAnsi"/>
        </w:rPr>
        <w:t>, and</w:t>
      </w:r>
    </w:p>
    <w:p w14:paraId="560B8D11" w14:textId="6AC2663B" w:rsidR="00804136" w:rsidRPr="00173826" w:rsidRDefault="00804136" w:rsidP="00FE7770">
      <w:pPr>
        <w:pStyle w:val="ListParagraph"/>
        <w:numPr>
          <w:ilvl w:val="0"/>
          <w:numId w:val="8"/>
        </w:numPr>
        <w:jc w:val="both"/>
        <w:rPr>
          <w:rFonts w:asciiTheme="majorHAnsi" w:hAnsiTheme="majorHAnsi"/>
        </w:rPr>
      </w:pPr>
      <w:r w:rsidRPr="00173826">
        <w:rPr>
          <w:rFonts w:asciiTheme="majorHAnsi" w:hAnsiTheme="majorHAnsi"/>
        </w:rPr>
        <w:t>To strengthen capacity of partners and country clusters to mobilize resources for improved coordination and response.</w:t>
      </w:r>
    </w:p>
    <w:p w14:paraId="773A7A01" w14:textId="77777777" w:rsidR="00793ED7" w:rsidRPr="00173826" w:rsidRDefault="00793ED7" w:rsidP="00FE7770">
      <w:pPr>
        <w:jc w:val="both"/>
        <w:rPr>
          <w:rFonts w:asciiTheme="majorHAnsi" w:hAnsiTheme="majorHAnsi"/>
        </w:rPr>
      </w:pPr>
    </w:p>
    <w:p w14:paraId="32359CAA" w14:textId="35E247FF" w:rsidR="00793ED7" w:rsidRPr="00173826" w:rsidRDefault="003E093C" w:rsidP="00FE7770">
      <w:pPr>
        <w:jc w:val="both"/>
        <w:rPr>
          <w:rFonts w:asciiTheme="majorHAnsi" w:hAnsiTheme="majorHAnsi"/>
          <w:b/>
        </w:rPr>
      </w:pPr>
      <w:r w:rsidRPr="00173826">
        <w:rPr>
          <w:rFonts w:asciiTheme="majorHAnsi" w:hAnsiTheme="majorHAnsi"/>
          <w:b/>
        </w:rPr>
        <w:t>Expected</w:t>
      </w:r>
      <w:r w:rsidR="00793ED7" w:rsidRPr="00173826">
        <w:rPr>
          <w:rFonts w:asciiTheme="majorHAnsi" w:hAnsiTheme="majorHAnsi"/>
          <w:b/>
        </w:rPr>
        <w:t xml:space="preserve"> results</w:t>
      </w:r>
    </w:p>
    <w:p w14:paraId="0E390B5D" w14:textId="790F8C68" w:rsidR="003135A4" w:rsidRPr="00173826" w:rsidRDefault="003135A4" w:rsidP="00FE7770">
      <w:pPr>
        <w:pStyle w:val="ListParagraph"/>
        <w:numPr>
          <w:ilvl w:val="1"/>
          <w:numId w:val="10"/>
        </w:numPr>
        <w:ind w:left="720"/>
        <w:jc w:val="both"/>
        <w:rPr>
          <w:rFonts w:asciiTheme="majorHAnsi" w:hAnsiTheme="majorHAnsi"/>
        </w:rPr>
      </w:pPr>
      <w:r w:rsidRPr="00173826">
        <w:rPr>
          <w:rFonts w:asciiTheme="majorHAnsi" w:hAnsiTheme="majorHAnsi"/>
          <w:b/>
        </w:rPr>
        <w:t>Partnership</w:t>
      </w:r>
      <w:r w:rsidRPr="00173826">
        <w:rPr>
          <w:rFonts w:asciiTheme="majorHAnsi" w:hAnsiTheme="majorHAnsi"/>
        </w:rPr>
        <w:t xml:space="preserve">. Greater complementarity, ownership and mutual accountability is realized through the collective development and delivery of GNC </w:t>
      </w:r>
      <w:r w:rsidR="00926A6F" w:rsidRPr="00173826">
        <w:rPr>
          <w:rFonts w:asciiTheme="majorHAnsi" w:hAnsiTheme="majorHAnsi"/>
        </w:rPr>
        <w:t>Work Plan</w:t>
      </w:r>
      <w:r w:rsidRPr="00173826">
        <w:rPr>
          <w:rFonts w:asciiTheme="majorHAnsi" w:hAnsiTheme="majorHAnsi"/>
        </w:rPr>
        <w:t>. Capacities are mapped and leveraged to enhance effective coord</w:t>
      </w:r>
      <w:r w:rsidR="00D8179D">
        <w:rPr>
          <w:rFonts w:asciiTheme="majorHAnsi" w:hAnsiTheme="majorHAnsi"/>
        </w:rPr>
        <w:t>ination at country level</w:t>
      </w:r>
    </w:p>
    <w:p w14:paraId="19969208" w14:textId="506AE025" w:rsidR="00D76032" w:rsidRPr="00173826" w:rsidRDefault="00D76032" w:rsidP="00FE7770">
      <w:pPr>
        <w:pStyle w:val="ListParagraph"/>
        <w:numPr>
          <w:ilvl w:val="1"/>
          <w:numId w:val="10"/>
        </w:numPr>
        <w:ind w:left="720"/>
        <w:jc w:val="both"/>
        <w:rPr>
          <w:rFonts w:asciiTheme="majorHAnsi" w:hAnsiTheme="majorHAnsi"/>
        </w:rPr>
      </w:pPr>
      <w:r w:rsidRPr="00173826">
        <w:rPr>
          <w:rFonts w:asciiTheme="majorHAnsi" w:hAnsiTheme="majorHAnsi"/>
          <w:b/>
        </w:rPr>
        <w:t>Communication.</w:t>
      </w:r>
      <w:r w:rsidRPr="00173826">
        <w:rPr>
          <w:rFonts w:asciiTheme="majorHAnsi" w:hAnsiTheme="majorHAnsi"/>
        </w:rPr>
        <w:t xml:space="preserve"> Information is communicated in a timely, transparent and effic</w:t>
      </w:r>
      <w:r w:rsidR="00D8179D">
        <w:rPr>
          <w:rFonts w:asciiTheme="majorHAnsi" w:hAnsiTheme="majorHAnsi"/>
        </w:rPr>
        <w:t>ient manner to all stakeholders</w:t>
      </w:r>
    </w:p>
    <w:p w14:paraId="67B3156B" w14:textId="13E05952" w:rsidR="003135A4" w:rsidRPr="00173826" w:rsidRDefault="003135A4" w:rsidP="00FE7770">
      <w:pPr>
        <w:pStyle w:val="ListParagraph"/>
        <w:numPr>
          <w:ilvl w:val="1"/>
          <w:numId w:val="10"/>
        </w:numPr>
        <w:ind w:left="720"/>
        <w:jc w:val="both"/>
        <w:rPr>
          <w:rFonts w:asciiTheme="majorHAnsi" w:hAnsiTheme="majorHAnsi"/>
        </w:rPr>
      </w:pPr>
      <w:r w:rsidRPr="00173826">
        <w:rPr>
          <w:rFonts w:asciiTheme="majorHAnsi" w:hAnsiTheme="majorHAnsi"/>
          <w:b/>
        </w:rPr>
        <w:t xml:space="preserve">Advocacy. </w:t>
      </w:r>
      <w:r w:rsidRPr="00173826">
        <w:rPr>
          <w:rFonts w:asciiTheme="majorHAnsi" w:hAnsiTheme="majorHAnsi"/>
        </w:rPr>
        <w:t>Bottlenecks to effective nutrition coordination are identified and appropriate action is taken resulting in greater awareness, increased resources and enhanced coordination on the deliv</w:t>
      </w:r>
      <w:r w:rsidR="00D8179D">
        <w:rPr>
          <w:rFonts w:asciiTheme="majorHAnsi" w:hAnsiTheme="majorHAnsi"/>
        </w:rPr>
        <w:t>ery of cluster accountabilities</w:t>
      </w:r>
    </w:p>
    <w:p w14:paraId="66901573" w14:textId="27CB6FF5" w:rsidR="00A82013" w:rsidRPr="00173826" w:rsidRDefault="00804136" w:rsidP="00FE7770">
      <w:pPr>
        <w:pStyle w:val="ListParagraph"/>
        <w:numPr>
          <w:ilvl w:val="1"/>
          <w:numId w:val="10"/>
        </w:numPr>
        <w:ind w:left="720"/>
        <w:jc w:val="both"/>
        <w:rPr>
          <w:rFonts w:asciiTheme="majorHAnsi" w:hAnsiTheme="majorHAnsi"/>
        </w:rPr>
      </w:pPr>
      <w:r w:rsidRPr="00173826">
        <w:rPr>
          <w:rFonts w:asciiTheme="majorHAnsi" w:hAnsiTheme="majorHAnsi"/>
          <w:b/>
        </w:rPr>
        <w:t>Resource mobilization.</w:t>
      </w:r>
      <w:r w:rsidR="00A82013" w:rsidRPr="00173826">
        <w:rPr>
          <w:rFonts w:asciiTheme="majorHAnsi" w:hAnsiTheme="majorHAnsi"/>
        </w:rPr>
        <w:t xml:space="preserve"> Great</w:t>
      </w:r>
      <w:r w:rsidRPr="00173826">
        <w:rPr>
          <w:rFonts w:asciiTheme="majorHAnsi" w:hAnsiTheme="majorHAnsi"/>
        </w:rPr>
        <w:t>er</w:t>
      </w:r>
      <w:r w:rsidR="00A82013" w:rsidRPr="00173826">
        <w:rPr>
          <w:rFonts w:asciiTheme="majorHAnsi" w:hAnsiTheme="majorHAnsi"/>
        </w:rPr>
        <w:t xml:space="preserve"> understanding among cluster partners at global and country level on differ</w:t>
      </w:r>
      <w:r w:rsidRPr="00173826">
        <w:rPr>
          <w:rFonts w:asciiTheme="majorHAnsi" w:hAnsiTheme="majorHAnsi"/>
        </w:rPr>
        <w:t>ent</w:t>
      </w:r>
      <w:r w:rsidR="00A82013" w:rsidRPr="00173826">
        <w:rPr>
          <w:rFonts w:asciiTheme="majorHAnsi" w:hAnsiTheme="majorHAnsi"/>
        </w:rPr>
        <w:t xml:space="preserve"> Humanitarian funding streams and </w:t>
      </w:r>
      <w:r w:rsidRPr="00173826">
        <w:rPr>
          <w:rFonts w:asciiTheme="majorHAnsi" w:hAnsiTheme="majorHAnsi"/>
        </w:rPr>
        <w:t>how to access</w:t>
      </w:r>
      <w:r w:rsidR="003B4DCD" w:rsidRPr="00173826">
        <w:rPr>
          <w:rFonts w:asciiTheme="majorHAnsi" w:hAnsiTheme="majorHAnsi"/>
        </w:rPr>
        <w:t xml:space="preserve"> it</w:t>
      </w:r>
    </w:p>
    <w:p w14:paraId="4DC7F508" w14:textId="77777777" w:rsidR="00793ED7" w:rsidRPr="00173826" w:rsidRDefault="00793ED7" w:rsidP="00FE7770">
      <w:pPr>
        <w:jc w:val="both"/>
        <w:rPr>
          <w:rFonts w:asciiTheme="majorHAnsi" w:hAnsiTheme="majorHAnsi"/>
        </w:rPr>
      </w:pPr>
    </w:p>
    <w:p w14:paraId="02EEDE6C" w14:textId="20D79500" w:rsidR="00793ED7" w:rsidRPr="00173826" w:rsidRDefault="00793ED7" w:rsidP="00FE7770">
      <w:pPr>
        <w:jc w:val="both"/>
        <w:rPr>
          <w:rFonts w:asciiTheme="majorHAnsi" w:hAnsiTheme="majorHAnsi"/>
          <w:b/>
        </w:rPr>
      </w:pPr>
      <w:r w:rsidRPr="00173826">
        <w:rPr>
          <w:rFonts w:asciiTheme="majorHAnsi" w:hAnsiTheme="majorHAnsi"/>
          <w:b/>
        </w:rPr>
        <w:t>Priority activities</w:t>
      </w:r>
    </w:p>
    <w:p w14:paraId="3F5AF8CB" w14:textId="200754AC" w:rsidR="004621D0" w:rsidRPr="00A22DAB" w:rsidRDefault="004621D0" w:rsidP="00FE7770">
      <w:pPr>
        <w:jc w:val="both"/>
        <w:rPr>
          <w:rFonts w:asciiTheme="majorHAnsi" w:hAnsiTheme="majorHAnsi"/>
          <w:i/>
        </w:rPr>
      </w:pPr>
      <w:r w:rsidRPr="00A22DAB">
        <w:rPr>
          <w:rFonts w:asciiTheme="majorHAnsi" w:hAnsiTheme="majorHAnsi"/>
          <w:i/>
        </w:rPr>
        <w:t>Objective 1</w:t>
      </w:r>
    </w:p>
    <w:p w14:paraId="10612DD0" w14:textId="7AB4EFC7" w:rsidR="00BA40B1" w:rsidRPr="00173826" w:rsidRDefault="00BA40B1" w:rsidP="00FE7770">
      <w:pPr>
        <w:pStyle w:val="ListParagraph"/>
        <w:numPr>
          <w:ilvl w:val="0"/>
          <w:numId w:val="25"/>
        </w:numPr>
        <w:jc w:val="both"/>
        <w:rPr>
          <w:rFonts w:asciiTheme="majorHAnsi" w:hAnsiTheme="majorHAnsi"/>
          <w:b/>
        </w:rPr>
      </w:pPr>
      <w:r w:rsidRPr="00173826">
        <w:rPr>
          <w:rFonts w:asciiTheme="majorHAnsi" w:hAnsiTheme="majorHAnsi"/>
        </w:rPr>
        <w:t>Develop</w:t>
      </w:r>
      <w:r w:rsidR="00A5291B" w:rsidRPr="00173826">
        <w:rPr>
          <w:rFonts w:asciiTheme="majorHAnsi" w:hAnsiTheme="majorHAnsi"/>
        </w:rPr>
        <w:t xml:space="preserve">, </w:t>
      </w:r>
      <w:r w:rsidR="00A22DAB">
        <w:rPr>
          <w:rFonts w:asciiTheme="majorHAnsi" w:hAnsiTheme="majorHAnsi"/>
        </w:rPr>
        <w:t xml:space="preserve">cost </w:t>
      </w:r>
      <w:r w:rsidR="00A5291B" w:rsidRPr="00173826">
        <w:rPr>
          <w:rFonts w:asciiTheme="majorHAnsi" w:hAnsiTheme="majorHAnsi"/>
        </w:rPr>
        <w:t>and launch</w:t>
      </w:r>
      <w:r w:rsidRPr="00173826">
        <w:rPr>
          <w:rFonts w:asciiTheme="majorHAnsi" w:hAnsiTheme="majorHAnsi"/>
        </w:rPr>
        <w:t xml:space="preserve"> the</w:t>
      </w:r>
      <w:r w:rsidRPr="00173826">
        <w:rPr>
          <w:rFonts w:asciiTheme="majorHAnsi" w:hAnsiTheme="majorHAnsi"/>
          <w:b/>
        </w:rPr>
        <w:t xml:space="preserve"> </w:t>
      </w:r>
      <w:r w:rsidR="00A5291B" w:rsidRPr="00173826">
        <w:rPr>
          <w:rFonts w:asciiTheme="majorHAnsi" w:hAnsiTheme="majorHAnsi"/>
          <w:b/>
        </w:rPr>
        <w:t xml:space="preserve">bi-annual costed </w:t>
      </w:r>
      <w:r w:rsidRPr="00173826">
        <w:rPr>
          <w:rFonts w:asciiTheme="majorHAnsi" w:hAnsiTheme="majorHAnsi"/>
          <w:b/>
        </w:rPr>
        <w:t xml:space="preserve">GNC </w:t>
      </w:r>
      <w:r w:rsidR="00926A6F" w:rsidRPr="00173826">
        <w:rPr>
          <w:rFonts w:asciiTheme="majorHAnsi" w:hAnsiTheme="majorHAnsi"/>
          <w:b/>
        </w:rPr>
        <w:t>Work Plan</w:t>
      </w:r>
    </w:p>
    <w:p w14:paraId="7ABEE9BA" w14:textId="17BB3255" w:rsidR="00A22DAB" w:rsidRPr="00A22DAB" w:rsidRDefault="00A5291B" w:rsidP="00FE7770">
      <w:pPr>
        <w:pStyle w:val="ListParagraph"/>
        <w:numPr>
          <w:ilvl w:val="0"/>
          <w:numId w:val="25"/>
        </w:numPr>
        <w:jc w:val="both"/>
        <w:rPr>
          <w:rFonts w:asciiTheme="majorHAnsi" w:hAnsiTheme="majorHAnsi"/>
        </w:rPr>
      </w:pPr>
      <w:r w:rsidRPr="00A22DAB">
        <w:rPr>
          <w:rFonts w:asciiTheme="majorHAnsi" w:hAnsiTheme="majorHAnsi"/>
        </w:rPr>
        <w:lastRenderedPageBreak/>
        <w:t xml:space="preserve">Revive </w:t>
      </w:r>
      <w:r w:rsidRPr="00A22DAB">
        <w:rPr>
          <w:rFonts w:asciiTheme="majorHAnsi" w:hAnsiTheme="majorHAnsi"/>
          <w:b/>
        </w:rPr>
        <w:t>inter-cluster coordination</w:t>
      </w:r>
    </w:p>
    <w:p w14:paraId="6DBA9DDB" w14:textId="58AD1109" w:rsidR="00A5291B" w:rsidRPr="00A22DAB" w:rsidRDefault="00A5291B" w:rsidP="00FE7770">
      <w:pPr>
        <w:pStyle w:val="ListParagraph"/>
        <w:numPr>
          <w:ilvl w:val="0"/>
          <w:numId w:val="25"/>
        </w:numPr>
        <w:jc w:val="both"/>
        <w:rPr>
          <w:rFonts w:asciiTheme="majorHAnsi" w:hAnsiTheme="majorHAnsi"/>
        </w:rPr>
      </w:pPr>
      <w:r w:rsidRPr="00A22DAB">
        <w:rPr>
          <w:rFonts w:asciiTheme="majorHAnsi" w:hAnsiTheme="majorHAnsi"/>
        </w:rPr>
        <w:t>Develop</w:t>
      </w:r>
      <w:r w:rsidR="00A22DAB" w:rsidRPr="00A22DAB">
        <w:rPr>
          <w:rFonts w:asciiTheme="majorHAnsi" w:hAnsiTheme="majorHAnsi"/>
        </w:rPr>
        <w:t xml:space="preserve"> </w:t>
      </w:r>
      <w:r w:rsidR="00A22DAB" w:rsidRPr="00A22DAB">
        <w:rPr>
          <w:rFonts w:asciiTheme="majorHAnsi" w:hAnsiTheme="majorHAnsi"/>
          <w:b/>
        </w:rPr>
        <w:t>guidance on inter-cluster work</w:t>
      </w:r>
      <w:r w:rsidR="00A22DAB" w:rsidRPr="00A22DAB">
        <w:rPr>
          <w:rFonts w:asciiTheme="majorHAnsi" w:hAnsiTheme="majorHAnsi"/>
        </w:rPr>
        <w:t xml:space="preserve"> and </w:t>
      </w:r>
      <w:r w:rsidRPr="00A22DAB">
        <w:rPr>
          <w:rFonts w:asciiTheme="majorHAnsi" w:hAnsiTheme="majorHAnsi"/>
        </w:rPr>
        <w:t>accountability</w:t>
      </w:r>
      <w:r w:rsidR="00A22DAB">
        <w:rPr>
          <w:rFonts w:asciiTheme="majorHAnsi" w:hAnsiTheme="majorHAnsi"/>
        </w:rPr>
        <w:t xml:space="preserve"> to affected populations</w:t>
      </w:r>
    </w:p>
    <w:p w14:paraId="7B274945" w14:textId="0273619C" w:rsidR="00BA40B1" w:rsidRPr="00A22DAB" w:rsidRDefault="00A22DAB" w:rsidP="00FE7770">
      <w:pPr>
        <w:pStyle w:val="ListParagraph"/>
        <w:numPr>
          <w:ilvl w:val="1"/>
          <w:numId w:val="17"/>
        </w:numPr>
        <w:ind w:left="720"/>
        <w:jc w:val="both"/>
        <w:rPr>
          <w:rFonts w:asciiTheme="majorHAnsi" w:hAnsiTheme="majorHAnsi"/>
        </w:rPr>
      </w:pPr>
      <w:r w:rsidRPr="00A22DAB">
        <w:rPr>
          <w:rFonts w:asciiTheme="majorHAnsi" w:hAnsiTheme="majorHAnsi"/>
          <w:b/>
        </w:rPr>
        <w:t>M</w:t>
      </w:r>
      <w:r w:rsidR="00BA40B1" w:rsidRPr="00A22DAB">
        <w:rPr>
          <w:rFonts w:asciiTheme="majorHAnsi" w:hAnsiTheme="majorHAnsi"/>
          <w:b/>
        </w:rPr>
        <w:t xml:space="preserve">ap </w:t>
      </w:r>
      <w:r w:rsidR="004621D0" w:rsidRPr="00A22DAB">
        <w:rPr>
          <w:rFonts w:asciiTheme="majorHAnsi" w:hAnsiTheme="majorHAnsi"/>
          <w:b/>
        </w:rPr>
        <w:t>country coordination structures</w:t>
      </w:r>
      <w:r w:rsidR="004621D0" w:rsidRPr="00A22DAB">
        <w:rPr>
          <w:rFonts w:asciiTheme="majorHAnsi" w:hAnsiTheme="majorHAnsi"/>
        </w:rPr>
        <w:t xml:space="preserve"> and </w:t>
      </w:r>
      <w:r w:rsidR="00BA40B1" w:rsidRPr="00A22DAB">
        <w:rPr>
          <w:rFonts w:asciiTheme="majorHAnsi" w:hAnsiTheme="majorHAnsi"/>
        </w:rPr>
        <w:t>GNC partner country presence</w:t>
      </w:r>
    </w:p>
    <w:p w14:paraId="29A01D90" w14:textId="77777777" w:rsidR="004621D0" w:rsidRPr="00173826" w:rsidRDefault="004621D0" w:rsidP="00FE7770">
      <w:pPr>
        <w:jc w:val="both"/>
        <w:rPr>
          <w:rFonts w:asciiTheme="majorHAnsi" w:hAnsiTheme="majorHAnsi"/>
        </w:rPr>
      </w:pPr>
    </w:p>
    <w:p w14:paraId="5448048E" w14:textId="2D22C303" w:rsidR="004621D0" w:rsidRPr="00A22DAB" w:rsidRDefault="004621D0" w:rsidP="00FE7770">
      <w:pPr>
        <w:jc w:val="both"/>
        <w:rPr>
          <w:rFonts w:asciiTheme="majorHAnsi" w:hAnsiTheme="majorHAnsi"/>
          <w:i/>
        </w:rPr>
      </w:pPr>
      <w:r w:rsidRPr="00A22DAB">
        <w:rPr>
          <w:rFonts w:asciiTheme="majorHAnsi" w:hAnsiTheme="majorHAnsi"/>
          <w:i/>
        </w:rPr>
        <w:t>Objective 2</w:t>
      </w:r>
    </w:p>
    <w:p w14:paraId="2D32CB90" w14:textId="2B9D8D6D" w:rsidR="00BA40B1" w:rsidRPr="00173826" w:rsidRDefault="00BA40B1" w:rsidP="00FE7770">
      <w:pPr>
        <w:pStyle w:val="ListParagraph"/>
        <w:numPr>
          <w:ilvl w:val="0"/>
          <w:numId w:val="25"/>
        </w:numPr>
        <w:jc w:val="both"/>
        <w:rPr>
          <w:rFonts w:asciiTheme="majorHAnsi" w:hAnsiTheme="majorHAnsi"/>
        </w:rPr>
      </w:pPr>
      <w:r w:rsidRPr="00173826">
        <w:rPr>
          <w:rFonts w:asciiTheme="majorHAnsi" w:hAnsiTheme="majorHAnsi"/>
        </w:rPr>
        <w:t>Conduct</w:t>
      </w:r>
      <w:r w:rsidRPr="00173826">
        <w:rPr>
          <w:rFonts w:asciiTheme="majorHAnsi" w:hAnsiTheme="majorHAnsi"/>
          <w:b/>
        </w:rPr>
        <w:t xml:space="preserve"> bi-annual GNC face-to-face meetings</w:t>
      </w:r>
      <w:r w:rsidRPr="00173826">
        <w:rPr>
          <w:rFonts w:asciiTheme="majorHAnsi" w:hAnsiTheme="majorHAnsi"/>
        </w:rPr>
        <w:t xml:space="preserve"> of GN</w:t>
      </w:r>
      <w:r w:rsidR="00A22DAB">
        <w:rPr>
          <w:rFonts w:asciiTheme="majorHAnsi" w:hAnsiTheme="majorHAnsi"/>
        </w:rPr>
        <w:t>C partners, observers and NCCs</w:t>
      </w:r>
    </w:p>
    <w:p w14:paraId="10B81195" w14:textId="0A5C3AEF" w:rsidR="00BA40B1" w:rsidRPr="00173826" w:rsidRDefault="00BA40B1" w:rsidP="00FE7770">
      <w:pPr>
        <w:pStyle w:val="ListParagraph"/>
        <w:numPr>
          <w:ilvl w:val="0"/>
          <w:numId w:val="25"/>
        </w:numPr>
        <w:jc w:val="both"/>
        <w:rPr>
          <w:rFonts w:asciiTheme="majorHAnsi" w:hAnsiTheme="majorHAnsi"/>
        </w:rPr>
      </w:pPr>
      <w:r w:rsidRPr="00173826">
        <w:rPr>
          <w:rFonts w:asciiTheme="majorHAnsi" w:hAnsiTheme="majorHAnsi"/>
        </w:rPr>
        <w:t>Conduct</w:t>
      </w:r>
      <w:r w:rsidRPr="00173826">
        <w:rPr>
          <w:rFonts w:asciiTheme="majorHAnsi" w:hAnsiTheme="majorHAnsi"/>
          <w:b/>
        </w:rPr>
        <w:t xml:space="preserve"> monthly teleconferences </w:t>
      </w:r>
      <w:r w:rsidRPr="00173826">
        <w:rPr>
          <w:rFonts w:asciiTheme="majorHAnsi" w:hAnsiTheme="majorHAnsi"/>
        </w:rPr>
        <w:t>with 1) GNC partners, 2) NCC and 3) the RRT</w:t>
      </w:r>
    </w:p>
    <w:p w14:paraId="230B44D4" w14:textId="2645CA07" w:rsidR="004621D0" w:rsidRPr="00173826" w:rsidRDefault="004621D0" w:rsidP="00FE7770">
      <w:pPr>
        <w:pStyle w:val="ListParagraph"/>
        <w:numPr>
          <w:ilvl w:val="0"/>
          <w:numId w:val="25"/>
        </w:numPr>
        <w:jc w:val="both"/>
        <w:rPr>
          <w:rFonts w:asciiTheme="majorHAnsi" w:hAnsiTheme="majorHAnsi"/>
          <w:b/>
        </w:rPr>
      </w:pPr>
      <w:r w:rsidRPr="00173826">
        <w:rPr>
          <w:rFonts w:asciiTheme="majorHAnsi" w:hAnsiTheme="majorHAnsi"/>
        </w:rPr>
        <w:t>Publish</w:t>
      </w:r>
      <w:r w:rsidRPr="00173826">
        <w:rPr>
          <w:rFonts w:asciiTheme="majorHAnsi" w:hAnsiTheme="majorHAnsi"/>
          <w:b/>
        </w:rPr>
        <w:t xml:space="preserve"> bi-monthly GNC bulletin </w:t>
      </w:r>
      <w:r w:rsidRPr="00173826">
        <w:rPr>
          <w:rFonts w:asciiTheme="majorHAnsi" w:hAnsiTheme="majorHAnsi"/>
        </w:rPr>
        <w:t>to share global activities and provide a space for NCCs and IMOs</w:t>
      </w:r>
      <w:r w:rsidR="00A22DAB">
        <w:rPr>
          <w:rFonts w:asciiTheme="majorHAnsi" w:hAnsiTheme="majorHAnsi"/>
        </w:rPr>
        <w:t xml:space="preserve"> to share experiences</w:t>
      </w:r>
    </w:p>
    <w:p w14:paraId="0994BC9F" w14:textId="46709DD6" w:rsidR="00EC11D5" w:rsidRPr="00173826" w:rsidRDefault="00EC11D5" w:rsidP="00FE7770">
      <w:pPr>
        <w:pStyle w:val="ListParagraph"/>
        <w:numPr>
          <w:ilvl w:val="0"/>
          <w:numId w:val="25"/>
        </w:numPr>
        <w:jc w:val="both"/>
        <w:rPr>
          <w:rFonts w:asciiTheme="majorHAnsi" w:hAnsiTheme="majorHAnsi"/>
        </w:rPr>
      </w:pPr>
      <w:r w:rsidRPr="00173826">
        <w:rPr>
          <w:rFonts w:asciiTheme="majorHAnsi" w:hAnsiTheme="majorHAnsi"/>
        </w:rPr>
        <w:t xml:space="preserve">Identify and develop </w:t>
      </w:r>
      <w:r w:rsidRPr="00173826">
        <w:rPr>
          <w:rFonts w:asciiTheme="majorHAnsi" w:hAnsiTheme="majorHAnsi"/>
          <w:b/>
        </w:rPr>
        <w:t>quality communications structures for NCC/IMOs/RRT</w:t>
      </w:r>
      <w:r w:rsidR="00A22DAB">
        <w:rPr>
          <w:rFonts w:asciiTheme="majorHAnsi" w:hAnsiTheme="majorHAnsi"/>
        </w:rPr>
        <w:t>s</w:t>
      </w:r>
    </w:p>
    <w:p w14:paraId="025C2C7F" w14:textId="6963F734" w:rsidR="004621D0" w:rsidRPr="00173826" w:rsidRDefault="004621D0" w:rsidP="00FE7770">
      <w:pPr>
        <w:pStyle w:val="ListParagraph"/>
        <w:numPr>
          <w:ilvl w:val="0"/>
          <w:numId w:val="25"/>
        </w:numPr>
        <w:jc w:val="both"/>
        <w:rPr>
          <w:rFonts w:asciiTheme="majorHAnsi" w:hAnsiTheme="majorHAnsi"/>
        </w:rPr>
      </w:pPr>
      <w:r w:rsidRPr="00173826">
        <w:rPr>
          <w:rFonts w:asciiTheme="majorHAnsi" w:hAnsiTheme="majorHAnsi"/>
        </w:rPr>
        <w:t xml:space="preserve">Produce a </w:t>
      </w:r>
      <w:r w:rsidRPr="00A22DAB">
        <w:rPr>
          <w:rFonts w:asciiTheme="majorHAnsi" w:hAnsiTheme="majorHAnsi"/>
          <w:b/>
        </w:rPr>
        <w:t>GNC Annual Report</w:t>
      </w:r>
    </w:p>
    <w:p w14:paraId="2523AF72" w14:textId="44F9AE8A" w:rsidR="004621D0" w:rsidRPr="00173826" w:rsidRDefault="004621D0" w:rsidP="00FE7770">
      <w:pPr>
        <w:pStyle w:val="ListParagraph"/>
        <w:numPr>
          <w:ilvl w:val="0"/>
          <w:numId w:val="25"/>
        </w:numPr>
        <w:jc w:val="both"/>
        <w:rPr>
          <w:rFonts w:asciiTheme="majorHAnsi" w:hAnsiTheme="majorHAnsi"/>
        </w:rPr>
      </w:pPr>
      <w:r w:rsidRPr="00173826">
        <w:rPr>
          <w:rFonts w:asciiTheme="majorHAnsi" w:hAnsiTheme="majorHAnsi" w:cs="Lucida Grande"/>
          <w:color w:val="000000"/>
        </w:rPr>
        <w:t xml:space="preserve">Develop a </w:t>
      </w:r>
      <w:r w:rsidRPr="00A22DAB">
        <w:rPr>
          <w:rFonts w:asciiTheme="majorHAnsi" w:hAnsiTheme="majorHAnsi" w:cs="Lucida Grande"/>
          <w:b/>
          <w:color w:val="000000"/>
        </w:rPr>
        <w:t>global dashboard of indicators</w:t>
      </w:r>
      <w:r w:rsidRPr="00173826">
        <w:rPr>
          <w:rFonts w:asciiTheme="majorHAnsi" w:hAnsiTheme="majorHAnsi" w:cs="Lucida Grande"/>
          <w:color w:val="000000"/>
        </w:rPr>
        <w:t xml:space="preserve"> to document global cluster activities to ensure accountability</w:t>
      </w:r>
    </w:p>
    <w:p w14:paraId="1F746142" w14:textId="77777777" w:rsidR="00A22DAB" w:rsidRDefault="00A22DAB" w:rsidP="00FE7770">
      <w:pPr>
        <w:jc w:val="both"/>
        <w:rPr>
          <w:rFonts w:asciiTheme="majorHAnsi" w:hAnsiTheme="majorHAnsi"/>
          <w:i/>
        </w:rPr>
      </w:pPr>
    </w:p>
    <w:p w14:paraId="39A9CFCE" w14:textId="43688A53" w:rsidR="004621D0" w:rsidRPr="00A22DAB" w:rsidRDefault="004621D0" w:rsidP="00FE7770">
      <w:pPr>
        <w:jc w:val="both"/>
        <w:rPr>
          <w:rFonts w:asciiTheme="majorHAnsi" w:hAnsiTheme="majorHAnsi"/>
          <w:i/>
        </w:rPr>
      </w:pPr>
      <w:r w:rsidRPr="00A22DAB">
        <w:rPr>
          <w:rFonts w:asciiTheme="majorHAnsi" w:hAnsiTheme="majorHAnsi"/>
          <w:i/>
        </w:rPr>
        <w:t>Objective 3</w:t>
      </w:r>
    </w:p>
    <w:p w14:paraId="4D103953" w14:textId="4E8E5734" w:rsidR="004621D0" w:rsidRPr="00173826" w:rsidRDefault="004621D0" w:rsidP="00FE7770">
      <w:pPr>
        <w:pStyle w:val="ListParagraph"/>
        <w:numPr>
          <w:ilvl w:val="0"/>
          <w:numId w:val="25"/>
        </w:numPr>
        <w:jc w:val="both"/>
        <w:rPr>
          <w:rFonts w:asciiTheme="majorHAnsi" w:hAnsiTheme="majorHAnsi"/>
        </w:rPr>
      </w:pPr>
      <w:r w:rsidRPr="00173826">
        <w:rPr>
          <w:rFonts w:asciiTheme="majorHAnsi" w:hAnsiTheme="majorHAnsi"/>
        </w:rPr>
        <w:t>Develop an</w:t>
      </w:r>
      <w:r w:rsidRPr="00173826">
        <w:rPr>
          <w:rFonts w:asciiTheme="majorHAnsi" w:hAnsiTheme="majorHAnsi"/>
          <w:b/>
        </w:rPr>
        <w:t xml:space="preserve"> advocacy plan</w:t>
      </w:r>
      <w:r w:rsidRPr="00173826">
        <w:rPr>
          <w:rFonts w:asciiTheme="majorHAnsi" w:hAnsiTheme="majorHAnsi"/>
        </w:rPr>
        <w:t xml:space="preserve"> that addresses advocacy with external partners in nutrition (UNSCN/SUN/REACH) and inter-cluster linkages (WASH</w:t>
      </w:r>
      <w:r w:rsidR="00A22DAB">
        <w:rPr>
          <w:rFonts w:asciiTheme="majorHAnsi" w:hAnsiTheme="majorHAnsi"/>
        </w:rPr>
        <w:t>/Health/Food Security clusters)</w:t>
      </w:r>
    </w:p>
    <w:p w14:paraId="41FC26DB" w14:textId="77777777" w:rsidR="004621D0" w:rsidRPr="00173826" w:rsidRDefault="004621D0" w:rsidP="00FE7770">
      <w:pPr>
        <w:pStyle w:val="ListParagraph"/>
        <w:numPr>
          <w:ilvl w:val="0"/>
          <w:numId w:val="25"/>
        </w:numPr>
        <w:jc w:val="both"/>
        <w:rPr>
          <w:rFonts w:asciiTheme="majorHAnsi" w:hAnsiTheme="majorHAnsi"/>
        </w:rPr>
      </w:pPr>
      <w:r w:rsidRPr="00173826">
        <w:rPr>
          <w:rFonts w:asciiTheme="majorHAnsi" w:hAnsiTheme="majorHAnsi" w:cs="Lucida Grande"/>
          <w:color w:val="000000"/>
        </w:rPr>
        <w:t>Participate in IASC policy and guidance discussions (and inter-cluster discussions)</w:t>
      </w:r>
    </w:p>
    <w:p w14:paraId="45B4553C" w14:textId="77777777" w:rsidR="00A22DAB" w:rsidRDefault="00A22DAB" w:rsidP="00FE7770">
      <w:pPr>
        <w:jc w:val="both"/>
        <w:rPr>
          <w:rFonts w:asciiTheme="majorHAnsi" w:hAnsiTheme="majorHAnsi"/>
          <w:i/>
        </w:rPr>
      </w:pPr>
    </w:p>
    <w:p w14:paraId="69EBE93C" w14:textId="261B1222" w:rsidR="004621D0" w:rsidRPr="00A22DAB" w:rsidRDefault="004621D0" w:rsidP="00FE7770">
      <w:pPr>
        <w:jc w:val="both"/>
        <w:rPr>
          <w:rFonts w:asciiTheme="majorHAnsi" w:hAnsiTheme="majorHAnsi"/>
          <w:i/>
        </w:rPr>
      </w:pPr>
      <w:r w:rsidRPr="00A22DAB">
        <w:rPr>
          <w:rFonts w:asciiTheme="majorHAnsi" w:hAnsiTheme="majorHAnsi"/>
          <w:i/>
        </w:rPr>
        <w:t>Objective 4</w:t>
      </w:r>
    </w:p>
    <w:p w14:paraId="31ED980A" w14:textId="022B7C73" w:rsidR="004621D0" w:rsidRPr="00173826" w:rsidRDefault="004621D0" w:rsidP="00FE7770">
      <w:pPr>
        <w:pStyle w:val="ListParagraph"/>
        <w:numPr>
          <w:ilvl w:val="0"/>
          <w:numId w:val="25"/>
        </w:numPr>
        <w:jc w:val="both"/>
        <w:rPr>
          <w:rFonts w:asciiTheme="majorHAnsi" w:hAnsiTheme="majorHAnsi"/>
          <w:b/>
        </w:rPr>
      </w:pPr>
      <w:r w:rsidRPr="00173826">
        <w:rPr>
          <w:rFonts w:asciiTheme="majorHAnsi" w:hAnsiTheme="majorHAnsi"/>
        </w:rPr>
        <w:t xml:space="preserve">Develop </w:t>
      </w:r>
      <w:r w:rsidRPr="00173826">
        <w:rPr>
          <w:rFonts w:asciiTheme="majorHAnsi" w:hAnsiTheme="majorHAnsi"/>
          <w:b/>
        </w:rPr>
        <w:t>guidance on resource mobilization</w:t>
      </w:r>
    </w:p>
    <w:p w14:paraId="02EE8078" w14:textId="78E61EBA" w:rsidR="004621D0" w:rsidRPr="00173826" w:rsidRDefault="00A22DAB" w:rsidP="00FE7770">
      <w:pPr>
        <w:pStyle w:val="ListParagraph"/>
        <w:numPr>
          <w:ilvl w:val="0"/>
          <w:numId w:val="25"/>
        </w:numPr>
        <w:jc w:val="both"/>
        <w:rPr>
          <w:rFonts w:asciiTheme="majorHAnsi" w:hAnsiTheme="majorHAnsi"/>
          <w:b/>
        </w:rPr>
      </w:pPr>
      <w:r>
        <w:rPr>
          <w:rFonts w:asciiTheme="majorHAnsi" w:hAnsiTheme="majorHAnsi"/>
        </w:rPr>
        <w:t xml:space="preserve">Develop a </w:t>
      </w:r>
      <w:r w:rsidR="004621D0" w:rsidRPr="00A22DAB">
        <w:rPr>
          <w:rFonts w:asciiTheme="majorHAnsi" w:hAnsiTheme="majorHAnsi"/>
          <w:b/>
        </w:rPr>
        <w:t>Fundraising Strategy</w:t>
      </w:r>
      <w:r>
        <w:rPr>
          <w:rFonts w:asciiTheme="majorHAnsi" w:hAnsiTheme="majorHAnsi"/>
        </w:rPr>
        <w:t xml:space="preserve"> </w:t>
      </w:r>
    </w:p>
    <w:p w14:paraId="19ED6AFE" w14:textId="05D227FA" w:rsidR="00457522" w:rsidRPr="00173826" w:rsidRDefault="00E32A9D" w:rsidP="00FE7770">
      <w:pPr>
        <w:jc w:val="both"/>
        <w:rPr>
          <w:rFonts w:asciiTheme="majorHAnsi" w:hAnsiTheme="majorHAnsi"/>
        </w:rPr>
      </w:pPr>
      <w:r w:rsidRPr="00173826">
        <w:rPr>
          <w:rFonts w:asciiTheme="majorHAnsi" w:hAnsiTheme="majorHAnsi"/>
          <w:noProof/>
        </w:rPr>
        <mc:AlternateContent>
          <mc:Choice Requires="wps">
            <w:drawing>
              <wp:anchor distT="0" distB="0" distL="114300" distR="114300" simplePos="0" relativeHeight="251673600" behindDoc="0" locked="0" layoutInCell="1" allowOverlap="1" wp14:anchorId="79693E6E" wp14:editId="3D18B6BB">
                <wp:simplePos x="0" y="0"/>
                <wp:positionH relativeFrom="column">
                  <wp:posOffset>0</wp:posOffset>
                </wp:positionH>
                <wp:positionV relativeFrom="paragraph">
                  <wp:posOffset>170815</wp:posOffset>
                </wp:positionV>
                <wp:extent cx="5600700" cy="262255"/>
                <wp:effectExtent l="0" t="0" r="38100" b="17145"/>
                <wp:wrapSquare wrapText="bothSides"/>
                <wp:docPr id="9" name="Text Box 9"/>
                <wp:cNvGraphicFramePr/>
                <a:graphic xmlns:a="http://schemas.openxmlformats.org/drawingml/2006/main">
                  <a:graphicData uri="http://schemas.microsoft.com/office/word/2010/wordprocessingShape">
                    <wps:wsp>
                      <wps:cNvSpPr txBox="1"/>
                      <wps:spPr>
                        <a:xfrm>
                          <a:off x="0" y="0"/>
                          <a:ext cx="5600700" cy="262255"/>
                        </a:xfrm>
                        <a:prstGeom prst="rect">
                          <a:avLst/>
                        </a:prstGeom>
                        <a:noFill/>
                        <a:ln>
                          <a:solidFill>
                            <a:schemeClr val="tx1"/>
                          </a:solidFill>
                        </a:ln>
                        <a:effectLst/>
                        <a:extLst>
                          <a:ext uri="{C572A759-6A51-4108-AA02-DFA0A04FC94B}">
                            <ma14:wrappingTextBoxFlag xmlns:ma14="http://schemas.microsoft.com/office/mac/drawingml/2011/main"/>
                          </a:ext>
                        </a:extLst>
                      </wps:spPr>
                      <wps:txbx>
                        <w:txbxContent>
                          <w:p w14:paraId="38E77C57" w14:textId="77777777" w:rsidR="00281E85" w:rsidRPr="0032448A" w:rsidRDefault="00281E85">
                            <w:pPr>
                              <w:rPr>
                                <w:b/>
                              </w:rPr>
                            </w:pPr>
                            <w:r w:rsidRPr="002D15F2">
                              <w:rPr>
                                <w:b/>
                              </w:rPr>
                              <w:t>Pillar 2. Capacity development in humanitarian coordination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9" o:spid="_x0000_s1031" type="#_x0000_t202" style="position:absolute;left:0;text-align:left;margin-left:0;margin-top:13.45pt;width:441pt;height:20.6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" filled="f" strokecolor="black [3213]">
                <v:textbox style="mso-fit-shape-to-text:t">
                  <w:txbxContent>
                    <w:p w14:paraId="38E77C57" w14:textId="77777777" w:rsidR="00FE7770" w:rsidRPr="0032448A" w:rsidRDefault="00FE7770">
                      <w:pPr>
                        <w:rPr>
                          <w:b/>
                        </w:rPr>
                      </w:pPr>
                      <w:r w:rsidRPr="002D15F2">
                        <w:rPr>
                          <w:b/>
                        </w:rPr>
                        <w:t>Pillar 2. Capacity development in humanitarian coordination</w:t>
                      </w:r>
                    </w:p>
                  </w:txbxContent>
                </v:textbox>
                <w10:wrap type="square"/>
              </v:shape>
            </w:pict>
          </mc:Fallback>
        </mc:AlternateContent>
      </w:r>
    </w:p>
    <w:p w14:paraId="6F1245C4" w14:textId="4B653C96" w:rsidR="00457522" w:rsidRPr="00173826" w:rsidRDefault="00457522" w:rsidP="00FE7770">
      <w:pPr>
        <w:jc w:val="both"/>
        <w:rPr>
          <w:rFonts w:asciiTheme="majorHAnsi" w:hAnsiTheme="majorHAnsi"/>
        </w:rPr>
      </w:pPr>
    </w:p>
    <w:p w14:paraId="72B5AC2B" w14:textId="77777777" w:rsidR="00BA40B1" w:rsidRPr="00173826" w:rsidRDefault="00A346F7" w:rsidP="00FE7770">
      <w:pPr>
        <w:jc w:val="both"/>
        <w:rPr>
          <w:rFonts w:asciiTheme="majorHAnsi" w:hAnsiTheme="majorHAnsi"/>
        </w:rPr>
      </w:pPr>
      <w:r w:rsidRPr="00173826">
        <w:rPr>
          <w:rFonts w:asciiTheme="majorHAnsi" w:hAnsiTheme="majorHAnsi"/>
        </w:rPr>
        <w:t xml:space="preserve">This involves identifying specific capacity gaps hampering optimal cluster coordination, particularly at the country level; identifying and /or developing tools and resources to address those gaps; and training key staff (NCCs, Information Managers, standby partners and GNC partners) in the relevant knowledge and skills required.  </w:t>
      </w:r>
    </w:p>
    <w:p w14:paraId="59B39D30" w14:textId="77777777" w:rsidR="00BA40B1" w:rsidRPr="00173826" w:rsidRDefault="00BA40B1" w:rsidP="00FE7770">
      <w:pPr>
        <w:jc w:val="both"/>
        <w:rPr>
          <w:rFonts w:asciiTheme="majorHAnsi" w:hAnsiTheme="majorHAnsi"/>
        </w:rPr>
      </w:pPr>
    </w:p>
    <w:p w14:paraId="0F782684" w14:textId="12729990" w:rsidR="00A346F7" w:rsidRPr="00173826" w:rsidRDefault="00A346F7" w:rsidP="00FE7770">
      <w:pPr>
        <w:jc w:val="both"/>
        <w:rPr>
          <w:rFonts w:asciiTheme="majorHAnsi" w:hAnsiTheme="majorHAnsi"/>
        </w:rPr>
      </w:pPr>
      <w:r w:rsidRPr="00173826">
        <w:rPr>
          <w:rFonts w:asciiTheme="majorHAnsi" w:hAnsiTheme="majorHAnsi"/>
          <w:b/>
          <w:i/>
        </w:rPr>
        <w:t>Note:</w:t>
      </w:r>
      <w:r w:rsidRPr="00173826">
        <w:rPr>
          <w:rFonts w:asciiTheme="majorHAnsi" w:hAnsiTheme="majorHAnsi"/>
        </w:rPr>
        <w:t xml:space="preserve"> </w:t>
      </w:r>
      <w:r w:rsidR="002C6AA5">
        <w:rPr>
          <w:rFonts w:asciiTheme="majorHAnsi" w:hAnsiTheme="majorHAnsi"/>
        </w:rPr>
        <w:t>T</w:t>
      </w:r>
      <w:r w:rsidRPr="00173826">
        <w:rPr>
          <w:rFonts w:asciiTheme="majorHAnsi" w:hAnsiTheme="majorHAnsi"/>
        </w:rPr>
        <w:t xml:space="preserve">he GNC </w:t>
      </w:r>
      <w:r w:rsidR="00BA40B1" w:rsidRPr="00173826">
        <w:rPr>
          <w:rFonts w:asciiTheme="majorHAnsi" w:hAnsiTheme="majorHAnsi"/>
        </w:rPr>
        <w:t>will focus its capacity development</w:t>
      </w:r>
      <w:r w:rsidRPr="00173826">
        <w:rPr>
          <w:rFonts w:asciiTheme="majorHAnsi" w:hAnsiTheme="majorHAnsi"/>
        </w:rPr>
        <w:t xml:space="preserve"> efforts on skills most relevant to cluster coordi</w:t>
      </w:r>
      <w:r w:rsidR="00BA40B1" w:rsidRPr="00173826">
        <w:rPr>
          <w:rFonts w:asciiTheme="majorHAnsi" w:hAnsiTheme="majorHAnsi"/>
        </w:rPr>
        <w:t xml:space="preserve">nation at the country level.  </w:t>
      </w:r>
      <w:r w:rsidR="0043169A" w:rsidRPr="00173826">
        <w:rPr>
          <w:rFonts w:asciiTheme="majorHAnsi" w:hAnsiTheme="majorHAnsi"/>
          <w:bCs/>
        </w:rPr>
        <w:t>Where there is a gap in technical guidance or technical capacity, the GNC</w:t>
      </w:r>
      <w:r w:rsidR="00281E85">
        <w:rPr>
          <w:rFonts w:asciiTheme="majorHAnsi" w:hAnsiTheme="majorHAnsi"/>
          <w:bCs/>
        </w:rPr>
        <w:t>-CT</w:t>
      </w:r>
      <w:r w:rsidR="0043169A" w:rsidRPr="00173826">
        <w:rPr>
          <w:rFonts w:asciiTheme="majorHAnsi" w:hAnsiTheme="majorHAnsi"/>
          <w:bCs/>
        </w:rPr>
        <w:t xml:space="preserve"> will share details of existing resources and mechanisms and will </w:t>
      </w:r>
      <w:r w:rsidR="00281E85">
        <w:rPr>
          <w:rFonts w:asciiTheme="majorHAnsi" w:hAnsiTheme="majorHAnsi"/>
        </w:rPr>
        <w:t>advocate for partners</w:t>
      </w:r>
      <w:r w:rsidR="0043169A" w:rsidRPr="00173826">
        <w:rPr>
          <w:rFonts w:asciiTheme="majorHAnsi" w:hAnsiTheme="majorHAnsi"/>
        </w:rPr>
        <w:t xml:space="preserve"> </w:t>
      </w:r>
      <w:r w:rsidR="00281E85">
        <w:rPr>
          <w:rFonts w:asciiTheme="majorHAnsi" w:hAnsiTheme="majorHAnsi"/>
        </w:rPr>
        <w:t xml:space="preserve">with this capacity to fill and/or </w:t>
      </w:r>
      <w:r w:rsidR="0043169A" w:rsidRPr="00173826">
        <w:rPr>
          <w:rFonts w:asciiTheme="majorHAnsi" w:hAnsiTheme="majorHAnsi"/>
        </w:rPr>
        <w:t>address these gaps.</w:t>
      </w:r>
      <w:r w:rsidR="008A3737" w:rsidRPr="00173826">
        <w:rPr>
          <w:rFonts w:asciiTheme="majorHAnsi" w:hAnsiTheme="majorHAnsi"/>
        </w:rPr>
        <w:t xml:space="preserve"> </w:t>
      </w:r>
    </w:p>
    <w:p w14:paraId="79BB47B6" w14:textId="77777777" w:rsidR="00A346F7" w:rsidRPr="00173826" w:rsidRDefault="00A346F7" w:rsidP="00FE7770">
      <w:pPr>
        <w:jc w:val="both"/>
        <w:rPr>
          <w:rFonts w:asciiTheme="majorHAnsi" w:hAnsiTheme="majorHAnsi"/>
        </w:rPr>
      </w:pPr>
    </w:p>
    <w:p w14:paraId="3E3DCC84" w14:textId="56D61442" w:rsidR="00793ED7" w:rsidRPr="00173826" w:rsidRDefault="00E32A9D" w:rsidP="00FE7770">
      <w:pPr>
        <w:jc w:val="both"/>
        <w:rPr>
          <w:rFonts w:asciiTheme="majorHAnsi" w:hAnsiTheme="majorHAnsi"/>
          <w:b/>
        </w:rPr>
      </w:pPr>
      <w:r w:rsidRPr="00173826">
        <w:rPr>
          <w:rFonts w:asciiTheme="majorHAnsi" w:hAnsiTheme="majorHAnsi"/>
          <w:b/>
        </w:rPr>
        <w:t>O</w:t>
      </w:r>
      <w:r w:rsidR="00793ED7" w:rsidRPr="00173826">
        <w:rPr>
          <w:rFonts w:asciiTheme="majorHAnsi" w:hAnsiTheme="majorHAnsi"/>
          <w:b/>
        </w:rPr>
        <w:t>bjective</w:t>
      </w:r>
      <w:r w:rsidRPr="00173826">
        <w:rPr>
          <w:rFonts w:asciiTheme="majorHAnsi" w:hAnsiTheme="majorHAnsi"/>
          <w:b/>
        </w:rPr>
        <w:t xml:space="preserve">s </w:t>
      </w:r>
    </w:p>
    <w:p w14:paraId="63DBC5E2" w14:textId="34C4EE77" w:rsidR="00793ED7" w:rsidRPr="00173826" w:rsidRDefault="00E17E9B" w:rsidP="00FE7770">
      <w:pPr>
        <w:jc w:val="both"/>
        <w:rPr>
          <w:rFonts w:asciiTheme="majorHAnsi" w:hAnsiTheme="majorHAnsi"/>
        </w:rPr>
      </w:pPr>
      <w:r w:rsidRPr="00173826">
        <w:rPr>
          <w:rFonts w:asciiTheme="majorHAnsi" w:hAnsiTheme="majorHAnsi"/>
        </w:rPr>
        <w:t>The objective of this pillar is</w:t>
      </w:r>
    </w:p>
    <w:p w14:paraId="7826F826" w14:textId="77777777" w:rsidR="00E32A9D" w:rsidRPr="00173826" w:rsidRDefault="00E32A9D" w:rsidP="00FE7770">
      <w:pPr>
        <w:jc w:val="both"/>
        <w:rPr>
          <w:rFonts w:asciiTheme="majorHAnsi" w:hAnsiTheme="majorHAnsi"/>
        </w:rPr>
      </w:pPr>
    </w:p>
    <w:p w14:paraId="42AD03AC" w14:textId="6A2734DB" w:rsidR="0037604D" w:rsidRPr="00173826" w:rsidRDefault="00E32A9D" w:rsidP="00FE7770">
      <w:pPr>
        <w:numPr>
          <w:ilvl w:val="1"/>
          <w:numId w:val="19"/>
        </w:numPr>
        <w:jc w:val="both"/>
        <w:rPr>
          <w:rFonts w:asciiTheme="majorHAnsi" w:hAnsiTheme="majorHAnsi"/>
        </w:rPr>
      </w:pPr>
      <w:r w:rsidRPr="00173826">
        <w:rPr>
          <w:rFonts w:asciiTheme="majorHAnsi" w:hAnsiTheme="majorHAnsi"/>
        </w:rPr>
        <w:t xml:space="preserve">To </w:t>
      </w:r>
      <w:r w:rsidR="00E17E9B" w:rsidRPr="00173826">
        <w:rPr>
          <w:rFonts w:asciiTheme="majorHAnsi" w:hAnsiTheme="majorHAnsi"/>
        </w:rPr>
        <w:t xml:space="preserve">strengthen nutrition sector and cluster coordination mechanisms to </w:t>
      </w:r>
      <w:r w:rsidRPr="00173826">
        <w:rPr>
          <w:rFonts w:asciiTheme="majorHAnsi" w:hAnsiTheme="majorHAnsi"/>
        </w:rPr>
        <w:t xml:space="preserve">ensure effective </w:t>
      </w:r>
      <w:r w:rsidR="00E17E9B" w:rsidRPr="00173826">
        <w:rPr>
          <w:rFonts w:asciiTheme="majorHAnsi" w:hAnsiTheme="majorHAnsi"/>
        </w:rPr>
        <w:t xml:space="preserve">nutrition </w:t>
      </w:r>
      <w:r w:rsidRPr="00173826">
        <w:rPr>
          <w:rFonts w:asciiTheme="majorHAnsi" w:hAnsiTheme="majorHAnsi"/>
        </w:rPr>
        <w:t>coordination fun</w:t>
      </w:r>
      <w:r w:rsidR="00E93A77" w:rsidRPr="00173826">
        <w:rPr>
          <w:rFonts w:asciiTheme="majorHAnsi" w:hAnsiTheme="majorHAnsi"/>
        </w:rPr>
        <w:t>ctions are available at country</w:t>
      </w:r>
      <w:r w:rsidRPr="00173826">
        <w:rPr>
          <w:rFonts w:asciiTheme="majorHAnsi" w:hAnsiTheme="majorHAnsi"/>
        </w:rPr>
        <w:t xml:space="preserve"> level</w:t>
      </w:r>
      <w:r w:rsidR="00E17E9B" w:rsidRPr="00173826">
        <w:rPr>
          <w:rFonts w:asciiTheme="majorHAnsi" w:hAnsiTheme="majorHAnsi"/>
        </w:rPr>
        <w:t>.</w:t>
      </w:r>
    </w:p>
    <w:p w14:paraId="5BE5F59C" w14:textId="77777777" w:rsidR="00E32A9D" w:rsidRPr="00173826" w:rsidRDefault="00E32A9D" w:rsidP="00FE7770">
      <w:pPr>
        <w:jc w:val="both"/>
        <w:rPr>
          <w:rFonts w:asciiTheme="majorHAnsi" w:hAnsiTheme="majorHAnsi"/>
        </w:rPr>
      </w:pPr>
    </w:p>
    <w:p w14:paraId="01435874" w14:textId="0DFBD387" w:rsidR="00793ED7" w:rsidRPr="00173826" w:rsidRDefault="00FD6A7D" w:rsidP="00FE7770">
      <w:pPr>
        <w:jc w:val="both"/>
        <w:rPr>
          <w:rFonts w:asciiTheme="majorHAnsi" w:hAnsiTheme="majorHAnsi"/>
          <w:b/>
        </w:rPr>
      </w:pPr>
      <w:r w:rsidRPr="00173826">
        <w:rPr>
          <w:rFonts w:asciiTheme="majorHAnsi" w:hAnsiTheme="majorHAnsi"/>
          <w:b/>
        </w:rPr>
        <w:t>Expected</w:t>
      </w:r>
      <w:r w:rsidR="00793ED7" w:rsidRPr="00173826">
        <w:rPr>
          <w:rFonts w:asciiTheme="majorHAnsi" w:hAnsiTheme="majorHAnsi"/>
          <w:b/>
        </w:rPr>
        <w:t xml:space="preserve"> results</w:t>
      </w:r>
    </w:p>
    <w:p w14:paraId="7728E465" w14:textId="0237B8B3" w:rsidR="00FD6A7D" w:rsidRPr="00173826" w:rsidRDefault="0037604D" w:rsidP="00FE7770">
      <w:pPr>
        <w:numPr>
          <w:ilvl w:val="1"/>
          <w:numId w:val="14"/>
        </w:numPr>
        <w:ind w:left="720"/>
        <w:jc w:val="both"/>
        <w:rPr>
          <w:rFonts w:asciiTheme="majorHAnsi" w:hAnsiTheme="majorHAnsi"/>
        </w:rPr>
      </w:pPr>
      <w:r w:rsidRPr="00173826">
        <w:rPr>
          <w:rFonts w:asciiTheme="majorHAnsi" w:hAnsiTheme="majorHAnsi"/>
        </w:rPr>
        <w:t xml:space="preserve">NCCs, </w:t>
      </w:r>
      <w:r w:rsidR="00FD6A7D" w:rsidRPr="00173826">
        <w:rPr>
          <w:rFonts w:asciiTheme="majorHAnsi" w:hAnsiTheme="majorHAnsi"/>
        </w:rPr>
        <w:t xml:space="preserve">IMOs </w:t>
      </w:r>
      <w:r w:rsidRPr="00173826">
        <w:rPr>
          <w:rFonts w:asciiTheme="majorHAnsi" w:hAnsiTheme="majorHAnsi"/>
        </w:rPr>
        <w:t xml:space="preserve">and standby partners working in these capacities </w:t>
      </w:r>
      <w:r w:rsidR="00FD6A7D" w:rsidRPr="00173826">
        <w:rPr>
          <w:rFonts w:asciiTheme="majorHAnsi" w:hAnsiTheme="majorHAnsi"/>
        </w:rPr>
        <w:t>have the requ</w:t>
      </w:r>
      <w:r w:rsidR="00C214AC" w:rsidRPr="00173826">
        <w:rPr>
          <w:rFonts w:asciiTheme="majorHAnsi" w:hAnsiTheme="majorHAnsi"/>
        </w:rPr>
        <w:t>ir</w:t>
      </w:r>
      <w:r w:rsidRPr="00173826">
        <w:rPr>
          <w:rFonts w:asciiTheme="majorHAnsi" w:hAnsiTheme="majorHAnsi"/>
        </w:rPr>
        <w:t xml:space="preserve">ed skills, </w:t>
      </w:r>
      <w:r w:rsidR="00FD6A7D" w:rsidRPr="00173826">
        <w:rPr>
          <w:rFonts w:asciiTheme="majorHAnsi" w:hAnsiTheme="majorHAnsi"/>
        </w:rPr>
        <w:t xml:space="preserve">competencies </w:t>
      </w:r>
      <w:r w:rsidRPr="00173826">
        <w:rPr>
          <w:rFonts w:asciiTheme="majorHAnsi" w:hAnsiTheme="majorHAnsi"/>
        </w:rPr>
        <w:t xml:space="preserve">and tools </w:t>
      </w:r>
      <w:r w:rsidR="00FD6A7D" w:rsidRPr="00173826">
        <w:rPr>
          <w:rFonts w:asciiTheme="majorHAnsi" w:hAnsiTheme="majorHAnsi"/>
        </w:rPr>
        <w:t>to de</w:t>
      </w:r>
      <w:r w:rsidR="00D8179D">
        <w:rPr>
          <w:rFonts w:asciiTheme="majorHAnsi" w:hAnsiTheme="majorHAnsi"/>
        </w:rPr>
        <w:t>liver on their responsibilities</w:t>
      </w:r>
    </w:p>
    <w:p w14:paraId="3851B31E" w14:textId="7E45148D" w:rsidR="00FD6A7D" w:rsidRPr="00173826" w:rsidRDefault="00FD6A7D" w:rsidP="00FE7770">
      <w:pPr>
        <w:numPr>
          <w:ilvl w:val="1"/>
          <w:numId w:val="14"/>
        </w:numPr>
        <w:ind w:left="720"/>
        <w:jc w:val="both"/>
        <w:rPr>
          <w:rFonts w:asciiTheme="majorHAnsi" w:hAnsiTheme="majorHAnsi"/>
        </w:rPr>
      </w:pPr>
      <w:r w:rsidRPr="00173826">
        <w:rPr>
          <w:rFonts w:asciiTheme="majorHAnsi" w:hAnsiTheme="majorHAnsi"/>
        </w:rPr>
        <w:lastRenderedPageBreak/>
        <w:t>NCC</w:t>
      </w:r>
      <w:r w:rsidR="0037604D" w:rsidRPr="00173826">
        <w:rPr>
          <w:rFonts w:asciiTheme="majorHAnsi" w:hAnsiTheme="majorHAnsi"/>
        </w:rPr>
        <w:t xml:space="preserve">s, IMOs and standby partners working in these capacities </w:t>
      </w:r>
      <w:r w:rsidRPr="00173826">
        <w:rPr>
          <w:rFonts w:asciiTheme="majorHAnsi" w:hAnsiTheme="majorHAnsi"/>
        </w:rPr>
        <w:t>have completed the necessary tra</w:t>
      </w:r>
      <w:r w:rsidR="0037604D" w:rsidRPr="00173826">
        <w:rPr>
          <w:rFonts w:asciiTheme="majorHAnsi" w:hAnsiTheme="majorHAnsi"/>
        </w:rPr>
        <w:t xml:space="preserve">ining on coordination functions and </w:t>
      </w:r>
      <w:r w:rsidRPr="00173826">
        <w:rPr>
          <w:rFonts w:asciiTheme="majorHAnsi" w:hAnsiTheme="majorHAnsi"/>
        </w:rPr>
        <w:t xml:space="preserve">have the skills and knowledge to train partners </w:t>
      </w:r>
      <w:r w:rsidR="00D8179D">
        <w:rPr>
          <w:rFonts w:asciiTheme="majorHAnsi" w:hAnsiTheme="majorHAnsi"/>
        </w:rPr>
        <w:t>in the same</w:t>
      </w:r>
    </w:p>
    <w:p w14:paraId="0922A60A" w14:textId="77777777" w:rsidR="00FE7770" w:rsidRPr="00173826" w:rsidRDefault="00FE7770" w:rsidP="00FE7770">
      <w:pPr>
        <w:pStyle w:val="ListParagraph"/>
        <w:numPr>
          <w:ilvl w:val="0"/>
          <w:numId w:val="41"/>
        </w:numPr>
        <w:jc w:val="both"/>
        <w:rPr>
          <w:rFonts w:asciiTheme="majorHAnsi" w:hAnsiTheme="majorHAnsi"/>
        </w:rPr>
      </w:pPr>
      <w:r w:rsidRPr="00173826">
        <w:rPr>
          <w:rFonts w:asciiTheme="majorHAnsi" w:hAnsiTheme="majorHAnsi"/>
        </w:rPr>
        <w:t>IMOs are trained in the use of the tools and are supported in developing, collating and sharing routine and other relevant information</w:t>
      </w:r>
    </w:p>
    <w:p w14:paraId="31515B3E" w14:textId="18D6E7FF" w:rsidR="00FD6A7D" w:rsidRPr="00173826" w:rsidRDefault="00FD6A7D" w:rsidP="00FE7770">
      <w:pPr>
        <w:numPr>
          <w:ilvl w:val="1"/>
          <w:numId w:val="14"/>
        </w:numPr>
        <w:ind w:left="720"/>
        <w:jc w:val="both"/>
        <w:rPr>
          <w:rFonts w:asciiTheme="majorHAnsi" w:hAnsiTheme="majorHAnsi"/>
        </w:rPr>
      </w:pPr>
      <w:r w:rsidRPr="00173826">
        <w:rPr>
          <w:rFonts w:asciiTheme="majorHAnsi" w:hAnsiTheme="majorHAnsi"/>
        </w:rPr>
        <w:t>G</w:t>
      </w:r>
      <w:r w:rsidR="0037604D" w:rsidRPr="00173826">
        <w:rPr>
          <w:rFonts w:asciiTheme="majorHAnsi" w:hAnsiTheme="majorHAnsi"/>
        </w:rPr>
        <w:t>NC partners</w:t>
      </w:r>
      <w:r w:rsidRPr="00173826">
        <w:rPr>
          <w:rFonts w:asciiTheme="majorHAnsi" w:hAnsiTheme="majorHAnsi"/>
        </w:rPr>
        <w:t xml:space="preserve"> are aware of </w:t>
      </w:r>
      <w:r w:rsidR="0037604D" w:rsidRPr="00173826">
        <w:rPr>
          <w:rFonts w:asciiTheme="majorHAnsi" w:hAnsiTheme="majorHAnsi"/>
        </w:rPr>
        <w:t xml:space="preserve">the </w:t>
      </w:r>
      <w:r w:rsidRPr="00173826">
        <w:rPr>
          <w:rFonts w:asciiTheme="majorHAnsi" w:hAnsiTheme="majorHAnsi"/>
        </w:rPr>
        <w:t>cluster approach</w:t>
      </w:r>
      <w:r w:rsidR="00981713" w:rsidRPr="00173826">
        <w:rPr>
          <w:rFonts w:asciiTheme="majorHAnsi" w:hAnsiTheme="majorHAnsi"/>
        </w:rPr>
        <w:t xml:space="preserve"> and </w:t>
      </w:r>
      <w:r w:rsidRPr="00173826">
        <w:rPr>
          <w:rFonts w:asciiTheme="majorHAnsi" w:hAnsiTheme="majorHAnsi"/>
        </w:rPr>
        <w:t xml:space="preserve">are building capacity of </w:t>
      </w:r>
      <w:r w:rsidR="0037604D" w:rsidRPr="00173826">
        <w:rPr>
          <w:rFonts w:asciiTheme="majorHAnsi" w:hAnsiTheme="majorHAnsi"/>
        </w:rPr>
        <w:t xml:space="preserve">their </w:t>
      </w:r>
      <w:r w:rsidR="009F1CBA" w:rsidRPr="00173826">
        <w:rPr>
          <w:rFonts w:asciiTheme="majorHAnsi" w:hAnsiTheme="majorHAnsi"/>
        </w:rPr>
        <w:t>country</w:t>
      </w:r>
      <w:r w:rsidRPr="00173826">
        <w:rPr>
          <w:rFonts w:asciiTheme="majorHAnsi" w:hAnsiTheme="majorHAnsi"/>
        </w:rPr>
        <w:t xml:space="preserve"> level staff</w:t>
      </w:r>
      <w:r w:rsidR="005E7242" w:rsidRPr="00173826">
        <w:rPr>
          <w:rFonts w:asciiTheme="majorHAnsi" w:hAnsiTheme="majorHAnsi"/>
        </w:rPr>
        <w:t xml:space="preserve"> </w:t>
      </w:r>
      <w:r w:rsidR="00F664D1" w:rsidRPr="00173826">
        <w:rPr>
          <w:rFonts w:asciiTheme="majorHAnsi" w:hAnsiTheme="majorHAnsi"/>
        </w:rPr>
        <w:t>to support harmonized nu</w:t>
      </w:r>
      <w:r w:rsidR="00D8179D">
        <w:rPr>
          <w:rFonts w:asciiTheme="majorHAnsi" w:hAnsiTheme="majorHAnsi"/>
        </w:rPr>
        <w:t>trition response in emergencies</w:t>
      </w:r>
    </w:p>
    <w:p w14:paraId="19262F18" w14:textId="11A5FC44" w:rsidR="00FD6A7D" w:rsidRPr="00173826" w:rsidRDefault="00D509D8" w:rsidP="00FE7770">
      <w:pPr>
        <w:numPr>
          <w:ilvl w:val="1"/>
          <w:numId w:val="14"/>
        </w:numPr>
        <w:ind w:left="720"/>
        <w:jc w:val="both"/>
        <w:rPr>
          <w:rFonts w:asciiTheme="majorHAnsi" w:hAnsiTheme="majorHAnsi"/>
        </w:rPr>
      </w:pPr>
      <w:r w:rsidRPr="00173826">
        <w:rPr>
          <w:rFonts w:asciiTheme="majorHAnsi" w:hAnsiTheme="majorHAnsi"/>
        </w:rPr>
        <w:t>C</w:t>
      </w:r>
      <w:r w:rsidR="002F1508" w:rsidRPr="00173826">
        <w:rPr>
          <w:rFonts w:asciiTheme="majorHAnsi" w:hAnsiTheme="majorHAnsi"/>
        </w:rPr>
        <w:t>oordination c</w:t>
      </w:r>
      <w:r w:rsidRPr="00173826">
        <w:rPr>
          <w:rFonts w:asciiTheme="majorHAnsi" w:hAnsiTheme="majorHAnsi"/>
        </w:rPr>
        <w:t>apacities and s</w:t>
      </w:r>
      <w:r w:rsidR="00FD6A7D" w:rsidRPr="00173826">
        <w:rPr>
          <w:rFonts w:asciiTheme="majorHAnsi" w:hAnsiTheme="majorHAnsi"/>
        </w:rPr>
        <w:t xml:space="preserve">ystems </w:t>
      </w:r>
      <w:r w:rsidR="00E17E9B" w:rsidRPr="00173826">
        <w:rPr>
          <w:rFonts w:asciiTheme="majorHAnsi" w:hAnsiTheme="majorHAnsi"/>
        </w:rPr>
        <w:t xml:space="preserve">in agreed priority countries </w:t>
      </w:r>
      <w:r w:rsidR="00981713" w:rsidRPr="00173826">
        <w:rPr>
          <w:rFonts w:asciiTheme="majorHAnsi" w:hAnsiTheme="majorHAnsi"/>
        </w:rPr>
        <w:t xml:space="preserve">are </w:t>
      </w:r>
      <w:r w:rsidR="00E17E9B" w:rsidRPr="00173826">
        <w:rPr>
          <w:rFonts w:asciiTheme="majorHAnsi" w:hAnsiTheme="majorHAnsi"/>
        </w:rPr>
        <w:t>enhanced</w:t>
      </w:r>
      <w:r w:rsidR="00E17E9B" w:rsidRPr="00173826">
        <w:rPr>
          <w:rStyle w:val="CommentReference"/>
          <w:rFonts w:asciiTheme="majorHAnsi" w:hAnsiTheme="majorHAnsi"/>
        </w:rPr>
        <w:t xml:space="preserve"> </w:t>
      </w:r>
      <w:r w:rsidR="00FD6A7D" w:rsidRPr="00173826">
        <w:rPr>
          <w:rFonts w:asciiTheme="majorHAnsi" w:hAnsiTheme="majorHAnsi"/>
        </w:rPr>
        <w:t>to deliver</w:t>
      </w:r>
      <w:r w:rsidR="00D8179D">
        <w:rPr>
          <w:rFonts w:asciiTheme="majorHAnsi" w:hAnsiTheme="majorHAnsi"/>
        </w:rPr>
        <w:t xml:space="preserve"> a coordinated response</w:t>
      </w:r>
    </w:p>
    <w:p w14:paraId="0FA51C75" w14:textId="77777777" w:rsidR="00793ED7" w:rsidRPr="00173826" w:rsidRDefault="00793ED7" w:rsidP="00FE7770">
      <w:pPr>
        <w:jc w:val="both"/>
        <w:rPr>
          <w:rFonts w:asciiTheme="majorHAnsi" w:hAnsiTheme="majorHAnsi"/>
        </w:rPr>
      </w:pPr>
    </w:p>
    <w:p w14:paraId="4C415E77" w14:textId="77777777" w:rsidR="00793ED7" w:rsidRPr="00173826" w:rsidRDefault="00793ED7" w:rsidP="00FE7770">
      <w:pPr>
        <w:jc w:val="both"/>
        <w:rPr>
          <w:rFonts w:asciiTheme="majorHAnsi" w:hAnsiTheme="majorHAnsi"/>
          <w:b/>
        </w:rPr>
      </w:pPr>
      <w:r w:rsidRPr="00173826">
        <w:rPr>
          <w:rFonts w:asciiTheme="majorHAnsi" w:hAnsiTheme="majorHAnsi"/>
          <w:b/>
        </w:rPr>
        <w:t>Priority activities</w:t>
      </w:r>
    </w:p>
    <w:p w14:paraId="75BE3ABB" w14:textId="3C130972" w:rsidR="00CE0659" w:rsidRPr="00173826" w:rsidRDefault="00CE0659" w:rsidP="00FE7770">
      <w:pPr>
        <w:pStyle w:val="ListParagraph"/>
        <w:widowControl w:val="0"/>
        <w:numPr>
          <w:ilvl w:val="0"/>
          <w:numId w:val="24"/>
        </w:numPr>
        <w:autoSpaceDE w:val="0"/>
        <w:autoSpaceDN w:val="0"/>
        <w:adjustRightInd w:val="0"/>
        <w:jc w:val="both"/>
        <w:rPr>
          <w:rFonts w:asciiTheme="majorHAnsi" w:hAnsiTheme="majorHAnsi"/>
          <w:b/>
        </w:rPr>
      </w:pPr>
      <w:r w:rsidRPr="00173826">
        <w:rPr>
          <w:rFonts w:asciiTheme="majorHAnsi" w:hAnsiTheme="majorHAnsi"/>
        </w:rPr>
        <w:t>Develop</w:t>
      </w:r>
      <w:r w:rsidRPr="00173826">
        <w:rPr>
          <w:rFonts w:asciiTheme="majorHAnsi" w:hAnsiTheme="majorHAnsi"/>
          <w:b/>
        </w:rPr>
        <w:t xml:space="preserve"> comprehensive competency framework</w:t>
      </w:r>
      <w:r w:rsidRPr="00173826">
        <w:rPr>
          <w:rFonts w:asciiTheme="majorHAnsi" w:hAnsiTheme="majorHAnsi"/>
        </w:rPr>
        <w:t xml:space="preserve"> to share with standby partners </w:t>
      </w:r>
    </w:p>
    <w:p w14:paraId="350896B5" w14:textId="35247413" w:rsidR="00CE0659" w:rsidRPr="00173826" w:rsidRDefault="00CE0659" w:rsidP="00FE7770">
      <w:pPr>
        <w:pStyle w:val="ListParagraph"/>
        <w:widowControl w:val="0"/>
        <w:numPr>
          <w:ilvl w:val="0"/>
          <w:numId w:val="24"/>
        </w:numPr>
        <w:autoSpaceDE w:val="0"/>
        <w:autoSpaceDN w:val="0"/>
        <w:adjustRightInd w:val="0"/>
        <w:jc w:val="both"/>
        <w:rPr>
          <w:rFonts w:asciiTheme="majorHAnsi" w:hAnsiTheme="majorHAnsi"/>
          <w:b/>
        </w:rPr>
      </w:pPr>
      <w:r w:rsidRPr="00173826">
        <w:rPr>
          <w:rFonts w:asciiTheme="majorHAnsi" w:hAnsiTheme="majorHAnsi"/>
        </w:rPr>
        <w:t>Assess IMOs/NCCs in countries against the competency framework and identify gaps and mechanisms to fill these gaps</w:t>
      </w:r>
    </w:p>
    <w:p w14:paraId="4A6307AD" w14:textId="0764B837" w:rsidR="00CE0659" w:rsidRPr="00173826" w:rsidRDefault="00985EE5" w:rsidP="00FE7770">
      <w:pPr>
        <w:pStyle w:val="ListParagraph"/>
        <w:widowControl w:val="0"/>
        <w:numPr>
          <w:ilvl w:val="0"/>
          <w:numId w:val="24"/>
        </w:numPr>
        <w:autoSpaceDE w:val="0"/>
        <w:autoSpaceDN w:val="0"/>
        <w:adjustRightInd w:val="0"/>
        <w:jc w:val="both"/>
        <w:rPr>
          <w:rFonts w:asciiTheme="majorHAnsi" w:hAnsiTheme="majorHAnsi"/>
          <w:b/>
        </w:rPr>
      </w:pPr>
      <w:r>
        <w:rPr>
          <w:rFonts w:asciiTheme="majorHAnsi" w:hAnsiTheme="majorHAnsi"/>
        </w:rPr>
        <w:t>Develop a</w:t>
      </w:r>
      <w:r w:rsidR="00CE0659" w:rsidRPr="00173826">
        <w:rPr>
          <w:rFonts w:asciiTheme="majorHAnsi" w:hAnsiTheme="majorHAnsi"/>
        </w:rPr>
        <w:t xml:space="preserve"> </w:t>
      </w:r>
      <w:r w:rsidR="00CE0659" w:rsidRPr="00985EE5">
        <w:rPr>
          <w:rFonts w:asciiTheme="majorHAnsi" w:hAnsiTheme="majorHAnsi"/>
          <w:b/>
        </w:rPr>
        <w:t>capacity development strategy</w:t>
      </w:r>
      <w:r>
        <w:rPr>
          <w:rFonts w:asciiTheme="majorHAnsi" w:hAnsiTheme="majorHAnsi"/>
        </w:rPr>
        <w:t xml:space="preserve"> for the GNC </w:t>
      </w:r>
    </w:p>
    <w:p w14:paraId="51F3845B" w14:textId="7FB73A2F" w:rsidR="00CE0659" w:rsidRPr="00173826" w:rsidRDefault="00CE0659" w:rsidP="00FE7770">
      <w:pPr>
        <w:pStyle w:val="ListParagraph"/>
        <w:widowControl w:val="0"/>
        <w:numPr>
          <w:ilvl w:val="0"/>
          <w:numId w:val="24"/>
        </w:numPr>
        <w:autoSpaceDE w:val="0"/>
        <w:autoSpaceDN w:val="0"/>
        <w:adjustRightInd w:val="0"/>
        <w:jc w:val="both"/>
        <w:rPr>
          <w:rFonts w:asciiTheme="majorHAnsi" w:hAnsiTheme="majorHAnsi"/>
          <w:b/>
        </w:rPr>
      </w:pPr>
      <w:r w:rsidRPr="00173826">
        <w:rPr>
          <w:rFonts w:asciiTheme="majorHAnsi" w:hAnsiTheme="majorHAnsi" w:cs="Lucida Grande"/>
          <w:color w:val="000000"/>
        </w:rPr>
        <w:t xml:space="preserve">Continue to </w:t>
      </w:r>
      <w:r w:rsidRPr="00985EE5">
        <w:rPr>
          <w:rFonts w:asciiTheme="majorHAnsi" w:hAnsiTheme="majorHAnsi" w:cs="Lucida Grande"/>
          <w:b/>
          <w:color w:val="000000"/>
        </w:rPr>
        <w:t xml:space="preserve">roll out the updated (Transformative Agenda) cluster coordination trainings </w:t>
      </w:r>
      <w:r w:rsidRPr="00173826">
        <w:rPr>
          <w:rFonts w:asciiTheme="majorHAnsi" w:hAnsiTheme="majorHAnsi" w:cs="Lucida Grande"/>
          <w:color w:val="000000"/>
        </w:rPr>
        <w:t>at regional and in-country levels fo</w:t>
      </w:r>
      <w:r w:rsidR="00985EE5">
        <w:rPr>
          <w:rFonts w:asciiTheme="majorHAnsi" w:hAnsiTheme="majorHAnsi" w:cs="Lucida Grande"/>
          <w:color w:val="000000"/>
        </w:rPr>
        <w:t>r NCCs and partners</w:t>
      </w:r>
    </w:p>
    <w:p w14:paraId="7D7A8B19" w14:textId="3FE8F9E0" w:rsidR="00CE0659" w:rsidRPr="00173826" w:rsidRDefault="00CE0659" w:rsidP="00FE7770">
      <w:pPr>
        <w:pStyle w:val="ListParagraph"/>
        <w:widowControl w:val="0"/>
        <w:numPr>
          <w:ilvl w:val="0"/>
          <w:numId w:val="24"/>
        </w:numPr>
        <w:autoSpaceDE w:val="0"/>
        <w:autoSpaceDN w:val="0"/>
        <w:adjustRightInd w:val="0"/>
        <w:jc w:val="both"/>
        <w:rPr>
          <w:rFonts w:asciiTheme="majorHAnsi" w:hAnsiTheme="majorHAnsi"/>
          <w:b/>
        </w:rPr>
      </w:pPr>
      <w:r w:rsidRPr="00173826">
        <w:rPr>
          <w:rFonts w:asciiTheme="majorHAnsi" w:hAnsiTheme="majorHAnsi" w:cs="Lucida Grande"/>
          <w:color w:val="000000"/>
        </w:rPr>
        <w:t xml:space="preserve">Annually </w:t>
      </w:r>
      <w:r w:rsidRPr="00985EE5">
        <w:rPr>
          <w:rFonts w:asciiTheme="majorHAnsi" w:hAnsiTheme="majorHAnsi" w:cs="Lucida Grande"/>
          <w:b/>
          <w:color w:val="000000"/>
        </w:rPr>
        <w:t>prioritize a list of countries</w:t>
      </w:r>
      <w:r w:rsidRPr="00173826">
        <w:rPr>
          <w:rFonts w:asciiTheme="majorHAnsi" w:hAnsiTheme="majorHAnsi" w:cs="Lucida Grande"/>
          <w:color w:val="000000"/>
        </w:rPr>
        <w:t xml:space="preserve"> to strengthen cluster coordination </w:t>
      </w:r>
    </w:p>
    <w:p w14:paraId="6718B3FC" w14:textId="76EFB67E" w:rsidR="00CE0659" w:rsidRPr="00173826" w:rsidRDefault="00CE0659" w:rsidP="00FE7770">
      <w:pPr>
        <w:pStyle w:val="ListParagraph"/>
        <w:widowControl w:val="0"/>
        <w:numPr>
          <w:ilvl w:val="0"/>
          <w:numId w:val="24"/>
        </w:numPr>
        <w:autoSpaceDE w:val="0"/>
        <w:autoSpaceDN w:val="0"/>
        <w:adjustRightInd w:val="0"/>
        <w:jc w:val="both"/>
        <w:rPr>
          <w:rFonts w:asciiTheme="majorHAnsi" w:hAnsiTheme="majorHAnsi"/>
          <w:b/>
        </w:rPr>
      </w:pPr>
      <w:r w:rsidRPr="00173826">
        <w:rPr>
          <w:rFonts w:asciiTheme="majorHAnsi" w:hAnsiTheme="majorHAnsi" w:cs="Lucida Grande"/>
          <w:color w:val="000000"/>
        </w:rPr>
        <w:t xml:space="preserve">Develop </w:t>
      </w:r>
      <w:r w:rsidRPr="00985EE5">
        <w:rPr>
          <w:rFonts w:asciiTheme="majorHAnsi" w:hAnsiTheme="majorHAnsi" w:cs="Lucida Grande"/>
          <w:b/>
          <w:color w:val="000000"/>
        </w:rPr>
        <w:t>induction/orientation package</w:t>
      </w:r>
      <w:r w:rsidRPr="00173826">
        <w:rPr>
          <w:rFonts w:asciiTheme="majorHAnsi" w:hAnsiTheme="majorHAnsi" w:cs="Lucida Grande"/>
          <w:color w:val="000000"/>
        </w:rPr>
        <w:t xml:space="preserve"> for NCCs, IMOs and standby partne</w:t>
      </w:r>
      <w:r w:rsidR="00985EE5">
        <w:rPr>
          <w:rFonts w:asciiTheme="majorHAnsi" w:hAnsiTheme="majorHAnsi" w:cs="Lucida Grande"/>
          <w:color w:val="000000"/>
        </w:rPr>
        <w:t>rs</w:t>
      </w:r>
    </w:p>
    <w:p w14:paraId="6A50BC70" w14:textId="365A1138" w:rsidR="007E4BC4" w:rsidRPr="00173826" w:rsidRDefault="007E4BC4" w:rsidP="00FE7770">
      <w:pPr>
        <w:pStyle w:val="ListParagraph"/>
        <w:widowControl w:val="0"/>
        <w:numPr>
          <w:ilvl w:val="0"/>
          <w:numId w:val="24"/>
        </w:numPr>
        <w:autoSpaceDE w:val="0"/>
        <w:autoSpaceDN w:val="0"/>
        <w:adjustRightInd w:val="0"/>
        <w:jc w:val="both"/>
        <w:rPr>
          <w:rFonts w:asciiTheme="majorHAnsi" w:hAnsiTheme="majorHAnsi"/>
          <w:b/>
        </w:rPr>
      </w:pPr>
      <w:r w:rsidRPr="00985EE5">
        <w:rPr>
          <w:rFonts w:asciiTheme="majorHAnsi" w:hAnsiTheme="majorHAnsi" w:cs="Lucida Grande"/>
          <w:b/>
          <w:color w:val="000000"/>
        </w:rPr>
        <w:t>Translate Handbook</w:t>
      </w:r>
      <w:r w:rsidRPr="00173826">
        <w:rPr>
          <w:rFonts w:asciiTheme="majorHAnsi" w:hAnsiTheme="majorHAnsi" w:cs="Lucida Grande"/>
          <w:color w:val="000000"/>
        </w:rPr>
        <w:t xml:space="preserve"> into French (and other languages if needed)</w:t>
      </w:r>
    </w:p>
    <w:p w14:paraId="729D033F" w14:textId="3E91FBA2" w:rsidR="007E4BC4" w:rsidRPr="00173826" w:rsidRDefault="007E4BC4" w:rsidP="00FE7770">
      <w:pPr>
        <w:pStyle w:val="ListParagraph"/>
        <w:widowControl w:val="0"/>
        <w:numPr>
          <w:ilvl w:val="0"/>
          <w:numId w:val="24"/>
        </w:numPr>
        <w:autoSpaceDE w:val="0"/>
        <w:autoSpaceDN w:val="0"/>
        <w:adjustRightInd w:val="0"/>
        <w:jc w:val="both"/>
        <w:rPr>
          <w:rFonts w:asciiTheme="majorHAnsi" w:hAnsiTheme="majorHAnsi"/>
          <w:b/>
        </w:rPr>
      </w:pPr>
      <w:r w:rsidRPr="00173826">
        <w:rPr>
          <w:rFonts w:asciiTheme="majorHAnsi" w:hAnsiTheme="majorHAnsi" w:cs="Lucida Grande"/>
          <w:color w:val="000000"/>
        </w:rPr>
        <w:t xml:space="preserve">Conduct </w:t>
      </w:r>
      <w:r w:rsidRPr="00985EE5">
        <w:rPr>
          <w:rFonts w:asciiTheme="majorHAnsi" w:hAnsiTheme="majorHAnsi" w:cs="Lucida Grande"/>
          <w:b/>
          <w:color w:val="000000"/>
        </w:rPr>
        <w:t>review of clu</w:t>
      </w:r>
      <w:r w:rsidR="00985EE5" w:rsidRPr="00985EE5">
        <w:rPr>
          <w:rFonts w:asciiTheme="majorHAnsi" w:hAnsiTheme="majorHAnsi" w:cs="Lucida Grande"/>
          <w:b/>
          <w:color w:val="000000"/>
        </w:rPr>
        <w:t>ster transition plans/processes</w:t>
      </w:r>
      <w:r w:rsidR="00985EE5">
        <w:rPr>
          <w:rFonts w:asciiTheme="majorHAnsi" w:hAnsiTheme="majorHAnsi" w:cs="Lucida Grande"/>
          <w:color w:val="000000"/>
        </w:rPr>
        <w:t xml:space="preserve"> and </w:t>
      </w:r>
      <w:r w:rsidRPr="00173826">
        <w:rPr>
          <w:rFonts w:asciiTheme="majorHAnsi" w:hAnsiTheme="majorHAnsi" w:cs="Lucida Grande"/>
          <w:color w:val="000000"/>
        </w:rPr>
        <w:t>identif</w:t>
      </w:r>
      <w:r w:rsidR="00985EE5">
        <w:rPr>
          <w:rFonts w:asciiTheme="majorHAnsi" w:hAnsiTheme="majorHAnsi" w:cs="Lucida Grande"/>
          <w:color w:val="000000"/>
        </w:rPr>
        <w:t xml:space="preserve">y and address capacity </w:t>
      </w:r>
      <w:r w:rsidRPr="00173826">
        <w:rPr>
          <w:rFonts w:asciiTheme="majorHAnsi" w:hAnsiTheme="majorHAnsi" w:cs="Lucida Grande"/>
          <w:color w:val="000000"/>
        </w:rPr>
        <w:t xml:space="preserve">gaps </w:t>
      </w:r>
    </w:p>
    <w:p w14:paraId="2C7A152E" w14:textId="131E386F" w:rsidR="007E4BC4" w:rsidRPr="00173826" w:rsidRDefault="007E4BC4" w:rsidP="00FE7770">
      <w:pPr>
        <w:pStyle w:val="ListParagraph"/>
        <w:widowControl w:val="0"/>
        <w:numPr>
          <w:ilvl w:val="0"/>
          <w:numId w:val="24"/>
        </w:numPr>
        <w:autoSpaceDE w:val="0"/>
        <w:autoSpaceDN w:val="0"/>
        <w:adjustRightInd w:val="0"/>
        <w:jc w:val="both"/>
        <w:rPr>
          <w:rFonts w:asciiTheme="majorHAnsi" w:hAnsiTheme="majorHAnsi"/>
          <w:b/>
        </w:rPr>
      </w:pPr>
      <w:r w:rsidRPr="00173826">
        <w:rPr>
          <w:rFonts w:asciiTheme="majorHAnsi" w:hAnsiTheme="majorHAnsi" w:cs="Lucida Grande"/>
          <w:color w:val="000000"/>
        </w:rPr>
        <w:t xml:space="preserve">Host and update the Nutrition in Emergencies </w:t>
      </w:r>
      <w:r w:rsidRPr="00985EE5">
        <w:rPr>
          <w:rFonts w:asciiTheme="majorHAnsi" w:hAnsiTheme="majorHAnsi" w:cs="Lucida Grande"/>
          <w:b/>
          <w:color w:val="000000"/>
        </w:rPr>
        <w:t>HTP training package</w:t>
      </w:r>
    </w:p>
    <w:p w14:paraId="09D0BA6F" w14:textId="1C48D40C" w:rsidR="007E4BC4" w:rsidRPr="00173826" w:rsidRDefault="007E4BC4" w:rsidP="00FE7770">
      <w:pPr>
        <w:pStyle w:val="ListParagraph"/>
        <w:widowControl w:val="0"/>
        <w:numPr>
          <w:ilvl w:val="0"/>
          <w:numId w:val="24"/>
        </w:numPr>
        <w:autoSpaceDE w:val="0"/>
        <w:autoSpaceDN w:val="0"/>
        <w:adjustRightInd w:val="0"/>
        <w:jc w:val="both"/>
        <w:rPr>
          <w:rFonts w:asciiTheme="majorHAnsi" w:hAnsiTheme="majorHAnsi"/>
          <w:b/>
        </w:rPr>
      </w:pPr>
      <w:r w:rsidRPr="00173826">
        <w:rPr>
          <w:rFonts w:asciiTheme="majorHAnsi" w:hAnsiTheme="majorHAnsi" w:cs="Lucida Grande"/>
          <w:color w:val="000000"/>
        </w:rPr>
        <w:t>Provide support to 15 clus</w:t>
      </w:r>
      <w:r w:rsidR="00985EE5">
        <w:rPr>
          <w:rFonts w:asciiTheme="majorHAnsi" w:hAnsiTheme="majorHAnsi" w:cs="Lucida Grande"/>
          <w:color w:val="000000"/>
        </w:rPr>
        <w:t xml:space="preserve">ter countries in organising </w:t>
      </w:r>
      <w:r w:rsidRPr="00173826">
        <w:rPr>
          <w:rFonts w:asciiTheme="majorHAnsi" w:hAnsiTheme="majorHAnsi" w:cs="Lucida Grande"/>
          <w:color w:val="000000"/>
        </w:rPr>
        <w:t>programme coverage surveys, including conducting of capacity building activities for cluster partners</w:t>
      </w:r>
    </w:p>
    <w:p w14:paraId="41738233" w14:textId="03A0284D" w:rsidR="007E4BC4" w:rsidRPr="00173826" w:rsidRDefault="007E4BC4" w:rsidP="00FE7770">
      <w:pPr>
        <w:pStyle w:val="ListParagraph"/>
        <w:widowControl w:val="0"/>
        <w:numPr>
          <w:ilvl w:val="0"/>
          <w:numId w:val="24"/>
        </w:numPr>
        <w:autoSpaceDE w:val="0"/>
        <w:autoSpaceDN w:val="0"/>
        <w:adjustRightInd w:val="0"/>
        <w:jc w:val="both"/>
        <w:rPr>
          <w:rFonts w:asciiTheme="majorHAnsi" w:hAnsiTheme="majorHAnsi"/>
          <w:b/>
        </w:rPr>
      </w:pPr>
      <w:r w:rsidRPr="00173826">
        <w:rPr>
          <w:rFonts w:asciiTheme="majorHAnsi" w:hAnsiTheme="majorHAnsi" w:cs="Lucida Grande"/>
          <w:color w:val="000000"/>
        </w:rPr>
        <w:t>Regularly update and share with NCCs and GNC partners an existing list of institutions / persons that could be available to GNC and NCCs for technical support</w:t>
      </w:r>
    </w:p>
    <w:p w14:paraId="3236D14A" w14:textId="4B7B491F" w:rsidR="007E4BC4" w:rsidRPr="00173826" w:rsidRDefault="007E4BC4" w:rsidP="00FE7770">
      <w:pPr>
        <w:pStyle w:val="ListParagraph"/>
        <w:widowControl w:val="0"/>
        <w:numPr>
          <w:ilvl w:val="0"/>
          <w:numId w:val="24"/>
        </w:numPr>
        <w:autoSpaceDE w:val="0"/>
        <w:autoSpaceDN w:val="0"/>
        <w:adjustRightInd w:val="0"/>
        <w:jc w:val="both"/>
        <w:rPr>
          <w:rFonts w:asciiTheme="majorHAnsi" w:hAnsiTheme="majorHAnsi"/>
          <w:b/>
        </w:rPr>
      </w:pPr>
      <w:r w:rsidRPr="00173826">
        <w:rPr>
          <w:rFonts w:asciiTheme="majorHAnsi" w:hAnsiTheme="majorHAnsi" w:cs="Lucida Grande"/>
          <w:color w:val="000000"/>
        </w:rPr>
        <w:t>Support one day of additional training for the NCC, based on information management toolkit</w:t>
      </w:r>
      <w:r w:rsidR="007A736D">
        <w:rPr>
          <w:rFonts w:asciiTheme="majorHAnsi" w:hAnsiTheme="majorHAnsi" w:cs="Lucida Grande"/>
          <w:color w:val="000000"/>
        </w:rPr>
        <w:t xml:space="preserve"> and IMO training package</w:t>
      </w:r>
    </w:p>
    <w:p w14:paraId="5E2D4DEE" w14:textId="16E5C5E4" w:rsidR="007E4BC4" w:rsidRPr="00173826" w:rsidRDefault="007E4BC4" w:rsidP="00FE7770">
      <w:pPr>
        <w:pStyle w:val="ListParagraph"/>
        <w:widowControl w:val="0"/>
        <w:numPr>
          <w:ilvl w:val="0"/>
          <w:numId w:val="24"/>
        </w:numPr>
        <w:autoSpaceDE w:val="0"/>
        <w:autoSpaceDN w:val="0"/>
        <w:adjustRightInd w:val="0"/>
        <w:jc w:val="both"/>
        <w:rPr>
          <w:rFonts w:asciiTheme="majorHAnsi" w:hAnsiTheme="majorHAnsi"/>
          <w:b/>
        </w:rPr>
      </w:pPr>
      <w:r w:rsidRPr="00173826">
        <w:rPr>
          <w:rFonts w:asciiTheme="majorHAnsi" w:hAnsiTheme="majorHAnsi" w:cs="Lucida Grande"/>
          <w:color w:val="000000"/>
        </w:rPr>
        <w:t>R</w:t>
      </w:r>
      <w:r w:rsidR="00FE7770">
        <w:rPr>
          <w:rFonts w:asciiTheme="majorHAnsi" w:hAnsiTheme="majorHAnsi" w:cs="Lucida Grande"/>
          <w:color w:val="000000"/>
        </w:rPr>
        <w:t xml:space="preserve">oll out the 5 day training according to the </w:t>
      </w:r>
      <w:r w:rsidRPr="00985EE5">
        <w:rPr>
          <w:rFonts w:asciiTheme="majorHAnsi" w:hAnsiTheme="majorHAnsi" w:cs="Lucida Grande"/>
          <w:b/>
          <w:color w:val="000000"/>
        </w:rPr>
        <w:t>IM training package</w:t>
      </w:r>
    </w:p>
    <w:p w14:paraId="7BC7E234" w14:textId="77777777" w:rsidR="00793ED7" w:rsidRPr="00173826" w:rsidRDefault="00793ED7" w:rsidP="00FE7770">
      <w:pPr>
        <w:jc w:val="both"/>
        <w:rPr>
          <w:rFonts w:asciiTheme="majorHAnsi" w:hAnsiTheme="majorHAnsi"/>
        </w:rPr>
      </w:pPr>
    </w:p>
    <w:p w14:paraId="67E05265" w14:textId="51B40475" w:rsidR="00793ED7" w:rsidRPr="00173826" w:rsidRDefault="003455EA" w:rsidP="00FE7770">
      <w:pPr>
        <w:jc w:val="both"/>
        <w:rPr>
          <w:rFonts w:asciiTheme="majorHAnsi" w:hAnsiTheme="majorHAnsi"/>
        </w:rPr>
      </w:pPr>
      <w:r w:rsidRPr="00173826">
        <w:rPr>
          <w:rFonts w:asciiTheme="majorHAnsi" w:hAnsiTheme="majorHAnsi"/>
          <w:noProof/>
        </w:rPr>
        <mc:AlternateContent>
          <mc:Choice Requires="wps">
            <w:drawing>
              <wp:anchor distT="0" distB="0" distL="114300" distR="114300" simplePos="0" relativeHeight="251675648" behindDoc="0" locked="0" layoutInCell="1" allowOverlap="1" wp14:anchorId="4EB30BE1" wp14:editId="62420441">
                <wp:simplePos x="0" y="0"/>
                <wp:positionH relativeFrom="column">
                  <wp:posOffset>0</wp:posOffset>
                </wp:positionH>
                <wp:positionV relativeFrom="paragraph">
                  <wp:posOffset>170815</wp:posOffset>
                </wp:positionV>
                <wp:extent cx="5486400" cy="262255"/>
                <wp:effectExtent l="0" t="0" r="25400" b="17145"/>
                <wp:wrapSquare wrapText="bothSides"/>
                <wp:docPr id="10" name="Text Box 10"/>
                <wp:cNvGraphicFramePr/>
                <a:graphic xmlns:a="http://schemas.openxmlformats.org/drawingml/2006/main">
                  <a:graphicData uri="http://schemas.microsoft.com/office/word/2010/wordprocessingShape">
                    <wps:wsp>
                      <wps:cNvSpPr txBox="1"/>
                      <wps:spPr>
                        <a:xfrm>
                          <a:off x="0" y="0"/>
                          <a:ext cx="5486400" cy="262255"/>
                        </a:xfrm>
                        <a:prstGeom prst="rect">
                          <a:avLst/>
                        </a:prstGeom>
                        <a:noFill/>
                        <a:ln>
                          <a:solidFill>
                            <a:schemeClr val="tx1"/>
                          </a:solidFill>
                        </a:ln>
                        <a:effectLst/>
                        <a:extLst>
                          <a:ext uri="{C572A759-6A51-4108-AA02-DFA0A04FC94B}">
                            <ma14:wrappingTextBoxFlag xmlns:ma14="http://schemas.microsoft.com/office/mac/drawingml/2011/main"/>
                          </a:ext>
                        </a:extLst>
                      </wps:spPr>
                      <wps:txbx>
                        <w:txbxContent>
                          <w:p w14:paraId="268072AF" w14:textId="3A373530" w:rsidR="00281E85" w:rsidRPr="002108A7" w:rsidRDefault="00281E85">
                            <w:pPr>
                              <w:rPr>
                                <w:b/>
                              </w:rPr>
                            </w:pPr>
                            <w:r w:rsidRPr="00BB5CBD">
                              <w:rPr>
                                <w:b/>
                              </w:rPr>
                              <w:t xml:space="preserve">Pillar 3. </w:t>
                            </w:r>
                            <w:r w:rsidRPr="00BB5CBD">
                              <w:rPr>
                                <w:b/>
                                <w:bCs/>
                              </w:rPr>
                              <w:t>Operational and surge support to country clusters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0" o:spid="_x0000_s1032" type="#_x0000_t202" style="position:absolute;left:0;text-align:left;margin-left:0;margin-top:13.45pt;width:6in;height:20.6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" filled="f" strokecolor="black [3213]">
                <v:textbox style="mso-fit-shape-to-text:t">
                  <w:txbxContent>
                    <w:p w14:paraId="268072AF" w14:textId="3A373530" w:rsidR="00FE7770" w:rsidRPr="002108A7" w:rsidRDefault="00FE7770">
                      <w:pPr>
                        <w:rPr>
                          <w:b/>
                        </w:rPr>
                      </w:pPr>
                      <w:r w:rsidRPr="00BB5CBD">
                        <w:rPr>
                          <w:b/>
                        </w:rPr>
                        <w:t xml:space="preserve">Pillar 3. </w:t>
                      </w:r>
                      <w:r w:rsidRPr="00BB5CBD">
                        <w:rPr>
                          <w:b/>
                          <w:bCs/>
                        </w:rPr>
                        <w:t>Operational and surge support to country clusters</w:t>
                      </w:r>
                    </w:p>
                  </w:txbxContent>
                </v:textbox>
                <w10:wrap type="square"/>
              </v:shape>
            </w:pict>
          </mc:Fallback>
        </mc:AlternateContent>
      </w:r>
    </w:p>
    <w:p w14:paraId="7B684CB9" w14:textId="31C5C33E" w:rsidR="00BA40B1" w:rsidRPr="00173826" w:rsidRDefault="00BA40B1" w:rsidP="00FE7770">
      <w:pPr>
        <w:jc w:val="both"/>
        <w:rPr>
          <w:rFonts w:asciiTheme="majorHAnsi" w:hAnsiTheme="majorHAnsi"/>
          <w:bCs/>
        </w:rPr>
      </w:pPr>
      <w:r w:rsidRPr="00173826">
        <w:rPr>
          <w:rFonts w:asciiTheme="majorHAnsi" w:hAnsiTheme="majorHAnsi"/>
          <w:bCs/>
        </w:rPr>
        <w:t>This includes support to country cluster</w:t>
      </w:r>
      <w:r w:rsidR="001B7F7B" w:rsidRPr="00173826">
        <w:rPr>
          <w:rFonts w:asciiTheme="majorHAnsi" w:hAnsiTheme="majorHAnsi"/>
          <w:bCs/>
        </w:rPr>
        <w:t xml:space="preserve">s to ensure effective coordination functions on the ground </w:t>
      </w:r>
      <w:r w:rsidR="00894DF3" w:rsidRPr="00173826">
        <w:rPr>
          <w:rFonts w:asciiTheme="majorHAnsi" w:hAnsiTheme="majorHAnsi"/>
          <w:bCs/>
        </w:rPr>
        <w:t xml:space="preserve">through visits and/or the provision of </w:t>
      </w:r>
      <w:r w:rsidRPr="00173826">
        <w:rPr>
          <w:rFonts w:asciiTheme="majorHAnsi" w:hAnsiTheme="majorHAnsi"/>
          <w:bCs/>
        </w:rPr>
        <w:t xml:space="preserve">additional staff </w:t>
      </w:r>
      <w:r w:rsidR="00894DF3" w:rsidRPr="00173826">
        <w:rPr>
          <w:rFonts w:asciiTheme="majorHAnsi" w:hAnsiTheme="majorHAnsi"/>
          <w:bCs/>
        </w:rPr>
        <w:t>(</w:t>
      </w:r>
      <w:r w:rsidRPr="00173826">
        <w:rPr>
          <w:rFonts w:asciiTheme="majorHAnsi" w:hAnsiTheme="majorHAnsi"/>
          <w:bCs/>
        </w:rPr>
        <w:t>i.e. Rapid Response Team (RRT) members or standby partners</w:t>
      </w:r>
      <w:r w:rsidR="00894DF3" w:rsidRPr="00173826">
        <w:rPr>
          <w:rFonts w:asciiTheme="majorHAnsi" w:hAnsiTheme="majorHAnsi"/>
          <w:bCs/>
        </w:rPr>
        <w:t>)</w:t>
      </w:r>
      <w:r w:rsidRPr="00173826">
        <w:rPr>
          <w:rFonts w:asciiTheme="majorHAnsi" w:hAnsiTheme="majorHAnsi"/>
          <w:bCs/>
        </w:rPr>
        <w:t xml:space="preserve">. </w:t>
      </w:r>
    </w:p>
    <w:p w14:paraId="2339288E" w14:textId="77777777" w:rsidR="001B7F7B" w:rsidRPr="00173826" w:rsidRDefault="001B7F7B" w:rsidP="00FE7770">
      <w:pPr>
        <w:jc w:val="both"/>
        <w:rPr>
          <w:rFonts w:asciiTheme="majorHAnsi" w:hAnsiTheme="majorHAnsi"/>
          <w:bCs/>
        </w:rPr>
      </w:pPr>
    </w:p>
    <w:p w14:paraId="4E8FBD91" w14:textId="364E67DA" w:rsidR="00BA40B1" w:rsidRDefault="00894DF3" w:rsidP="00FE7770">
      <w:pPr>
        <w:jc w:val="both"/>
        <w:rPr>
          <w:rFonts w:asciiTheme="majorHAnsi" w:hAnsiTheme="majorHAnsi"/>
        </w:rPr>
      </w:pPr>
      <w:r w:rsidRPr="00173826">
        <w:rPr>
          <w:rFonts w:asciiTheme="majorHAnsi" w:hAnsiTheme="majorHAnsi"/>
          <w:b/>
          <w:i/>
        </w:rPr>
        <w:t>Note:</w:t>
      </w:r>
      <w:r w:rsidRPr="00173826">
        <w:rPr>
          <w:rFonts w:asciiTheme="majorHAnsi" w:hAnsiTheme="majorHAnsi"/>
        </w:rPr>
        <w:t xml:space="preserve"> </w:t>
      </w:r>
      <w:r w:rsidR="007A736D">
        <w:rPr>
          <w:rFonts w:asciiTheme="majorHAnsi" w:hAnsiTheme="majorHAnsi"/>
        </w:rPr>
        <w:t>T</w:t>
      </w:r>
      <w:r w:rsidRPr="00173826">
        <w:rPr>
          <w:rFonts w:asciiTheme="majorHAnsi" w:hAnsiTheme="majorHAnsi"/>
        </w:rPr>
        <w:t>he GNC will focus its support to co</w:t>
      </w:r>
      <w:r w:rsidR="0043169A" w:rsidRPr="00173826">
        <w:rPr>
          <w:rFonts w:asciiTheme="majorHAnsi" w:hAnsiTheme="majorHAnsi"/>
        </w:rPr>
        <w:t>untry clusters on</w:t>
      </w:r>
      <w:r w:rsidRPr="00173826">
        <w:rPr>
          <w:rFonts w:asciiTheme="majorHAnsi" w:hAnsiTheme="majorHAnsi"/>
        </w:rPr>
        <w:t xml:space="preserve"> coordination</w:t>
      </w:r>
      <w:r w:rsidR="0043169A" w:rsidRPr="00173826">
        <w:rPr>
          <w:rFonts w:asciiTheme="majorHAnsi" w:hAnsiTheme="majorHAnsi"/>
        </w:rPr>
        <w:t xml:space="preserve"> functions</w:t>
      </w:r>
      <w:r w:rsidRPr="00173826">
        <w:rPr>
          <w:rFonts w:asciiTheme="majorHAnsi" w:hAnsiTheme="majorHAnsi"/>
        </w:rPr>
        <w:t xml:space="preserve">. </w:t>
      </w:r>
      <w:r w:rsidR="00FE7770" w:rsidRPr="00173826">
        <w:rPr>
          <w:rFonts w:asciiTheme="majorHAnsi" w:hAnsiTheme="majorHAnsi"/>
          <w:bCs/>
        </w:rPr>
        <w:t xml:space="preserve">Where there is a gap in </w:t>
      </w:r>
      <w:r w:rsidR="00281E85">
        <w:rPr>
          <w:rFonts w:asciiTheme="majorHAnsi" w:hAnsiTheme="majorHAnsi"/>
        </w:rPr>
        <w:t>T</w:t>
      </w:r>
      <w:r w:rsidR="00281E85" w:rsidRPr="00173826">
        <w:rPr>
          <w:rFonts w:asciiTheme="majorHAnsi" w:hAnsiTheme="majorHAnsi"/>
        </w:rPr>
        <w:t xml:space="preserve">he GNC will focus its capacity development efforts on skills most relevant to cluster coordination at the country level.  </w:t>
      </w:r>
      <w:r w:rsidR="007F7BF5" w:rsidRPr="00173826">
        <w:rPr>
          <w:rFonts w:asciiTheme="majorHAnsi" w:hAnsiTheme="majorHAnsi"/>
          <w:bCs/>
        </w:rPr>
        <w:t>Where there is a gap in technical guidance or technical capacity, the GNC</w:t>
      </w:r>
      <w:r w:rsidR="007F7BF5">
        <w:rPr>
          <w:rFonts w:asciiTheme="majorHAnsi" w:hAnsiTheme="majorHAnsi"/>
          <w:bCs/>
        </w:rPr>
        <w:t>-CT</w:t>
      </w:r>
      <w:r w:rsidR="007F7BF5" w:rsidRPr="00173826">
        <w:rPr>
          <w:rFonts w:asciiTheme="majorHAnsi" w:hAnsiTheme="majorHAnsi"/>
          <w:bCs/>
        </w:rPr>
        <w:t xml:space="preserve"> will share details of existing resources and mechanisms and will </w:t>
      </w:r>
      <w:r w:rsidR="007F7BF5">
        <w:rPr>
          <w:rFonts w:asciiTheme="majorHAnsi" w:hAnsiTheme="majorHAnsi"/>
        </w:rPr>
        <w:t>advocate for partners</w:t>
      </w:r>
      <w:r w:rsidR="007F7BF5" w:rsidRPr="00173826">
        <w:rPr>
          <w:rFonts w:asciiTheme="majorHAnsi" w:hAnsiTheme="majorHAnsi"/>
        </w:rPr>
        <w:t xml:space="preserve"> </w:t>
      </w:r>
      <w:r w:rsidR="007F7BF5">
        <w:rPr>
          <w:rFonts w:asciiTheme="majorHAnsi" w:hAnsiTheme="majorHAnsi"/>
        </w:rPr>
        <w:t xml:space="preserve">with this capacity to fill and/or </w:t>
      </w:r>
      <w:r w:rsidR="007F7BF5" w:rsidRPr="00173826">
        <w:rPr>
          <w:rFonts w:asciiTheme="majorHAnsi" w:hAnsiTheme="majorHAnsi"/>
        </w:rPr>
        <w:t>address these gaps.</w:t>
      </w:r>
    </w:p>
    <w:p w14:paraId="78F2EA1D" w14:textId="77777777" w:rsidR="007F7BF5" w:rsidRPr="00173826" w:rsidRDefault="007F7BF5" w:rsidP="00FE7770">
      <w:pPr>
        <w:jc w:val="both"/>
        <w:rPr>
          <w:rFonts w:asciiTheme="majorHAnsi" w:hAnsiTheme="majorHAnsi"/>
        </w:rPr>
      </w:pPr>
    </w:p>
    <w:p w14:paraId="02D1D5C9" w14:textId="77AD2E4A" w:rsidR="00793ED7" w:rsidRPr="00173826" w:rsidRDefault="001300F7" w:rsidP="00FE7770">
      <w:pPr>
        <w:jc w:val="both"/>
        <w:rPr>
          <w:rFonts w:asciiTheme="majorHAnsi" w:hAnsiTheme="majorHAnsi"/>
          <w:b/>
        </w:rPr>
      </w:pPr>
      <w:r w:rsidRPr="00173826">
        <w:rPr>
          <w:rFonts w:asciiTheme="majorHAnsi" w:hAnsiTheme="majorHAnsi"/>
          <w:b/>
        </w:rPr>
        <w:t>O</w:t>
      </w:r>
      <w:r w:rsidR="00793ED7" w:rsidRPr="00173826">
        <w:rPr>
          <w:rFonts w:asciiTheme="majorHAnsi" w:hAnsiTheme="majorHAnsi"/>
          <w:b/>
        </w:rPr>
        <w:t>bjective</w:t>
      </w:r>
      <w:r w:rsidRPr="00173826">
        <w:rPr>
          <w:rFonts w:asciiTheme="majorHAnsi" w:hAnsiTheme="majorHAnsi"/>
          <w:b/>
        </w:rPr>
        <w:t>s</w:t>
      </w:r>
    </w:p>
    <w:p w14:paraId="0F739556" w14:textId="77777777" w:rsidR="003455EA" w:rsidRPr="00173826" w:rsidRDefault="003455EA" w:rsidP="00FE7770">
      <w:pPr>
        <w:jc w:val="both"/>
        <w:rPr>
          <w:rFonts w:asciiTheme="majorHAnsi" w:hAnsiTheme="majorHAnsi"/>
        </w:rPr>
      </w:pPr>
      <w:r w:rsidRPr="00173826">
        <w:rPr>
          <w:rFonts w:asciiTheme="majorHAnsi" w:hAnsiTheme="majorHAnsi"/>
        </w:rPr>
        <w:t xml:space="preserve">The objectives of this pillar are </w:t>
      </w:r>
    </w:p>
    <w:p w14:paraId="4A75420C" w14:textId="77777777" w:rsidR="003455EA" w:rsidRPr="00173826" w:rsidRDefault="003455EA" w:rsidP="00FE7770">
      <w:pPr>
        <w:jc w:val="both"/>
        <w:rPr>
          <w:rFonts w:asciiTheme="majorHAnsi" w:hAnsiTheme="majorHAnsi"/>
        </w:rPr>
      </w:pPr>
    </w:p>
    <w:p w14:paraId="5BE0CA9A" w14:textId="3C7AE2DF" w:rsidR="007E4BC4" w:rsidRPr="00173826" w:rsidRDefault="007E4BC4" w:rsidP="00FE7770">
      <w:pPr>
        <w:pStyle w:val="ListParagraph"/>
        <w:numPr>
          <w:ilvl w:val="0"/>
          <w:numId w:val="20"/>
        </w:numPr>
        <w:jc w:val="both"/>
        <w:rPr>
          <w:rFonts w:asciiTheme="majorHAnsi" w:hAnsiTheme="majorHAnsi"/>
        </w:rPr>
      </w:pPr>
      <w:r w:rsidRPr="00173826">
        <w:rPr>
          <w:rFonts w:asciiTheme="majorHAnsi" w:hAnsiTheme="majorHAnsi" w:cs="Lucida Grande"/>
          <w:color w:val="000000"/>
        </w:rPr>
        <w:lastRenderedPageBreak/>
        <w:t>To ensure effective, augmented nutrition coordination/IM support for emergency response</w:t>
      </w:r>
    </w:p>
    <w:p w14:paraId="46C63037" w14:textId="73A419C7" w:rsidR="002A067D" w:rsidRPr="00173826" w:rsidRDefault="002A067D" w:rsidP="00FE7770">
      <w:pPr>
        <w:pStyle w:val="ListParagraph"/>
        <w:numPr>
          <w:ilvl w:val="0"/>
          <w:numId w:val="20"/>
        </w:numPr>
        <w:jc w:val="both"/>
        <w:rPr>
          <w:rFonts w:asciiTheme="majorHAnsi" w:hAnsiTheme="majorHAnsi"/>
        </w:rPr>
      </w:pPr>
      <w:r w:rsidRPr="00173826">
        <w:rPr>
          <w:rFonts w:asciiTheme="majorHAnsi" w:hAnsiTheme="majorHAnsi"/>
        </w:rPr>
        <w:t xml:space="preserve">To </w:t>
      </w:r>
      <w:r w:rsidR="007E4BC4" w:rsidRPr="00173826">
        <w:rPr>
          <w:rFonts w:asciiTheme="majorHAnsi" w:hAnsiTheme="majorHAnsi"/>
        </w:rPr>
        <w:t>enable country cluster staff to access required technical support</w:t>
      </w:r>
    </w:p>
    <w:p w14:paraId="47033405" w14:textId="77777777" w:rsidR="00793ED7" w:rsidRPr="00173826" w:rsidRDefault="00793ED7" w:rsidP="00FE7770">
      <w:pPr>
        <w:jc w:val="both"/>
        <w:rPr>
          <w:rFonts w:asciiTheme="majorHAnsi" w:hAnsiTheme="majorHAnsi"/>
        </w:rPr>
      </w:pPr>
    </w:p>
    <w:p w14:paraId="60EF7FE7" w14:textId="7E8B0070" w:rsidR="00793ED7" w:rsidRPr="00173826" w:rsidRDefault="00232B7D" w:rsidP="00FE7770">
      <w:pPr>
        <w:jc w:val="both"/>
        <w:rPr>
          <w:rFonts w:asciiTheme="majorHAnsi" w:hAnsiTheme="majorHAnsi"/>
          <w:b/>
        </w:rPr>
      </w:pPr>
      <w:r w:rsidRPr="00173826">
        <w:rPr>
          <w:rFonts w:asciiTheme="majorHAnsi" w:hAnsiTheme="majorHAnsi"/>
          <w:b/>
        </w:rPr>
        <w:t>Expected</w:t>
      </w:r>
      <w:r w:rsidR="00793ED7" w:rsidRPr="00173826">
        <w:rPr>
          <w:rFonts w:asciiTheme="majorHAnsi" w:hAnsiTheme="majorHAnsi"/>
          <w:b/>
        </w:rPr>
        <w:t xml:space="preserve"> results</w:t>
      </w:r>
    </w:p>
    <w:p w14:paraId="66FC0AE5" w14:textId="630B67B7" w:rsidR="00FC21A4" w:rsidRPr="00173826" w:rsidRDefault="00AA335B" w:rsidP="00FE7770">
      <w:pPr>
        <w:numPr>
          <w:ilvl w:val="1"/>
          <w:numId w:val="14"/>
        </w:numPr>
        <w:ind w:left="720"/>
        <w:jc w:val="both"/>
        <w:rPr>
          <w:rFonts w:asciiTheme="majorHAnsi" w:hAnsiTheme="majorHAnsi"/>
        </w:rPr>
      </w:pPr>
      <w:r w:rsidRPr="00173826">
        <w:rPr>
          <w:rFonts w:asciiTheme="majorHAnsi" w:hAnsiTheme="majorHAnsi"/>
        </w:rPr>
        <w:t>Increased number of standby partners with capacity in nutrition</w:t>
      </w:r>
      <w:r w:rsidR="0078555A" w:rsidRPr="00173826">
        <w:rPr>
          <w:rFonts w:asciiTheme="majorHAnsi" w:hAnsiTheme="majorHAnsi"/>
        </w:rPr>
        <w:t>, coordination and IM</w:t>
      </w:r>
      <w:r w:rsidR="00BB5CBD" w:rsidRPr="00173826">
        <w:rPr>
          <w:rStyle w:val="FootnoteReference"/>
          <w:rFonts w:asciiTheme="majorHAnsi" w:hAnsiTheme="majorHAnsi"/>
        </w:rPr>
        <w:footnoteReference w:id="15"/>
      </w:r>
      <w:r w:rsidR="00BB5CBD" w:rsidRPr="00173826">
        <w:rPr>
          <w:rFonts w:asciiTheme="majorHAnsi" w:hAnsiTheme="majorHAnsi"/>
        </w:rPr>
        <w:t xml:space="preserve"> </w:t>
      </w:r>
    </w:p>
    <w:p w14:paraId="0E2A8EB4" w14:textId="2DEE60A2" w:rsidR="0003103B" w:rsidRPr="00173826" w:rsidRDefault="0003103B" w:rsidP="00FE7770">
      <w:pPr>
        <w:numPr>
          <w:ilvl w:val="1"/>
          <w:numId w:val="14"/>
        </w:numPr>
        <w:ind w:left="720"/>
        <w:jc w:val="both"/>
        <w:rPr>
          <w:rFonts w:asciiTheme="majorHAnsi" w:hAnsiTheme="majorHAnsi"/>
        </w:rPr>
      </w:pPr>
      <w:r w:rsidRPr="00173826">
        <w:rPr>
          <w:rFonts w:asciiTheme="majorHAnsi" w:hAnsiTheme="majorHAnsi"/>
        </w:rPr>
        <w:t>Increased</w:t>
      </w:r>
      <w:r w:rsidR="00FC21A4" w:rsidRPr="00173826">
        <w:rPr>
          <w:rFonts w:asciiTheme="majorHAnsi" w:hAnsiTheme="majorHAnsi"/>
        </w:rPr>
        <w:t xml:space="preserve"> number of </w:t>
      </w:r>
      <w:r w:rsidR="001952AA">
        <w:rPr>
          <w:rFonts w:asciiTheme="majorHAnsi" w:hAnsiTheme="majorHAnsi"/>
        </w:rPr>
        <w:t>CMAM, IYCF and Nutrition Assessment readily</w:t>
      </w:r>
      <w:r w:rsidR="00FC21A4" w:rsidRPr="00173826">
        <w:rPr>
          <w:rFonts w:asciiTheme="majorHAnsi" w:hAnsiTheme="majorHAnsi"/>
        </w:rPr>
        <w:t xml:space="preserve"> </w:t>
      </w:r>
      <w:r w:rsidRPr="00173826">
        <w:rPr>
          <w:rFonts w:asciiTheme="majorHAnsi" w:hAnsiTheme="majorHAnsi"/>
        </w:rPr>
        <w:t>available</w:t>
      </w:r>
      <w:r w:rsidR="00C1548A" w:rsidRPr="00173826">
        <w:rPr>
          <w:rFonts w:asciiTheme="majorHAnsi" w:hAnsiTheme="majorHAnsi"/>
        </w:rPr>
        <w:t xml:space="preserve"> for surge support</w:t>
      </w:r>
    </w:p>
    <w:p w14:paraId="5B38DB10" w14:textId="1623066B" w:rsidR="00DB3B0E" w:rsidRPr="00173826" w:rsidRDefault="00DB3B0E" w:rsidP="00FE7770">
      <w:pPr>
        <w:numPr>
          <w:ilvl w:val="1"/>
          <w:numId w:val="14"/>
        </w:numPr>
        <w:ind w:left="720"/>
        <w:jc w:val="both"/>
        <w:rPr>
          <w:rFonts w:asciiTheme="majorHAnsi" w:hAnsiTheme="majorHAnsi"/>
        </w:rPr>
      </w:pPr>
      <w:r w:rsidRPr="00173826">
        <w:rPr>
          <w:rFonts w:asciiTheme="majorHAnsi" w:hAnsiTheme="majorHAnsi"/>
        </w:rPr>
        <w:t xml:space="preserve">Increased </w:t>
      </w:r>
      <w:r w:rsidR="00BB5CBD" w:rsidRPr="00173826">
        <w:rPr>
          <w:rFonts w:asciiTheme="majorHAnsi" w:hAnsiTheme="majorHAnsi"/>
        </w:rPr>
        <w:t>deployment of individual</w:t>
      </w:r>
      <w:r w:rsidR="001952AA">
        <w:rPr>
          <w:rFonts w:asciiTheme="majorHAnsi" w:hAnsiTheme="majorHAnsi"/>
        </w:rPr>
        <w:t>s</w:t>
      </w:r>
      <w:r w:rsidR="007D1C94" w:rsidRPr="00173826">
        <w:rPr>
          <w:rFonts w:asciiTheme="majorHAnsi" w:hAnsiTheme="majorHAnsi"/>
        </w:rPr>
        <w:t xml:space="preserve"> to support </w:t>
      </w:r>
      <w:r w:rsidRPr="00173826">
        <w:rPr>
          <w:rFonts w:asciiTheme="majorHAnsi" w:hAnsiTheme="majorHAnsi"/>
        </w:rPr>
        <w:t>country clusters at strategic times</w:t>
      </w:r>
      <w:r w:rsidRPr="00173826">
        <w:rPr>
          <w:rStyle w:val="FootnoteReference"/>
          <w:rFonts w:asciiTheme="majorHAnsi" w:hAnsiTheme="majorHAnsi"/>
        </w:rPr>
        <w:footnoteReference w:id="16"/>
      </w:r>
      <w:r w:rsidRPr="00173826">
        <w:rPr>
          <w:rFonts w:asciiTheme="majorHAnsi" w:hAnsiTheme="majorHAnsi"/>
        </w:rPr>
        <w:t xml:space="preserve"> </w:t>
      </w:r>
    </w:p>
    <w:p w14:paraId="689BE909" w14:textId="5C703845" w:rsidR="001952AA" w:rsidRDefault="001952AA" w:rsidP="00FE7770">
      <w:pPr>
        <w:numPr>
          <w:ilvl w:val="1"/>
          <w:numId w:val="14"/>
        </w:numPr>
        <w:ind w:left="720"/>
        <w:jc w:val="both"/>
        <w:rPr>
          <w:rFonts w:asciiTheme="majorHAnsi" w:hAnsiTheme="majorHAnsi"/>
        </w:rPr>
      </w:pPr>
      <w:r>
        <w:rPr>
          <w:rFonts w:asciiTheme="majorHAnsi" w:hAnsiTheme="majorHAnsi"/>
        </w:rPr>
        <w:t xml:space="preserve">Decreased number of nutrition cluster staffing gaps </w:t>
      </w:r>
    </w:p>
    <w:p w14:paraId="5F0ABAD3" w14:textId="0C79993E" w:rsidR="00793ED7" w:rsidRDefault="0003103B" w:rsidP="00FE7770">
      <w:pPr>
        <w:numPr>
          <w:ilvl w:val="1"/>
          <w:numId w:val="14"/>
        </w:numPr>
        <w:ind w:left="720"/>
        <w:jc w:val="both"/>
        <w:rPr>
          <w:rFonts w:asciiTheme="majorHAnsi" w:hAnsiTheme="majorHAnsi"/>
        </w:rPr>
      </w:pPr>
      <w:r w:rsidRPr="00173826">
        <w:rPr>
          <w:rFonts w:asciiTheme="majorHAnsi" w:hAnsiTheme="majorHAnsi"/>
        </w:rPr>
        <w:t>C</w:t>
      </w:r>
      <w:r w:rsidR="00FC21A4" w:rsidRPr="00173826">
        <w:rPr>
          <w:rFonts w:asciiTheme="majorHAnsi" w:hAnsiTheme="majorHAnsi"/>
        </w:rPr>
        <w:t xml:space="preserve">ontinuous funding of </w:t>
      </w:r>
      <w:r w:rsidR="007D1C94" w:rsidRPr="00173826">
        <w:rPr>
          <w:rFonts w:asciiTheme="majorHAnsi" w:hAnsiTheme="majorHAnsi"/>
        </w:rPr>
        <w:t xml:space="preserve">the </w:t>
      </w:r>
      <w:r w:rsidR="00FC21A4" w:rsidRPr="00173826">
        <w:rPr>
          <w:rFonts w:asciiTheme="majorHAnsi" w:hAnsiTheme="majorHAnsi"/>
        </w:rPr>
        <w:t>RRT</w:t>
      </w:r>
    </w:p>
    <w:p w14:paraId="58B9FD27" w14:textId="7A85585D" w:rsidR="001952AA" w:rsidRPr="00173826" w:rsidRDefault="001952AA" w:rsidP="00FE7770">
      <w:pPr>
        <w:numPr>
          <w:ilvl w:val="1"/>
          <w:numId w:val="14"/>
        </w:numPr>
        <w:ind w:left="720"/>
        <w:jc w:val="both"/>
        <w:rPr>
          <w:rFonts w:asciiTheme="majorHAnsi" w:hAnsiTheme="majorHAnsi"/>
        </w:rPr>
      </w:pPr>
      <w:r>
        <w:rPr>
          <w:rFonts w:asciiTheme="majorHAnsi" w:hAnsiTheme="majorHAnsi"/>
        </w:rPr>
        <w:t>Functional alert system for deteriorating nutrition situations in countries</w:t>
      </w:r>
    </w:p>
    <w:p w14:paraId="3C4AAD6A" w14:textId="77777777" w:rsidR="00C1548A" w:rsidRPr="00173826" w:rsidRDefault="00C1548A" w:rsidP="00FE7770">
      <w:pPr>
        <w:ind w:left="720"/>
        <w:jc w:val="both"/>
        <w:rPr>
          <w:rFonts w:asciiTheme="majorHAnsi" w:hAnsiTheme="majorHAnsi"/>
        </w:rPr>
      </w:pPr>
    </w:p>
    <w:p w14:paraId="39AE1ECC" w14:textId="77777777" w:rsidR="00793ED7" w:rsidRPr="00173826" w:rsidRDefault="00793ED7" w:rsidP="00FE7770">
      <w:pPr>
        <w:jc w:val="both"/>
        <w:rPr>
          <w:rFonts w:asciiTheme="majorHAnsi" w:hAnsiTheme="majorHAnsi"/>
          <w:b/>
        </w:rPr>
      </w:pPr>
      <w:r w:rsidRPr="00173826">
        <w:rPr>
          <w:rFonts w:asciiTheme="majorHAnsi" w:hAnsiTheme="majorHAnsi"/>
          <w:b/>
        </w:rPr>
        <w:t>Priority activities</w:t>
      </w:r>
    </w:p>
    <w:p w14:paraId="1C9CE4C9" w14:textId="01CF8027" w:rsidR="001300F7" w:rsidRPr="00A22DAB" w:rsidRDefault="0044313F" w:rsidP="00FE7770">
      <w:pPr>
        <w:jc w:val="both"/>
        <w:rPr>
          <w:rFonts w:asciiTheme="majorHAnsi" w:hAnsiTheme="majorHAnsi"/>
          <w:i/>
        </w:rPr>
      </w:pPr>
      <w:r w:rsidRPr="00A22DAB">
        <w:rPr>
          <w:rFonts w:asciiTheme="majorHAnsi" w:hAnsiTheme="majorHAnsi"/>
          <w:i/>
        </w:rPr>
        <w:t>Objective 1</w:t>
      </w:r>
    </w:p>
    <w:p w14:paraId="25A370C0" w14:textId="51BAD6D6" w:rsidR="001300F7" w:rsidRPr="00173826" w:rsidRDefault="0044313F" w:rsidP="00FE7770">
      <w:pPr>
        <w:pStyle w:val="ListParagraph"/>
        <w:numPr>
          <w:ilvl w:val="0"/>
          <w:numId w:val="23"/>
        </w:numPr>
        <w:jc w:val="both"/>
        <w:rPr>
          <w:rFonts w:asciiTheme="majorHAnsi" w:hAnsiTheme="majorHAnsi"/>
          <w:b/>
        </w:rPr>
      </w:pPr>
      <w:r w:rsidRPr="00173826">
        <w:rPr>
          <w:rFonts w:asciiTheme="majorHAnsi" w:hAnsiTheme="majorHAnsi" w:cs="Lucida Grande"/>
          <w:color w:val="000000"/>
        </w:rPr>
        <w:t xml:space="preserve">Maintain </w:t>
      </w:r>
      <w:r w:rsidR="00212919">
        <w:rPr>
          <w:rFonts w:asciiTheme="majorHAnsi" w:hAnsiTheme="majorHAnsi" w:cs="Lucida Grande"/>
          <w:color w:val="000000"/>
        </w:rPr>
        <w:t>eight to ten</w:t>
      </w:r>
      <w:r w:rsidRPr="00173826">
        <w:rPr>
          <w:rFonts w:asciiTheme="majorHAnsi" w:hAnsiTheme="majorHAnsi" w:cs="Lucida Grande"/>
          <w:color w:val="000000"/>
        </w:rPr>
        <w:t xml:space="preserve"> </w:t>
      </w:r>
      <w:r w:rsidR="00D8179D">
        <w:rPr>
          <w:rFonts w:asciiTheme="majorHAnsi" w:hAnsiTheme="majorHAnsi" w:cs="Lucida Grande"/>
          <w:color w:val="000000"/>
        </w:rPr>
        <w:t>Standby Partner (SBP) staff</w:t>
      </w:r>
      <w:r w:rsidRPr="00173826">
        <w:rPr>
          <w:rFonts w:asciiTheme="majorHAnsi" w:hAnsiTheme="majorHAnsi" w:cs="Lucida Grande"/>
          <w:color w:val="000000"/>
        </w:rPr>
        <w:t xml:space="preserve"> who have the capacity to provide nutrition coordination and IM surge support</w:t>
      </w:r>
    </w:p>
    <w:p w14:paraId="238769F4" w14:textId="77777777" w:rsidR="00D8179D" w:rsidRPr="00D8179D" w:rsidRDefault="0044313F" w:rsidP="00FE7770">
      <w:pPr>
        <w:pStyle w:val="ListParagraph"/>
        <w:numPr>
          <w:ilvl w:val="0"/>
          <w:numId w:val="22"/>
        </w:numPr>
        <w:jc w:val="both"/>
        <w:rPr>
          <w:rFonts w:asciiTheme="majorHAnsi" w:hAnsiTheme="majorHAnsi"/>
        </w:rPr>
      </w:pPr>
      <w:r w:rsidRPr="00173826">
        <w:rPr>
          <w:rFonts w:asciiTheme="majorHAnsi" w:hAnsiTheme="majorHAnsi" w:cs="Lucida Grande"/>
          <w:color w:val="000000"/>
        </w:rPr>
        <w:t xml:space="preserve">Deploy trained surge NCC/IMOs to country clusters to </w:t>
      </w:r>
      <w:r w:rsidR="00D8179D" w:rsidRPr="00173826">
        <w:rPr>
          <w:rFonts w:asciiTheme="majorHAnsi" w:hAnsiTheme="majorHAnsi" w:cs="Lucida Grande"/>
          <w:color w:val="000000"/>
        </w:rPr>
        <w:t>fulfill</w:t>
      </w:r>
      <w:r w:rsidRPr="00173826">
        <w:rPr>
          <w:rFonts w:asciiTheme="majorHAnsi" w:hAnsiTheme="majorHAnsi" w:cs="Lucida Grande"/>
          <w:color w:val="000000"/>
        </w:rPr>
        <w:t xml:space="preserve"> core c</w:t>
      </w:r>
      <w:r w:rsidR="00D8179D">
        <w:rPr>
          <w:rFonts w:asciiTheme="majorHAnsi" w:hAnsiTheme="majorHAnsi" w:cs="Lucida Grande"/>
          <w:color w:val="000000"/>
        </w:rPr>
        <w:t xml:space="preserve">luster functions </w:t>
      </w:r>
    </w:p>
    <w:p w14:paraId="7E60AF5C" w14:textId="0E3C197D" w:rsidR="0044313F" w:rsidRPr="00173826" w:rsidRDefault="00D8179D" w:rsidP="00FE7770">
      <w:pPr>
        <w:pStyle w:val="ListParagraph"/>
        <w:numPr>
          <w:ilvl w:val="0"/>
          <w:numId w:val="22"/>
        </w:numPr>
        <w:jc w:val="both"/>
        <w:rPr>
          <w:rFonts w:asciiTheme="majorHAnsi" w:hAnsiTheme="majorHAnsi"/>
        </w:rPr>
      </w:pPr>
      <w:r>
        <w:rPr>
          <w:rFonts w:asciiTheme="majorHAnsi" w:hAnsiTheme="majorHAnsi" w:cs="Lucida Grande"/>
          <w:color w:val="000000"/>
        </w:rPr>
        <w:t>A</w:t>
      </w:r>
      <w:r w:rsidR="0044313F" w:rsidRPr="00173826">
        <w:rPr>
          <w:rFonts w:asciiTheme="majorHAnsi" w:hAnsiTheme="majorHAnsi" w:cs="Lucida Grande"/>
          <w:color w:val="000000"/>
        </w:rPr>
        <w:t>dvocate for and se</w:t>
      </w:r>
      <w:r w:rsidR="00212919">
        <w:rPr>
          <w:rFonts w:asciiTheme="majorHAnsi" w:hAnsiTheme="majorHAnsi" w:cs="Lucida Grande"/>
          <w:color w:val="000000"/>
        </w:rPr>
        <w:t>cure funding for RRT function (four NCCs and two</w:t>
      </w:r>
      <w:r w:rsidR="0044313F" w:rsidRPr="00173826">
        <w:rPr>
          <w:rFonts w:asciiTheme="majorHAnsi" w:hAnsiTheme="majorHAnsi" w:cs="Lucida Grande"/>
          <w:color w:val="000000"/>
        </w:rPr>
        <w:t xml:space="preserve"> IMOs)</w:t>
      </w:r>
    </w:p>
    <w:p w14:paraId="59A5C6BE" w14:textId="77777777" w:rsidR="0044313F" w:rsidRPr="00173826" w:rsidRDefault="0044313F" w:rsidP="00FE7770">
      <w:pPr>
        <w:pStyle w:val="ListParagraph"/>
        <w:numPr>
          <w:ilvl w:val="0"/>
          <w:numId w:val="22"/>
        </w:numPr>
        <w:jc w:val="both"/>
        <w:rPr>
          <w:rFonts w:asciiTheme="majorHAnsi" w:hAnsiTheme="majorHAnsi"/>
        </w:rPr>
      </w:pPr>
      <w:r w:rsidRPr="00173826">
        <w:rPr>
          <w:rFonts w:asciiTheme="majorHAnsi" w:hAnsiTheme="majorHAnsi" w:cs="Lucida Grande"/>
          <w:color w:val="000000"/>
        </w:rPr>
        <w:t>Support country clusters in the development of mid and long-term HR transition plans for cluster coordination/information management from surge</w:t>
      </w:r>
    </w:p>
    <w:p w14:paraId="54ACBD40" w14:textId="38CE5412" w:rsidR="0044313F" w:rsidRPr="00173826" w:rsidRDefault="00D8179D" w:rsidP="00FE7770">
      <w:pPr>
        <w:pStyle w:val="ListParagraph"/>
        <w:numPr>
          <w:ilvl w:val="0"/>
          <w:numId w:val="22"/>
        </w:numPr>
        <w:jc w:val="both"/>
        <w:rPr>
          <w:rFonts w:asciiTheme="majorHAnsi" w:hAnsiTheme="majorHAnsi"/>
        </w:rPr>
      </w:pPr>
      <w:r>
        <w:rPr>
          <w:rFonts w:asciiTheme="majorHAnsi" w:hAnsiTheme="majorHAnsi" w:cs="Lucida Grande"/>
          <w:color w:val="000000"/>
        </w:rPr>
        <w:t>Support the</w:t>
      </w:r>
      <w:r w:rsidR="0044313F" w:rsidRPr="00173826">
        <w:rPr>
          <w:rFonts w:asciiTheme="majorHAnsi" w:hAnsiTheme="majorHAnsi" w:cs="Lucida Grande"/>
          <w:color w:val="000000"/>
        </w:rPr>
        <w:t xml:space="preserve"> Cluster Performance Monitoring exercise at country level </w:t>
      </w:r>
      <w:r>
        <w:rPr>
          <w:rFonts w:asciiTheme="majorHAnsi" w:hAnsiTheme="majorHAnsi" w:cs="Lucida Grande"/>
          <w:color w:val="000000"/>
        </w:rPr>
        <w:t xml:space="preserve">where needed </w:t>
      </w:r>
    </w:p>
    <w:p w14:paraId="03E24D77" w14:textId="5E7BFE78" w:rsidR="0044313F" w:rsidRPr="00173826" w:rsidRDefault="0044313F" w:rsidP="00FE7770">
      <w:pPr>
        <w:pStyle w:val="ListParagraph"/>
        <w:numPr>
          <w:ilvl w:val="0"/>
          <w:numId w:val="22"/>
        </w:numPr>
        <w:jc w:val="both"/>
        <w:rPr>
          <w:rFonts w:asciiTheme="majorHAnsi" w:hAnsiTheme="majorHAnsi"/>
        </w:rPr>
      </w:pPr>
      <w:r w:rsidRPr="00173826">
        <w:rPr>
          <w:rFonts w:asciiTheme="majorHAnsi" w:hAnsiTheme="majorHAnsi" w:cs="Lucida Grande"/>
          <w:color w:val="000000"/>
        </w:rPr>
        <w:t>Establish a system for systematically flagging the countries with potential deterioration of nutrition status</w:t>
      </w:r>
    </w:p>
    <w:p w14:paraId="118C1C32" w14:textId="05059F80" w:rsidR="0044313F" w:rsidRPr="00173826" w:rsidRDefault="0044313F" w:rsidP="00FE7770">
      <w:pPr>
        <w:pStyle w:val="ListParagraph"/>
        <w:numPr>
          <w:ilvl w:val="0"/>
          <w:numId w:val="22"/>
        </w:numPr>
        <w:jc w:val="both"/>
        <w:rPr>
          <w:rFonts w:asciiTheme="majorHAnsi" w:hAnsiTheme="majorHAnsi"/>
        </w:rPr>
      </w:pPr>
      <w:r w:rsidRPr="00173826">
        <w:rPr>
          <w:rFonts w:asciiTheme="majorHAnsi" w:hAnsiTheme="majorHAnsi" w:cs="Lucida Grande"/>
          <w:color w:val="000000"/>
        </w:rPr>
        <w:t xml:space="preserve">Conduct evaluation of the RRT. </w:t>
      </w:r>
    </w:p>
    <w:p w14:paraId="0B8658BB" w14:textId="77777777" w:rsidR="0044313F" w:rsidRPr="00173826" w:rsidRDefault="0044313F" w:rsidP="00FE7770">
      <w:pPr>
        <w:pStyle w:val="ListParagraph"/>
        <w:jc w:val="both"/>
        <w:rPr>
          <w:rFonts w:asciiTheme="majorHAnsi" w:hAnsiTheme="majorHAnsi"/>
        </w:rPr>
      </w:pPr>
    </w:p>
    <w:p w14:paraId="44F834E3" w14:textId="2CD0567E" w:rsidR="0015781C" w:rsidRPr="00A22DAB" w:rsidRDefault="0044313F" w:rsidP="00FE7770">
      <w:pPr>
        <w:jc w:val="both"/>
        <w:rPr>
          <w:rFonts w:asciiTheme="majorHAnsi" w:hAnsiTheme="majorHAnsi"/>
          <w:i/>
        </w:rPr>
      </w:pPr>
      <w:r w:rsidRPr="00A22DAB">
        <w:rPr>
          <w:rFonts w:asciiTheme="majorHAnsi" w:hAnsiTheme="majorHAnsi"/>
          <w:i/>
        </w:rPr>
        <w:t>Objective 2</w:t>
      </w:r>
    </w:p>
    <w:p w14:paraId="1FF068B7" w14:textId="19450CCE" w:rsidR="0044313F" w:rsidRPr="00173826" w:rsidRDefault="001952AA" w:rsidP="00FE7770">
      <w:pPr>
        <w:pStyle w:val="ListParagraph"/>
        <w:numPr>
          <w:ilvl w:val="0"/>
          <w:numId w:val="22"/>
        </w:numPr>
        <w:jc w:val="both"/>
        <w:rPr>
          <w:rFonts w:asciiTheme="majorHAnsi" w:hAnsiTheme="majorHAnsi"/>
        </w:rPr>
      </w:pPr>
      <w:r>
        <w:rPr>
          <w:rFonts w:asciiTheme="majorHAnsi" w:hAnsiTheme="majorHAnsi" w:cs="Lucida Grande"/>
          <w:color w:val="000000"/>
        </w:rPr>
        <w:t>Establish</w:t>
      </w:r>
      <w:r w:rsidR="0044313F" w:rsidRPr="00173826">
        <w:rPr>
          <w:rFonts w:asciiTheme="majorHAnsi" w:hAnsiTheme="majorHAnsi" w:cs="Lucida Grande"/>
          <w:color w:val="000000"/>
        </w:rPr>
        <w:t xml:space="preserve"> surge technical capacity in IY</w:t>
      </w:r>
      <w:r w:rsidR="00D8179D">
        <w:rPr>
          <w:rFonts w:asciiTheme="majorHAnsi" w:hAnsiTheme="majorHAnsi" w:cs="Lucida Grande"/>
          <w:color w:val="000000"/>
        </w:rPr>
        <w:t xml:space="preserve">CF-E, Nutrition Assessment </w:t>
      </w:r>
      <w:r w:rsidR="0044313F" w:rsidRPr="00173826">
        <w:rPr>
          <w:rFonts w:asciiTheme="majorHAnsi" w:hAnsiTheme="majorHAnsi" w:cs="Lucida Grande"/>
          <w:color w:val="000000"/>
        </w:rPr>
        <w:t>and CMAM (2 IYCF-E, 1 NAs and 1 CMAM)</w:t>
      </w:r>
    </w:p>
    <w:p w14:paraId="32CB8612" w14:textId="0C23AF50" w:rsidR="00457522" w:rsidRPr="00173826" w:rsidRDefault="003455EA" w:rsidP="00FE7770">
      <w:pPr>
        <w:jc w:val="both"/>
        <w:rPr>
          <w:rFonts w:asciiTheme="majorHAnsi" w:hAnsiTheme="majorHAnsi"/>
        </w:rPr>
      </w:pPr>
      <w:r w:rsidRPr="00173826">
        <w:rPr>
          <w:rFonts w:asciiTheme="majorHAnsi" w:hAnsiTheme="majorHAnsi"/>
          <w:noProof/>
        </w:rPr>
        <mc:AlternateContent>
          <mc:Choice Requires="wps">
            <w:drawing>
              <wp:anchor distT="0" distB="0" distL="114300" distR="114300" simplePos="0" relativeHeight="251677696" behindDoc="0" locked="0" layoutInCell="1" allowOverlap="1" wp14:anchorId="054A707B" wp14:editId="246CFF61">
                <wp:simplePos x="0" y="0"/>
                <wp:positionH relativeFrom="column">
                  <wp:posOffset>0</wp:posOffset>
                </wp:positionH>
                <wp:positionV relativeFrom="paragraph">
                  <wp:posOffset>170815</wp:posOffset>
                </wp:positionV>
                <wp:extent cx="5486400" cy="262255"/>
                <wp:effectExtent l="0" t="0" r="25400" b="17145"/>
                <wp:wrapSquare wrapText="bothSides"/>
                <wp:docPr id="11" name="Text Box 11"/>
                <wp:cNvGraphicFramePr/>
                <a:graphic xmlns:a="http://schemas.openxmlformats.org/drawingml/2006/main">
                  <a:graphicData uri="http://schemas.microsoft.com/office/word/2010/wordprocessingShape">
                    <wps:wsp>
                      <wps:cNvSpPr txBox="1"/>
                      <wps:spPr>
                        <a:xfrm>
                          <a:off x="0" y="0"/>
                          <a:ext cx="5486400" cy="262255"/>
                        </a:xfrm>
                        <a:prstGeom prst="rect">
                          <a:avLst/>
                        </a:prstGeom>
                        <a:noFill/>
                        <a:ln>
                          <a:solidFill>
                            <a:schemeClr val="tx1"/>
                          </a:solidFill>
                        </a:ln>
                        <a:effectLst/>
                        <a:extLst>
                          <a:ext uri="{C572A759-6A51-4108-AA02-DFA0A04FC94B}">
                            <ma14:wrappingTextBoxFlag xmlns:ma14="http://schemas.microsoft.com/office/mac/drawingml/2011/main"/>
                          </a:ext>
                        </a:extLst>
                      </wps:spPr>
                      <wps:txbx>
                        <w:txbxContent>
                          <w:p w14:paraId="0DC429C9" w14:textId="1DA6541D" w:rsidR="00281E85" w:rsidRPr="00DB3766" w:rsidRDefault="00281E85">
                            <w:pPr>
                              <w:rPr>
                                <w:b/>
                                <w:bCs/>
                              </w:rPr>
                            </w:pPr>
                            <w:r w:rsidRPr="002D15F2">
                              <w:rPr>
                                <w:b/>
                                <w:bCs/>
                              </w:rPr>
                              <w:t>Pillar 4. Information and Knowledge Management</w:t>
                            </w:r>
                            <w:r>
                              <w:rPr>
                                <w:b/>
                                <w:bCs/>
                              </w:rPr>
                              <w:t xml:space="preserve"> (IM/KM)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1" o:spid="_x0000_s1033" type="#_x0000_t202" style="position:absolute;left:0;text-align:left;margin-left:0;margin-top:13.45pt;width:6in;height:20.6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" filled="f" strokecolor="black [3213]">
                <v:textbox style="mso-fit-shape-to-text:t">
                  <w:txbxContent>
                    <w:p w14:paraId="0DC429C9" w14:textId="1DA6541D" w:rsidR="00FE7770" w:rsidRPr="00DB3766" w:rsidRDefault="00FE7770">
                      <w:pPr>
                        <w:rPr>
                          <w:b/>
                          <w:bCs/>
                        </w:rPr>
                      </w:pPr>
                      <w:r w:rsidRPr="002D15F2">
                        <w:rPr>
                          <w:b/>
                          <w:bCs/>
                        </w:rPr>
                        <w:t>Pillar 4. Information and Knowledge Management</w:t>
                      </w:r>
                      <w:r>
                        <w:rPr>
                          <w:b/>
                          <w:bCs/>
                        </w:rPr>
                        <w:t xml:space="preserve"> (IM/KM) </w:t>
                      </w:r>
                    </w:p>
                  </w:txbxContent>
                </v:textbox>
                <w10:wrap type="square"/>
              </v:shape>
            </w:pict>
          </mc:Fallback>
        </mc:AlternateContent>
      </w:r>
    </w:p>
    <w:p w14:paraId="79D9F24A" w14:textId="77777777" w:rsidR="00BA40B1" w:rsidRPr="00173826" w:rsidRDefault="00BA40B1" w:rsidP="00FE7770">
      <w:pPr>
        <w:jc w:val="both"/>
        <w:rPr>
          <w:rFonts w:asciiTheme="majorHAnsi" w:hAnsiTheme="majorHAnsi"/>
          <w:b/>
        </w:rPr>
      </w:pPr>
    </w:p>
    <w:p w14:paraId="15192A47" w14:textId="5C380859" w:rsidR="008B2B66" w:rsidRDefault="008B2B66" w:rsidP="00FE7770">
      <w:pPr>
        <w:jc w:val="both"/>
        <w:rPr>
          <w:rFonts w:asciiTheme="majorHAnsi" w:hAnsiTheme="majorHAnsi"/>
          <w:bCs/>
        </w:rPr>
      </w:pPr>
      <w:r>
        <w:rPr>
          <w:rFonts w:asciiTheme="majorHAnsi" w:hAnsiTheme="majorHAnsi"/>
          <w:bCs/>
        </w:rPr>
        <w:t xml:space="preserve">This includes managing </w:t>
      </w:r>
      <w:r w:rsidRPr="00173826">
        <w:rPr>
          <w:rFonts w:asciiTheme="majorHAnsi" w:hAnsiTheme="majorHAnsi"/>
          <w:bCs/>
        </w:rPr>
        <w:t>appropriate nutritional and coordination information</w:t>
      </w:r>
      <w:r>
        <w:rPr>
          <w:rFonts w:asciiTheme="majorHAnsi" w:hAnsiTheme="majorHAnsi"/>
          <w:bCs/>
        </w:rPr>
        <w:t xml:space="preserve"> and the</w:t>
      </w:r>
      <w:r w:rsidRPr="00173826">
        <w:rPr>
          <w:rFonts w:asciiTheme="majorHAnsi" w:hAnsiTheme="majorHAnsi"/>
          <w:bCs/>
        </w:rPr>
        <w:t xml:space="preserve"> capturing, developing, sharing and using relevant knowledge and experiences.</w:t>
      </w:r>
    </w:p>
    <w:p w14:paraId="686D0DA0" w14:textId="77777777" w:rsidR="008B2B66" w:rsidRDefault="008B2B66" w:rsidP="00FE7770">
      <w:pPr>
        <w:jc w:val="both"/>
        <w:rPr>
          <w:rFonts w:asciiTheme="majorHAnsi" w:hAnsiTheme="majorHAnsi"/>
          <w:bCs/>
        </w:rPr>
      </w:pPr>
    </w:p>
    <w:p w14:paraId="393100A3" w14:textId="2AA5CE95" w:rsidR="00BA40B1" w:rsidRPr="00173826" w:rsidRDefault="002F1508" w:rsidP="00FE7770">
      <w:pPr>
        <w:jc w:val="both"/>
        <w:rPr>
          <w:rFonts w:asciiTheme="majorHAnsi" w:hAnsiTheme="majorHAnsi"/>
          <w:bCs/>
        </w:rPr>
      </w:pPr>
      <w:r w:rsidRPr="00173826">
        <w:rPr>
          <w:rFonts w:asciiTheme="majorHAnsi" w:hAnsiTheme="majorHAnsi"/>
          <w:bCs/>
        </w:rPr>
        <w:t xml:space="preserve">The Nutrition Cluster </w:t>
      </w:r>
      <w:r w:rsidR="008B2B66">
        <w:rPr>
          <w:rFonts w:asciiTheme="majorHAnsi" w:hAnsiTheme="majorHAnsi"/>
          <w:bCs/>
        </w:rPr>
        <w:t xml:space="preserve">IM/KM </w:t>
      </w:r>
      <w:r w:rsidRPr="00173826">
        <w:rPr>
          <w:rFonts w:asciiTheme="majorHAnsi" w:hAnsiTheme="majorHAnsi"/>
          <w:bCs/>
        </w:rPr>
        <w:t>activities will build off of and co</w:t>
      </w:r>
      <w:r w:rsidR="00A85B27" w:rsidRPr="00173826">
        <w:rPr>
          <w:rFonts w:asciiTheme="majorHAnsi" w:hAnsiTheme="majorHAnsi"/>
          <w:bCs/>
        </w:rPr>
        <w:t>ntribute to the UNICEF-led inter</w:t>
      </w:r>
      <w:r w:rsidR="003C3E7C" w:rsidRPr="00173826">
        <w:rPr>
          <w:rFonts w:asciiTheme="majorHAnsi" w:hAnsiTheme="majorHAnsi"/>
          <w:bCs/>
        </w:rPr>
        <w:t>-</w:t>
      </w:r>
      <w:r w:rsidRPr="00173826">
        <w:rPr>
          <w:rFonts w:asciiTheme="majorHAnsi" w:hAnsiTheme="majorHAnsi"/>
          <w:bCs/>
        </w:rPr>
        <w:t>cluster IM/KM taskforce.</w:t>
      </w:r>
    </w:p>
    <w:p w14:paraId="12E209AD" w14:textId="77777777" w:rsidR="00BA40B1" w:rsidRPr="00173826" w:rsidRDefault="00BA40B1" w:rsidP="00FE7770">
      <w:pPr>
        <w:jc w:val="both"/>
        <w:rPr>
          <w:rFonts w:asciiTheme="majorHAnsi" w:hAnsiTheme="majorHAnsi"/>
          <w:b/>
        </w:rPr>
      </w:pPr>
    </w:p>
    <w:p w14:paraId="23C5E82D" w14:textId="5555B86A" w:rsidR="00793ED7" w:rsidRPr="00173826" w:rsidRDefault="001300F7" w:rsidP="00FE7770">
      <w:pPr>
        <w:jc w:val="both"/>
        <w:rPr>
          <w:rFonts w:asciiTheme="majorHAnsi" w:hAnsiTheme="majorHAnsi"/>
          <w:b/>
        </w:rPr>
      </w:pPr>
      <w:r w:rsidRPr="00173826">
        <w:rPr>
          <w:rFonts w:asciiTheme="majorHAnsi" w:hAnsiTheme="majorHAnsi"/>
          <w:b/>
        </w:rPr>
        <w:t>O</w:t>
      </w:r>
      <w:r w:rsidR="00793ED7" w:rsidRPr="00173826">
        <w:rPr>
          <w:rFonts w:asciiTheme="majorHAnsi" w:hAnsiTheme="majorHAnsi"/>
          <w:b/>
        </w:rPr>
        <w:t>bjective</w:t>
      </w:r>
      <w:r w:rsidR="003455EA" w:rsidRPr="00173826">
        <w:rPr>
          <w:rFonts w:asciiTheme="majorHAnsi" w:hAnsiTheme="majorHAnsi"/>
          <w:b/>
        </w:rPr>
        <w:t>s</w:t>
      </w:r>
    </w:p>
    <w:p w14:paraId="320844B8" w14:textId="02AAE518" w:rsidR="003455EA" w:rsidRPr="00173826" w:rsidRDefault="00B062B7" w:rsidP="00FE7770">
      <w:pPr>
        <w:jc w:val="both"/>
        <w:rPr>
          <w:rFonts w:asciiTheme="majorHAnsi" w:hAnsiTheme="majorHAnsi"/>
        </w:rPr>
      </w:pPr>
      <w:r w:rsidRPr="00173826">
        <w:rPr>
          <w:rFonts w:asciiTheme="majorHAnsi" w:hAnsiTheme="majorHAnsi"/>
        </w:rPr>
        <w:t>The objective</w:t>
      </w:r>
      <w:r w:rsidR="009C4347" w:rsidRPr="00173826">
        <w:rPr>
          <w:rFonts w:asciiTheme="majorHAnsi" w:hAnsiTheme="majorHAnsi"/>
        </w:rPr>
        <w:t>s of this pillar are</w:t>
      </w:r>
    </w:p>
    <w:p w14:paraId="144755E8" w14:textId="26177E94" w:rsidR="00893856" w:rsidRPr="00173826" w:rsidRDefault="00893856" w:rsidP="006C2C3A">
      <w:pPr>
        <w:pStyle w:val="ListParagraph"/>
        <w:numPr>
          <w:ilvl w:val="0"/>
          <w:numId w:val="26"/>
        </w:numPr>
        <w:spacing w:after="200" w:line="276" w:lineRule="auto"/>
        <w:jc w:val="both"/>
        <w:rPr>
          <w:rFonts w:asciiTheme="majorHAnsi" w:hAnsiTheme="majorHAnsi"/>
        </w:rPr>
      </w:pPr>
      <w:r w:rsidRPr="00173826">
        <w:rPr>
          <w:rFonts w:asciiTheme="majorHAnsi" w:hAnsiTheme="majorHAnsi" w:cs="Lucida Grande"/>
          <w:color w:val="000000"/>
        </w:rPr>
        <w:t>To ensure country level clusters have the harmonised tools and guidance required for effective information management</w:t>
      </w:r>
    </w:p>
    <w:p w14:paraId="24B6A6A2" w14:textId="77777777" w:rsidR="00893856" w:rsidRPr="00173826" w:rsidRDefault="00893856" w:rsidP="002C6AA5">
      <w:pPr>
        <w:pStyle w:val="ListParagraph"/>
        <w:numPr>
          <w:ilvl w:val="0"/>
          <w:numId w:val="26"/>
        </w:numPr>
        <w:spacing w:after="200" w:line="276" w:lineRule="auto"/>
        <w:jc w:val="both"/>
        <w:rPr>
          <w:rFonts w:asciiTheme="majorHAnsi" w:hAnsiTheme="majorHAnsi"/>
        </w:rPr>
      </w:pPr>
      <w:r w:rsidRPr="00173826">
        <w:rPr>
          <w:rFonts w:asciiTheme="majorHAnsi" w:hAnsiTheme="majorHAnsi" w:cs="Lucida Grande"/>
          <w:color w:val="000000"/>
        </w:rPr>
        <w:lastRenderedPageBreak/>
        <w:t>To strengthen systems and capacity for documenting and sharing information and knowledge/ learning in effective cluster response at country and global level</w:t>
      </w:r>
    </w:p>
    <w:p w14:paraId="20A78E91" w14:textId="33BE884C" w:rsidR="00793ED7" w:rsidRPr="00173826" w:rsidRDefault="00232B7D" w:rsidP="00FE7770">
      <w:pPr>
        <w:jc w:val="both"/>
        <w:rPr>
          <w:rFonts w:asciiTheme="majorHAnsi" w:hAnsiTheme="majorHAnsi"/>
          <w:b/>
        </w:rPr>
      </w:pPr>
      <w:r w:rsidRPr="00173826">
        <w:rPr>
          <w:rFonts w:asciiTheme="majorHAnsi" w:hAnsiTheme="majorHAnsi"/>
          <w:b/>
        </w:rPr>
        <w:t>Expected</w:t>
      </w:r>
      <w:r w:rsidR="00793ED7" w:rsidRPr="00173826">
        <w:rPr>
          <w:rFonts w:asciiTheme="majorHAnsi" w:hAnsiTheme="majorHAnsi"/>
          <w:b/>
        </w:rPr>
        <w:t xml:space="preserve"> results</w:t>
      </w:r>
    </w:p>
    <w:p w14:paraId="25C399C9" w14:textId="23AD432B" w:rsidR="00B2294E" w:rsidRPr="00173826" w:rsidRDefault="009C4347" w:rsidP="00FE7770">
      <w:pPr>
        <w:pStyle w:val="ListParagraph"/>
        <w:numPr>
          <w:ilvl w:val="0"/>
          <w:numId w:val="21"/>
        </w:numPr>
        <w:ind w:left="720"/>
        <w:jc w:val="both"/>
        <w:rPr>
          <w:rFonts w:asciiTheme="majorHAnsi" w:hAnsiTheme="majorHAnsi"/>
        </w:rPr>
      </w:pPr>
      <w:r w:rsidRPr="00173826">
        <w:rPr>
          <w:rFonts w:asciiTheme="majorHAnsi" w:hAnsiTheme="majorHAnsi"/>
        </w:rPr>
        <w:t>A toolbox of</w:t>
      </w:r>
      <w:r w:rsidR="00232B7D" w:rsidRPr="00173826">
        <w:rPr>
          <w:rFonts w:asciiTheme="majorHAnsi" w:hAnsiTheme="majorHAnsi"/>
        </w:rPr>
        <w:t xml:space="preserve"> </w:t>
      </w:r>
      <w:r w:rsidRPr="00173826">
        <w:rPr>
          <w:rFonts w:asciiTheme="majorHAnsi" w:hAnsiTheme="majorHAnsi"/>
        </w:rPr>
        <w:t xml:space="preserve">IM </w:t>
      </w:r>
      <w:r w:rsidR="00232B7D" w:rsidRPr="00173826">
        <w:rPr>
          <w:rFonts w:asciiTheme="majorHAnsi" w:hAnsiTheme="majorHAnsi"/>
        </w:rPr>
        <w:t xml:space="preserve">guidance and tools </w:t>
      </w:r>
      <w:r w:rsidR="001952AA">
        <w:rPr>
          <w:rFonts w:asciiTheme="majorHAnsi" w:hAnsiTheme="majorHAnsi"/>
        </w:rPr>
        <w:t>is developed</w:t>
      </w:r>
    </w:p>
    <w:p w14:paraId="72E6376D" w14:textId="37FFE356" w:rsidR="00AA335B" w:rsidRPr="00173826" w:rsidRDefault="00AA335B" w:rsidP="00FE7770">
      <w:pPr>
        <w:pStyle w:val="ListParagraph"/>
        <w:numPr>
          <w:ilvl w:val="0"/>
          <w:numId w:val="21"/>
        </w:numPr>
        <w:ind w:left="720"/>
        <w:jc w:val="both"/>
        <w:rPr>
          <w:rFonts w:asciiTheme="majorHAnsi" w:hAnsiTheme="majorHAnsi"/>
        </w:rPr>
      </w:pPr>
      <w:r w:rsidRPr="00173826">
        <w:rPr>
          <w:rFonts w:asciiTheme="majorHAnsi" w:hAnsiTheme="majorHAnsi"/>
        </w:rPr>
        <w:t>Structures</w:t>
      </w:r>
      <w:r w:rsidR="00814B8C" w:rsidRPr="00173826">
        <w:rPr>
          <w:rFonts w:asciiTheme="majorHAnsi" w:hAnsiTheme="majorHAnsi"/>
        </w:rPr>
        <w:t xml:space="preserve"> or mechanisms</w:t>
      </w:r>
      <w:r w:rsidRPr="00173826">
        <w:rPr>
          <w:rFonts w:asciiTheme="majorHAnsi" w:hAnsiTheme="majorHAnsi"/>
        </w:rPr>
        <w:t xml:space="preserve"> to support and facilitate information exchange among </w:t>
      </w:r>
      <w:r w:rsidR="00FB7FF0" w:rsidRPr="00173826">
        <w:rPr>
          <w:rFonts w:asciiTheme="majorHAnsi" w:hAnsiTheme="majorHAnsi"/>
        </w:rPr>
        <w:t>Nutrition Clusters</w:t>
      </w:r>
      <w:r w:rsidRPr="00173826">
        <w:rPr>
          <w:rFonts w:asciiTheme="majorHAnsi" w:hAnsiTheme="majorHAnsi"/>
        </w:rPr>
        <w:t xml:space="preserve"> </w:t>
      </w:r>
      <w:r w:rsidR="002F1508" w:rsidRPr="00173826">
        <w:rPr>
          <w:rFonts w:asciiTheme="majorHAnsi" w:hAnsiTheme="majorHAnsi"/>
        </w:rPr>
        <w:t xml:space="preserve">are </w:t>
      </w:r>
      <w:r w:rsidRPr="00173826">
        <w:rPr>
          <w:rFonts w:asciiTheme="majorHAnsi" w:hAnsiTheme="majorHAnsi"/>
        </w:rPr>
        <w:t>developed</w:t>
      </w:r>
    </w:p>
    <w:p w14:paraId="2DCDE272" w14:textId="6EC118F4" w:rsidR="00AA335B" w:rsidRPr="00173826" w:rsidRDefault="00DB3B0E" w:rsidP="00FE7770">
      <w:pPr>
        <w:pStyle w:val="ListParagraph"/>
        <w:numPr>
          <w:ilvl w:val="0"/>
          <w:numId w:val="21"/>
        </w:numPr>
        <w:ind w:left="720"/>
        <w:jc w:val="both"/>
        <w:rPr>
          <w:rFonts w:asciiTheme="majorHAnsi" w:hAnsiTheme="majorHAnsi"/>
        </w:rPr>
      </w:pPr>
      <w:r w:rsidRPr="00173826">
        <w:rPr>
          <w:rFonts w:asciiTheme="majorHAnsi" w:hAnsiTheme="majorHAnsi"/>
        </w:rPr>
        <w:t xml:space="preserve">Key documents available in </w:t>
      </w:r>
      <w:r w:rsidR="0049739C" w:rsidRPr="00173826">
        <w:rPr>
          <w:rFonts w:asciiTheme="majorHAnsi" w:hAnsiTheme="majorHAnsi"/>
        </w:rPr>
        <w:t xml:space="preserve">English, </w:t>
      </w:r>
      <w:r w:rsidRPr="00173826">
        <w:rPr>
          <w:rFonts w:asciiTheme="majorHAnsi" w:hAnsiTheme="majorHAnsi"/>
        </w:rPr>
        <w:t>French</w:t>
      </w:r>
      <w:r w:rsidR="001D3E12" w:rsidRPr="00173826">
        <w:rPr>
          <w:rFonts w:asciiTheme="majorHAnsi" w:hAnsiTheme="majorHAnsi"/>
        </w:rPr>
        <w:t xml:space="preserve"> and </w:t>
      </w:r>
      <w:r w:rsidR="002F026C">
        <w:rPr>
          <w:rFonts w:asciiTheme="majorHAnsi" w:hAnsiTheme="majorHAnsi"/>
        </w:rPr>
        <w:t>other languages based on demand</w:t>
      </w:r>
    </w:p>
    <w:p w14:paraId="32C93033" w14:textId="4535693A" w:rsidR="00232B7D" w:rsidRPr="00173826" w:rsidRDefault="009C4347" w:rsidP="00FE7770">
      <w:pPr>
        <w:pStyle w:val="ListParagraph"/>
        <w:numPr>
          <w:ilvl w:val="0"/>
          <w:numId w:val="21"/>
        </w:numPr>
        <w:ind w:left="720"/>
        <w:jc w:val="both"/>
        <w:rPr>
          <w:rFonts w:asciiTheme="majorHAnsi" w:hAnsiTheme="majorHAnsi"/>
        </w:rPr>
      </w:pPr>
      <w:r w:rsidRPr="00173826">
        <w:rPr>
          <w:rFonts w:asciiTheme="majorHAnsi" w:hAnsiTheme="majorHAnsi"/>
        </w:rPr>
        <w:t>E</w:t>
      </w:r>
      <w:r w:rsidR="00130E74" w:rsidRPr="00173826">
        <w:rPr>
          <w:rFonts w:asciiTheme="majorHAnsi" w:hAnsiTheme="majorHAnsi"/>
        </w:rPr>
        <w:t>xperiences and learning in nutrition</w:t>
      </w:r>
      <w:r w:rsidR="00232B7D" w:rsidRPr="00173826">
        <w:rPr>
          <w:rFonts w:asciiTheme="majorHAnsi" w:hAnsiTheme="majorHAnsi"/>
        </w:rPr>
        <w:t xml:space="preserve"> coordination are docum</w:t>
      </w:r>
      <w:r w:rsidR="001952AA">
        <w:rPr>
          <w:rFonts w:asciiTheme="majorHAnsi" w:hAnsiTheme="majorHAnsi"/>
        </w:rPr>
        <w:t>ented and shared</w:t>
      </w:r>
    </w:p>
    <w:p w14:paraId="728F2D03" w14:textId="77777777" w:rsidR="00B44924" w:rsidRPr="00173826" w:rsidRDefault="00B44924" w:rsidP="00FE7770">
      <w:pPr>
        <w:jc w:val="both"/>
        <w:rPr>
          <w:rFonts w:asciiTheme="majorHAnsi" w:hAnsiTheme="majorHAnsi"/>
        </w:rPr>
      </w:pPr>
    </w:p>
    <w:p w14:paraId="5CCB9826" w14:textId="445EADD4" w:rsidR="00793ED7" w:rsidRPr="00173826" w:rsidRDefault="00793ED7" w:rsidP="00FE7770">
      <w:pPr>
        <w:jc w:val="both"/>
        <w:rPr>
          <w:rFonts w:asciiTheme="majorHAnsi" w:hAnsiTheme="majorHAnsi"/>
          <w:b/>
        </w:rPr>
      </w:pPr>
      <w:r w:rsidRPr="00173826">
        <w:rPr>
          <w:rFonts w:asciiTheme="majorHAnsi" w:hAnsiTheme="majorHAnsi"/>
          <w:b/>
        </w:rPr>
        <w:t>Priority activities</w:t>
      </w:r>
    </w:p>
    <w:p w14:paraId="59F5D28B" w14:textId="7F3F67AB" w:rsidR="005C61D3" w:rsidRPr="00A22DAB" w:rsidRDefault="00893856" w:rsidP="00FE7770">
      <w:pPr>
        <w:jc w:val="both"/>
        <w:rPr>
          <w:rFonts w:asciiTheme="majorHAnsi" w:hAnsiTheme="majorHAnsi"/>
          <w:i/>
        </w:rPr>
      </w:pPr>
      <w:r w:rsidRPr="00A22DAB">
        <w:rPr>
          <w:rFonts w:asciiTheme="majorHAnsi" w:hAnsiTheme="majorHAnsi"/>
          <w:i/>
        </w:rPr>
        <w:t>Objective 1</w:t>
      </w:r>
    </w:p>
    <w:p w14:paraId="0D956524" w14:textId="77777777" w:rsidR="00893856" w:rsidRPr="00173826" w:rsidRDefault="00893856" w:rsidP="000C4738">
      <w:pPr>
        <w:pStyle w:val="ListParagraph"/>
        <w:numPr>
          <w:ilvl w:val="0"/>
          <w:numId w:val="18"/>
        </w:numPr>
        <w:ind w:left="720"/>
        <w:jc w:val="both"/>
        <w:rPr>
          <w:rFonts w:asciiTheme="majorHAnsi" w:hAnsiTheme="majorHAnsi"/>
        </w:rPr>
      </w:pPr>
      <w:r w:rsidRPr="00173826">
        <w:rPr>
          <w:rFonts w:asciiTheme="majorHAnsi" w:hAnsiTheme="majorHAnsi" w:cs="Lucida Grande"/>
          <w:color w:val="000000"/>
        </w:rPr>
        <w:t>Finalise and endorse the GNC IM/KM strategy</w:t>
      </w:r>
    </w:p>
    <w:p w14:paraId="176B553A" w14:textId="4CC3FC43" w:rsidR="00893856" w:rsidRPr="00173826" w:rsidRDefault="002F026C" w:rsidP="000C4738">
      <w:pPr>
        <w:pStyle w:val="ListParagraph"/>
        <w:numPr>
          <w:ilvl w:val="0"/>
          <w:numId w:val="18"/>
        </w:numPr>
        <w:ind w:left="720"/>
        <w:jc w:val="both"/>
        <w:rPr>
          <w:rFonts w:asciiTheme="majorHAnsi" w:hAnsiTheme="majorHAnsi"/>
        </w:rPr>
      </w:pPr>
      <w:r>
        <w:rPr>
          <w:rFonts w:asciiTheme="majorHAnsi" w:hAnsiTheme="majorHAnsi" w:cs="Lucida Grande"/>
          <w:color w:val="000000"/>
        </w:rPr>
        <w:t xml:space="preserve">Develop, </w:t>
      </w:r>
      <w:r w:rsidR="00893856" w:rsidRPr="00173826">
        <w:rPr>
          <w:rFonts w:asciiTheme="majorHAnsi" w:hAnsiTheme="majorHAnsi" w:cs="Lucida Grande"/>
          <w:color w:val="000000"/>
        </w:rPr>
        <w:t>review and disseminate GNC IM Toolkit, including guidance on its use</w:t>
      </w:r>
    </w:p>
    <w:p w14:paraId="0A10E6BE" w14:textId="77777777" w:rsidR="00893856" w:rsidRPr="00173826" w:rsidRDefault="00893856" w:rsidP="000C4738">
      <w:pPr>
        <w:pStyle w:val="ListParagraph"/>
        <w:numPr>
          <w:ilvl w:val="0"/>
          <w:numId w:val="18"/>
        </w:numPr>
        <w:ind w:left="720"/>
        <w:jc w:val="both"/>
        <w:rPr>
          <w:rFonts w:asciiTheme="majorHAnsi" w:hAnsiTheme="majorHAnsi"/>
        </w:rPr>
      </w:pPr>
      <w:r w:rsidRPr="00173826">
        <w:rPr>
          <w:rFonts w:asciiTheme="majorHAnsi" w:hAnsiTheme="majorHAnsi" w:cs="Lucida Grande"/>
          <w:color w:val="000000"/>
        </w:rPr>
        <w:t xml:space="preserve">Translate IM toolkit into French and Arabic languages </w:t>
      </w:r>
    </w:p>
    <w:p w14:paraId="7AE26A9C" w14:textId="2D12B8AD" w:rsidR="00893856" w:rsidRPr="00173826" w:rsidRDefault="00893856" w:rsidP="000C4738">
      <w:pPr>
        <w:pStyle w:val="ListParagraph"/>
        <w:numPr>
          <w:ilvl w:val="0"/>
          <w:numId w:val="18"/>
        </w:numPr>
        <w:ind w:left="720"/>
        <w:jc w:val="both"/>
        <w:rPr>
          <w:rFonts w:asciiTheme="majorHAnsi" w:hAnsiTheme="majorHAnsi"/>
        </w:rPr>
      </w:pPr>
      <w:r w:rsidRPr="00173826">
        <w:rPr>
          <w:rFonts w:asciiTheme="majorHAnsi" w:hAnsiTheme="majorHAnsi" w:cs="Lucida Grande"/>
          <w:color w:val="000000"/>
        </w:rPr>
        <w:t>Finalise the Nutrition Cluster indicator bank (via NATF Humanitari</w:t>
      </w:r>
      <w:r w:rsidR="002F026C">
        <w:rPr>
          <w:rFonts w:asciiTheme="majorHAnsi" w:hAnsiTheme="majorHAnsi" w:cs="Lucida Grande"/>
          <w:color w:val="000000"/>
        </w:rPr>
        <w:t xml:space="preserve">an Indicator Registry project) </w:t>
      </w:r>
    </w:p>
    <w:p w14:paraId="7B66C959" w14:textId="2E60FC78" w:rsidR="00893856" w:rsidRPr="00173826" w:rsidRDefault="00893856" w:rsidP="000C4738">
      <w:pPr>
        <w:pStyle w:val="ListParagraph"/>
        <w:numPr>
          <w:ilvl w:val="0"/>
          <w:numId w:val="18"/>
        </w:numPr>
        <w:ind w:left="720"/>
        <w:jc w:val="both"/>
        <w:rPr>
          <w:rFonts w:asciiTheme="majorHAnsi" w:hAnsiTheme="majorHAnsi"/>
        </w:rPr>
      </w:pPr>
      <w:r w:rsidRPr="00173826">
        <w:rPr>
          <w:rFonts w:asciiTheme="majorHAnsi" w:hAnsiTheme="majorHAnsi" w:cs="Lucida Grande"/>
          <w:color w:val="000000"/>
        </w:rPr>
        <w:t xml:space="preserve">Develop </w:t>
      </w:r>
      <w:r w:rsidR="000C4738">
        <w:rPr>
          <w:rFonts w:asciiTheme="majorHAnsi" w:hAnsiTheme="majorHAnsi" w:cs="Lucida Grande"/>
          <w:color w:val="000000"/>
        </w:rPr>
        <w:t xml:space="preserve">5-day </w:t>
      </w:r>
      <w:r w:rsidRPr="00173826">
        <w:rPr>
          <w:rFonts w:asciiTheme="majorHAnsi" w:hAnsiTheme="majorHAnsi" w:cs="Lucida Grande"/>
          <w:color w:val="000000"/>
        </w:rPr>
        <w:t>IM</w:t>
      </w:r>
      <w:r w:rsidR="000C4738">
        <w:rPr>
          <w:rFonts w:asciiTheme="majorHAnsi" w:hAnsiTheme="majorHAnsi" w:cs="Lucida Grande"/>
          <w:color w:val="000000"/>
        </w:rPr>
        <w:t>O</w:t>
      </w:r>
      <w:r w:rsidRPr="00173826">
        <w:rPr>
          <w:rFonts w:asciiTheme="majorHAnsi" w:hAnsiTheme="majorHAnsi" w:cs="Lucida Grande"/>
          <w:color w:val="000000"/>
        </w:rPr>
        <w:t xml:space="preserve"> training package</w:t>
      </w:r>
    </w:p>
    <w:p w14:paraId="57CBD635" w14:textId="77777777" w:rsidR="00893856" w:rsidRPr="00173826" w:rsidRDefault="00893856" w:rsidP="000C4738">
      <w:pPr>
        <w:jc w:val="both"/>
        <w:rPr>
          <w:rFonts w:asciiTheme="majorHAnsi" w:hAnsiTheme="majorHAnsi"/>
        </w:rPr>
      </w:pPr>
    </w:p>
    <w:p w14:paraId="0AE1C794" w14:textId="60ED1337" w:rsidR="00D24A2A" w:rsidRPr="00A22DAB" w:rsidRDefault="00893856" w:rsidP="000C4738">
      <w:pPr>
        <w:jc w:val="both"/>
        <w:rPr>
          <w:rFonts w:asciiTheme="majorHAnsi" w:hAnsiTheme="majorHAnsi"/>
          <w:i/>
        </w:rPr>
      </w:pPr>
      <w:r w:rsidRPr="00A22DAB">
        <w:rPr>
          <w:rFonts w:asciiTheme="majorHAnsi" w:hAnsiTheme="majorHAnsi"/>
          <w:i/>
        </w:rPr>
        <w:t>Objective 2</w:t>
      </w:r>
    </w:p>
    <w:p w14:paraId="7A06DC31" w14:textId="02071441" w:rsidR="009C5BB6" w:rsidRPr="00173826" w:rsidRDefault="009C5BB6" w:rsidP="000C4738">
      <w:pPr>
        <w:jc w:val="both"/>
        <w:rPr>
          <w:rFonts w:asciiTheme="majorHAnsi" w:hAnsiTheme="majorHAnsi"/>
        </w:rPr>
      </w:pPr>
    </w:p>
    <w:p w14:paraId="30BF85EC" w14:textId="77777777" w:rsidR="00893856" w:rsidRPr="00173826" w:rsidRDefault="00893856" w:rsidP="000C4738">
      <w:pPr>
        <w:pStyle w:val="ListParagraph"/>
        <w:numPr>
          <w:ilvl w:val="1"/>
          <w:numId w:val="33"/>
        </w:numPr>
        <w:ind w:left="720"/>
        <w:jc w:val="both"/>
        <w:rPr>
          <w:rFonts w:asciiTheme="majorHAnsi" w:hAnsiTheme="majorHAnsi"/>
        </w:rPr>
      </w:pPr>
      <w:r w:rsidRPr="00173826">
        <w:rPr>
          <w:rFonts w:asciiTheme="majorHAnsi" w:hAnsiTheme="majorHAnsi" w:cs="Lucida Grande"/>
          <w:color w:val="000000"/>
        </w:rPr>
        <w:t>Conduct a scoping exercise among NCCs and IMOs and other IM/KM staff at global and country levels to identify their interest in sharing experiences and learning</w:t>
      </w:r>
    </w:p>
    <w:p w14:paraId="218C6259" w14:textId="0AE80512" w:rsidR="00893856" w:rsidRPr="00173826" w:rsidRDefault="001952AA" w:rsidP="000C4738">
      <w:pPr>
        <w:pStyle w:val="ListParagraph"/>
        <w:numPr>
          <w:ilvl w:val="1"/>
          <w:numId w:val="33"/>
        </w:numPr>
        <w:ind w:left="720"/>
        <w:jc w:val="both"/>
        <w:rPr>
          <w:rFonts w:asciiTheme="majorHAnsi" w:hAnsiTheme="majorHAnsi"/>
        </w:rPr>
      </w:pPr>
      <w:r>
        <w:rPr>
          <w:rFonts w:asciiTheme="majorHAnsi" w:hAnsiTheme="majorHAnsi" w:cs="Lucida Grande"/>
          <w:color w:val="000000"/>
        </w:rPr>
        <w:t>S</w:t>
      </w:r>
      <w:r w:rsidR="00893856" w:rsidRPr="00173826">
        <w:rPr>
          <w:rFonts w:asciiTheme="majorHAnsi" w:hAnsiTheme="majorHAnsi" w:cs="Lucida Grande"/>
          <w:color w:val="000000"/>
        </w:rPr>
        <w:t>upport NCCs/IMOs to capture and document their experiences and learning</w:t>
      </w:r>
    </w:p>
    <w:p w14:paraId="73E86036" w14:textId="089EE0AB" w:rsidR="00893856" w:rsidRPr="00173826" w:rsidRDefault="001952AA" w:rsidP="000C4738">
      <w:pPr>
        <w:pStyle w:val="ListParagraph"/>
        <w:numPr>
          <w:ilvl w:val="1"/>
          <w:numId w:val="33"/>
        </w:numPr>
        <w:ind w:left="720"/>
        <w:jc w:val="both"/>
        <w:rPr>
          <w:rFonts w:asciiTheme="majorHAnsi" w:hAnsiTheme="majorHAnsi"/>
        </w:rPr>
      </w:pPr>
      <w:r>
        <w:rPr>
          <w:rFonts w:asciiTheme="majorHAnsi" w:hAnsiTheme="majorHAnsi" w:cs="Lucida Grande"/>
          <w:color w:val="000000"/>
        </w:rPr>
        <w:t>D</w:t>
      </w:r>
      <w:r w:rsidR="00893856" w:rsidRPr="00173826">
        <w:rPr>
          <w:rFonts w:asciiTheme="majorHAnsi" w:hAnsiTheme="majorHAnsi" w:cs="Lucida Grande"/>
          <w:color w:val="000000"/>
        </w:rPr>
        <w:t>isseminat</w:t>
      </w:r>
      <w:r>
        <w:rPr>
          <w:rFonts w:asciiTheme="majorHAnsi" w:hAnsiTheme="majorHAnsi" w:cs="Lucida Grande"/>
          <w:color w:val="000000"/>
        </w:rPr>
        <w:t>e</w:t>
      </w:r>
      <w:r w:rsidR="00893856" w:rsidRPr="00173826">
        <w:rPr>
          <w:rFonts w:asciiTheme="majorHAnsi" w:hAnsiTheme="majorHAnsi" w:cs="Lucida Grande"/>
          <w:color w:val="000000"/>
        </w:rPr>
        <w:t xml:space="preserve"> captured and documented experiences through multiple channels</w:t>
      </w:r>
    </w:p>
    <w:p w14:paraId="629A8E7E" w14:textId="6A619738" w:rsidR="00045A44" w:rsidRPr="00173826" w:rsidRDefault="00045A44" w:rsidP="000C4738">
      <w:pPr>
        <w:pStyle w:val="ListParagraph"/>
        <w:numPr>
          <w:ilvl w:val="1"/>
          <w:numId w:val="33"/>
        </w:numPr>
        <w:ind w:left="720"/>
        <w:jc w:val="both"/>
        <w:rPr>
          <w:rFonts w:asciiTheme="majorHAnsi" w:hAnsiTheme="majorHAnsi"/>
        </w:rPr>
      </w:pPr>
      <w:r w:rsidRPr="00173826">
        <w:rPr>
          <w:rFonts w:asciiTheme="majorHAnsi" w:hAnsiTheme="majorHAnsi" w:cs="Lucida Grande"/>
          <w:color w:val="000000"/>
        </w:rPr>
        <w:t>Develop, launch and maintain an independent website for GNC (in alignment with other clus</w:t>
      </w:r>
      <w:r w:rsidR="000E0D51">
        <w:rPr>
          <w:rFonts w:asciiTheme="majorHAnsi" w:hAnsiTheme="majorHAnsi" w:cs="Lucida Grande"/>
          <w:color w:val="000000"/>
        </w:rPr>
        <w:t>ters</w:t>
      </w:r>
      <w:r w:rsidRPr="00173826">
        <w:rPr>
          <w:rFonts w:asciiTheme="majorHAnsi" w:hAnsiTheme="majorHAnsi" w:cs="Lucida Grande"/>
          <w:color w:val="000000"/>
        </w:rPr>
        <w:t>)</w:t>
      </w:r>
    </w:p>
    <w:p w14:paraId="241426DA" w14:textId="67ACE9BC" w:rsidR="002D15F2" w:rsidRPr="00173826" w:rsidRDefault="000C5118" w:rsidP="000C4738">
      <w:pPr>
        <w:jc w:val="both"/>
        <w:rPr>
          <w:rFonts w:asciiTheme="majorHAnsi" w:hAnsiTheme="majorHAnsi"/>
        </w:rPr>
      </w:pPr>
      <w:r w:rsidRPr="00173826">
        <w:rPr>
          <w:rFonts w:asciiTheme="majorHAnsi" w:hAnsiTheme="majorHAnsi"/>
          <w:noProof/>
        </w:rPr>
        <mc:AlternateContent>
          <mc:Choice Requires="wps">
            <w:drawing>
              <wp:anchor distT="0" distB="0" distL="114300" distR="114300" simplePos="0" relativeHeight="251665408" behindDoc="0" locked="0" layoutInCell="1" allowOverlap="1" wp14:anchorId="46007A0E" wp14:editId="2473B21A">
                <wp:simplePos x="0" y="0"/>
                <wp:positionH relativeFrom="column">
                  <wp:posOffset>0</wp:posOffset>
                </wp:positionH>
                <wp:positionV relativeFrom="paragraph">
                  <wp:posOffset>170815</wp:posOffset>
                </wp:positionV>
                <wp:extent cx="5715000" cy="262255"/>
                <wp:effectExtent l="0" t="0" r="25400" b="17145"/>
                <wp:wrapSquare wrapText="bothSides"/>
                <wp:docPr id="5" name="Text Box 5"/>
                <wp:cNvGraphicFramePr/>
                <a:graphic xmlns:a="http://schemas.openxmlformats.org/drawingml/2006/main">
                  <a:graphicData uri="http://schemas.microsoft.com/office/word/2010/wordprocessingShape">
                    <wps:wsp>
                      <wps:cNvSpPr txBox="1"/>
                      <wps:spPr>
                        <a:xfrm>
                          <a:off x="0" y="0"/>
                          <a:ext cx="5715000" cy="262255"/>
                        </a:xfrm>
                        <a:prstGeom prst="rect">
                          <a:avLst/>
                        </a:prstGeom>
                        <a:noFill/>
                        <a:ln>
                          <a:solidFill>
                            <a:schemeClr val="tx1"/>
                          </a:solidFill>
                        </a:ln>
                        <a:effectLst/>
                        <a:extLst>
                          <a:ext uri="{C572A759-6A51-4108-AA02-DFA0A04FC94B}">
                            <ma14:wrappingTextBoxFlag xmlns:ma14="http://schemas.microsoft.com/office/mac/drawingml/2011/main"/>
                          </a:ext>
                        </a:extLst>
                      </wps:spPr>
                      <wps:txbx>
                        <w:txbxContent>
                          <w:p w14:paraId="33848368" w14:textId="77777777" w:rsidR="00281E85" w:rsidRPr="00055B86" w:rsidRDefault="00281E85" w:rsidP="000C5118">
                            <w:pPr>
                              <w:shd w:val="clear" w:color="auto" w:fill="DEFF47"/>
                              <w:rPr>
                                <w:b/>
                              </w:rPr>
                            </w:pPr>
                            <w:r>
                              <w:rPr>
                                <w:b/>
                              </w:rPr>
                              <w:t>Monitoring and 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5" o:spid="_x0000_s1034" type="#_x0000_t202" style="position:absolute;left:0;text-align:left;margin-left:0;margin-top:13.45pt;width:450pt;height:20.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" filled="f" strokecolor="black [3213]">
                <v:textbox style="mso-fit-shape-to-text:t">
                  <w:txbxContent>
                    <w:p w14:paraId="33848368" w14:textId="77777777" w:rsidR="00FE7770" w:rsidRPr="00055B86" w:rsidRDefault="00FE7770" w:rsidP="000C5118">
                      <w:pPr>
                        <w:shd w:val="clear" w:color="auto" w:fill="DEFF47"/>
                        <w:rPr>
                          <w:b/>
                        </w:rPr>
                      </w:pPr>
                      <w:r>
                        <w:rPr>
                          <w:b/>
                        </w:rPr>
                        <w:t>Monitoring and evaluation</w:t>
                      </w:r>
                    </w:p>
                  </w:txbxContent>
                </v:textbox>
                <w10:wrap type="square"/>
              </v:shape>
            </w:pict>
          </mc:Fallback>
        </mc:AlternateContent>
      </w:r>
    </w:p>
    <w:p w14:paraId="69E6984E" w14:textId="77777777" w:rsidR="00566C82" w:rsidRPr="00173826" w:rsidRDefault="00566C82" w:rsidP="000C4738">
      <w:pPr>
        <w:jc w:val="both"/>
        <w:rPr>
          <w:rFonts w:asciiTheme="majorHAnsi" w:hAnsiTheme="majorHAnsi"/>
          <w:b/>
          <w:color w:val="FF0000"/>
        </w:rPr>
      </w:pPr>
    </w:p>
    <w:p w14:paraId="68894C8D" w14:textId="76E41DEA" w:rsidR="00F97A4F" w:rsidRPr="00173826" w:rsidRDefault="00B73C59" w:rsidP="000C4738">
      <w:pPr>
        <w:jc w:val="both"/>
        <w:rPr>
          <w:rFonts w:asciiTheme="majorHAnsi" w:hAnsiTheme="majorHAnsi"/>
          <w:color w:val="auto"/>
        </w:rPr>
      </w:pPr>
      <w:r w:rsidRPr="00173826">
        <w:rPr>
          <w:rFonts w:asciiTheme="majorHAnsi" w:hAnsiTheme="majorHAnsi"/>
          <w:color w:val="auto"/>
        </w:rPr>
        <w:t xml:space="preserve">The performance of the GNC </w:t>
      </w:r>
      <w:r w:rsidR="009A5F76" w:rsidRPr="00173826">
        <w:rPr>
          <w:rFonts w:asciiTheme="majorHAnsi" w:hAnsiTheme="majorHAnsi"/>
          <w:color w:val="auto"/>
        </w:rPr>
        <w:t xml:space="preserve">will be </w:t>
      </w:r>
      <w:r w:rsidR="009E410F" w:rsidRPr="00173826">
        <w:rPr>
          <w:rFonts w:asciiTheme="majorHAnsi" w:hAnsiTheme="majorHAnsi"/>
          <w:color w:val="auto"/>
        </w:rPr>
        <w:t xml:space="preserve">based on </w:t>
      </w:r>
      <w:r w:rsidR="009A5F76" w:rsidRPr="00173826">
        <w:rPr>
          <w:rFonts w:asciiTheme="majorHAnsi" w:hAnsiTheme="majorHAnsi"/>
          <w:color w:val="auto"/>
        </w:rPr>
        <w:t xml:space="preserve">the progress made on the </w:t>
      </w:r>
      <w:r w:rsidR="009E410F" w:rsidRPr="00173826">
        <w:rPr>
          <w:rFonts w:asciiTheme="majorHAnsi" w:hAnsiTheme="majorHAnsi"/>
          <w:color w:val="auto"/>
        </w:rPr>
        <w:t xml:space="preserve">activities under each </w:t>
      </w:r>
      <w:r w:rsidR="0049739C" w:rsidRPr="00173826">
        <w:rPr>
          <w:rFonts w:asciiTheme="majorHAnsi" w:hAnsiTheme="majorHAnsi"/>
          <w:color w:val="auto"/>
        </w:rPr>
        <w:t xml:space="preserve">strategic </w:t>
      </w:r>
      <w:r w:rsidR="009E410F" w:rsidRPr="00173826">
        <w:rPr>
          <w:rFonts w:asciiTheme="majorHAnsi" w:hAnsiTheme="majorHAnsi"/>
          <w:color w:val="auto"/>
        </w:rPr>
        <w:t xml:space="preserve">pillar </w:t>
      </w:r>
      <w:r w:rsidR="0049739C" w:rsidRPr="00173826">
        <w:rPr>
          <w:rFonts w:asciiTheme="majorHAnsi" w:hAnsiTheme="majorHAnsi"/>
          <w:color w:val="auto"/>
        </w:rPr>
        <w:t>of the Work Plan</w:t>
      </w:r>
      <w:r w:rsidR="009A5F76" w:rsidRPr="00173826">
        <w:rPr>
          <w:rFonts w:asciiTheme="majorHAnsi" w:hAnsiTheme="majorHAnsi"/>
          <w:color w:val="auto"/>
        </w:rPr>
        <w:t>. The GNC-CT, leading agencies on activities and Task Forces</w:t>
      </w:r>
      <w:r w:rsidR="009E410F" w:rsidRPr="00173826">
        <w:rPr>
          <w:rFonts w:asciiTheme="majorHAnsi" w:hAnsiTheme="majorHAnsi"/>
          <w:color w:val="auto"/>
        </w:rPr>
        <w:t xml:space="preserve"> will report in a ‘traffic-lights’ format</w:t>
      </w:r>
      <w:r w:rsidR="00EC11D5" w:rsidRPr="00173826">
        <w:rPr>
          <w:rStyle w:val="FootnoteReference"/>
          <w:rFonts w:asciiTheme="majorHAnsi" w:hAnsiTheme="majorHAnsi"/>
          <w:color w:val="auto"/>
        </w:rPr>
        <w:footnoteReference w:id="17"/>
      </w:r>
      <w:r w:rsidR="009E410F" w:rsidRPr="00173826">
        <w:rPr>
          <w:rFonts w:asciiTheme="majorHAnsi" w:hAnsiTheme="majorHAnsi"/>
          <w:color w:val="auto"/>
        </w:rPr>
        <w:t xml:space="preserve"> on progress</w:t>
      </w:r>
      <w:r w:rsidR="0049739C" w:rsidRPr="00173826">
        <w:rPr>
          <w:rFonts w:asciiTheme="majorHAnsi" w:hAnsiTheme="majorHAnsi"/>
          <w:color w:val="auto"/>
        </w:rPr>
        <w:t xml:space="preserve"> highlighting activities that have stalled or stopped.</w:t>
      </w:r>
      <w:r w:rsidR="00B45737" w:rsidRPr="00173826">
        <w:rPr>
          <w:rFonts w:asciiTheme="majorHAnsi" w:hAnsiTheme="majorHAnsi"/>
          <w:color w:val="auto"/>
        </w:rPr>
        <w:t xml:space="preserve"> This information, along with other key indicators of GNC progress, will be available on-line in the form of a </w:t>
      </w:r>
      <w:r w:rsidR="00F97A4F" w:rsidRPr="00173826">
        <w:rPr>
          <w:rFonts w:asciiTheme="majorHAnsi" w:hAnsiTheme="majorHAnsi"/>
          <w:color w:val="auto"/>
        </w:rPr>
        <w:t xml:space="preserve">dashboard </w:t>
      </w:r>
      <w:r w:rsidR="00B45737" w:rsidRPr="00173826">
        <w:rPr>
          <w:rFonts w:asciiTheme="majorHAnsi" w:hAnsiTheme="majorHAnsi"/>
          <w:color w:val="auto"/>
        </w:rPr>
        <w:t xml:space="preserve">on the website. </w:t>
      </w:r>
    </w:p>
    <w:p w14:paraId="30406CAA" w14:textId="77777777" w:rsidR="009E410F" w:rsidRPr="00173826" w:rsidRDefault="009E410F" w:rsidP="000C4738">
      <w:pPr>
        <w:jc w:val="both"/>
        <w:rPr>
          <w:rFonts w:asciiTheme="majorHAnsi" w:hAnsiTheme="majorHAnsi"/>
          <w:color w:val="auto"/>
        </w:rPr>
      </w:pPr>
    </w:p>
    <w:p w14:paraId="2A548490" w14:textId="5B5B2026" w:rsidR="009E410F" w:rsidRPr="00173826" w:rsidRDefault="009E410F" w:rsidP="000C4738">
      <w:pPr>
        <w:jc w:val="both"/>
        <w:rPr>
          <w:rFonts w:asciiTheme="majorHAnsi" w:hAnsiTheme="majorHAnsi"/>
          <w:color w:val="auto"/>
        </w:rPr>
      </w:pPr>
      <w:r w:rsidRPr="00173826">
        <w:rPr>
          <w:rFonts w:asciiTheme="majorHAnsi" w:hAnsiTheme="majorHAnsi"/>
          <w:color w:val="auto"/>
        </w:rPr>
        <w:t xml:space="preserve">The GNC Coordinator will produce an annual </w:t>
      </w:r>
      <w:r w:rsidR="0049739C" w:rsidRPr="00173826">
        <w:rPr>
          <w:rFonts w:asciiTheme="majorHAnsi" w:hAnsiTheme="majorHAnsi"/>
          <w:color w:val="auto"/>
        </w:rPr>
        <w:t>report on the progress of the GN</w:t>
      </w:r>
      <w:r w:rsidRPr="00173826">
        <w:rPr>
          <w:rFonts w:asciiTheme="majorHAnsi" w:hAnsiTheme="majorHAnsi"/>
          <w:color w:val="auto"/>
        </w:rPr>
        <w:t>C.</w:t>
      </w:r>
    </w:p>
    <w:p w14:paraId="076E598A" w14:textId="77777777" w:rsidR="009E410F" w:rsidRPr="00173826" w:rsidRDefault="009E410F" w:rsidP="000C4738">
      <w:pPr>
        <w:jc w:val="both"/>
        <w:rPr>
          <w:rFonts w:asciiTheme="majorHAnsi" w:hAnsiTheme="majorHAnsi"/>
          <w:color w:val="auto"/>
        </w:rPr>
      </w:pPr>
    </w:p>
    <w:p w14:paraId="3F0992C4" w14:textId="516A06F1" w:rsidR="00A57FF5" w:rsidRPr="00173826" w:rsidRDefault="009E410F" w:rsidP="000C4738">
      <w:pPr>
        <w:jc w:val="both"/>
        <w:rPr>
          <w:rFonts w:asciiTheme="majorHAnsi" w:hAnsiTheme="majorHAnsi"/>
          <w:color w:val="auto"/>
        </w:rPr>
      </w:pPr>
      <w:r w:rsidRPr="00173826">
        <w:rPr>
          <w:rFonts w:asciiTheme="majorHAnsi" w:hAnsiTheme="majorHAnsi"/>
          <w:color w:val="auto"/>
        </w:rPr>
        <w:t xml:space="preserve">The GNC will develop a new </w:t>
      </w:r>
      <w:r w:rsidR="00926A6F" w:rsidRPr="00173826">
        <w:rPr>
          <w:rFonts w:asciiTheme="majorHAnsi" w:hAnsiTheme="majorHAnsi"/>
          <w:color w:val="auto"/>
        </w:rPr>
        <w:t>Work Plan</w:t>
      </w:r>
      <w:r w:rsidR="00D549DB" w:rsidRPr="00173826">
        <w:rPr>
          <w:rFonts w:asciiTheme="majorHAnsi" w:hAnsiTheme="majorHAnsi"/>
          <w:color w:val="auto"/>
        </w:rPr>
        <w:t xml:space="preserve"> at the end of </w:t>
      </w:r>
      <w:r w:rsidRPr="00173826">
        <w:rPr>
          <w:rFonts w:asciiTheme="majorHAnsi" w:hAnsiTheme="majorHAnsi"/>
          <w:color w:val="auto"/>
        </w:rPr>
        <w:t>2015 and a new 3-year Strategic Plan in 2016.</w:t>
      </w:r>
      <w:r w:rsidR="009A7244" w:rsidRPr="00173826">
        <w:rPr>
          <w:rFonts w:asciiTheme="majorHAnsi" w:hAnsiTheme="majorHAnsi"/>
          <w:color w:val="auto"/>
        </w:rPr>
        <w:t xml:space="preserve"> </w:t>
      </w:r>
    </w:p>
    <w:p w14:paraId="6B9936C5" w14:textId="77777777" w:rsidR="0049739C" w:rsidRPr="00173826" w:rsidRDefault="0049739C" w:rsidP="000C4738">
      <w:pPr>
        <w:jc w:val="both"/>
        <w:rPr>
          <w:rFonts w:asciiTheme="majorHAnsi" w:hAnsiTheme="majorHAnsi"/>
          <w:color w:val="auto"/>
        </w:rPr>
      </w:pPr>
    </w:p>
    <w:p w14:paraId="63984E21" w14:textId="77777777" w:rsidR="00045A44" w:rsidRPr="00173826" w:rsidRDefault="00045A44" w:rsidP="000C4738">
      <w:pPr>
        <w:jc w:val="both"/>
        <w:rPr>
          <w:rFonts w:asciiTheme="majorHAnsi" w:hAnsiTheme="majorHAnsi"/>
        </w:rPr>
      </w:pPr>
    </w:p>
    <w:p w14:paraId="3ED5A833" w14:textId="694DBD3B" w:rsidR="00045A44" w:rsidRDefault="00045A44" w:rsidP="000C4738">
      <w:pPr>
        <w:jc w:val="both"/>
        <w:rPr>
          <w:rFonts w:asciiTheme="majorHAnsi" w:hAnsiTheme="majorHAnsi"/>
        </w:rPr>
      </w:pPr>
      <w:r w:rsidRPr="00173826">
        <w:rPr>
          <w:rFonts w:asciiTheme="majorHAnsi" w:hAnsiTheme="majorHAnsi"/>
        </w:rPr>
        <w:lastRenderedPageBreak/>
        <w:t>The GNC costed Work Plan 2014-</w:t>
      </w:r>
      <w:r w:rsidR="00E846AB" w:rsidRPr="00173826">
        <w:rPr>
          <w:rFonts w:asciiTheme="majorHAnsi" w:hAnsiTheme="majorHAnsi"/>
        </w:rPr>
        <w:t xml:space="preserve">2015 </w:t>
      </w:r>
      <w:r w:rsidR="000C5118" w:rsidRPr="00173826">
        <w:rPr>
          <w:rFonts w:asciiTheme="majorHAnsi" w:hAnsiTheme="majorHAnsi"/>
          <w:noProof/>
        </w:rPr>
        <mc:AlternateContent>
          <mc:Choice Requires="wps">
            <w:drawing>
              <wp:anchor distT="0" distB="0" distL="114300" distR="114300" simplePos="0" relativeHeight="251667456" behindDoc="0" locked="0" layoutInCell="1" allowOverlap="1" wp14:anchorId="44B6ED5E" wp14:editId="4C983E63">
                <wp:simplePos x="0" y="0"/>
                <wp:positionH relativeFrom="column">
                  <wp:posOffset>0</wp:posOffset>
                </wp:positionH>
                <wp:positionV relativeFrom="paragraph">
                  <wp:posOffset>0</wp:posOffset>
                </wp:positionV>
                <wp:extent cx="5715000" cy="262255"/>
                <wp:effectExtent l="0" t="0" r="25400" b="17145"/>
                <wp:wrapSquare wrapText="bothSides"/>
                <wp:docPr id="6" name="Text Box 6"/>
                <wp:cNvGraphicFramePr/>
                <a:graphic xmlns:a="http://schemas.openxmlformats.org/drawingml/2006/main">
                  <a:graphicData uri="http://schemas.microsoft.com/office/word/2010/wordprocessingShape">
                    <wps:wsp>
                      <wps:cNvSpPr txBox="1"/>
                      <wps:spPr>
                        <a:xfrm>
                          <a:off x="0" y="0"/>
                          <a:ext cx="5715000" cy="262255"/>
                        </a:xfrm>
                        <a:prstGeom prst="rect">
                          <a:avLst/>
                        </a:prstGeom>
                        <a:noFill/>
                        <a:ln>
                          <a:solidFill>
                            <a:schemeClr val="tx1"/>
                          </a:solidFill>
                        </a:ln>
                        <a:effectLst/>
                        <a:extLst>
                          <a:ext uri="{C572A759-6A51-4108-AA02-DFA0A04FC94B}">
                            <ma14:wrappingTextBoxFlag xmlns:ma14="http://schemas.microsoft.com/office/mac/drawingml/2011/main"/>
                          </a:ext>
                        </a:extLst>
                      </wps:spPr>
                      <wps:txbx>
                        <w:txbxContent>
                          <w:p w14:paraId="74AA302C" w14:textId="77777777" w:rsidR="00281E85" w:rsidRPr="00447634" w:rsidRDefault="00281E85" w:rsidP="000C5118">
                            <w:pPr>
                              <w:shd w:val="clear" w:color="auto" w:fill="DEFF47"/>
                              <w:rPr>
                                <w:b/>
                              </w:rPr>
                            </w:pPr>
                            <w:r>
                              <w:rPr>
                                <w:b/>
                              </w:rPr>
                              <w:t>Resource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6" o:spid="_x0000_s1035" type="#_x0000_t202" style="position:absolute;left:0;text-align:left;margin-left:0;margin-top:0;width:450pt;height:20.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" filled="f" strokecolor="black [3213]">
                <v:textbox style="mso-fit-shape-to-text:t">
                  <w:txbxContent>
                    <w:p w14:paraId="74AA302C" w14:textId="77777777" w:rsidR="00FE7770" w:rsidRPr="00447634" w:rsidRDefault="00FE7770" w:rsidP="000C5118">
                      <w:pPr>
                        <w:shd w:val="clear" w:color="auto" w:fill="DEFF47"/>
                        <w:rPr>
                          <w:b/>
                        </w:rPr>
                      </w:pPr>
                      <w:r>
                        <w:rPr>
                          <w:b/>
                        </w:rPr>
                        <w:t>Resource requirements</w:t>
                      </w:r>
                    </w:p>
                  </w:txbxContent>
                </v:textbox>
                <w10:wrap type="square"/>
              </v:shape>
            </w:pict>
          </mc:Fallback>
        </mc:AlternateContent>
      </w:r>
      <w:r w:rsidRPr="00173826">
        <w:rPr>
          <w:rFonts w:asciiTheme="majorHAnsi" w:hAnsiTheme="majorHAnsi"/>
        </w:rPr>
        <w:t xml:space="preserve">outlines the cost for GNC activities during this period. The total cost of GNC activities for this two-year period is </w:t>
      </w:r>
      <w:r w:rsidR="00173826" w:rsidRPr="00173826">
        <w:rPr>
          <w:rFonts w:asciiTheme="majorHAnsi" w:hAnsiTheme="majorHAnsi"/>
        </w:rPr>
        <w:t>$</w:t>
      </w:r>
      <w:r w:rsidR="0041582F">
        <w:rPr>
          <w:rFonts w:asciiTheme="majorHAnsi" w:hAnsiTheme="majorHAnsi"/>
        </w:rPr>
        <w:t>5,126,763</w:t>
      </w:r>
      <w:bookmarkStart w:id="0" w:name="_GoBack"/>
      <w:bookmarkEnd w:id="0"/>
      <w:r w:rsidRPr="00173826">
        <w:rPr>
          <w:rFonts w:asciiTheme="majorHAnsi" w:hAnsiTheme="majorHAnsi"/>
        </w:rPr>
        <w:t>. This is broken down by pillars as follows:</w:t>
      </w:r>
    </w:p>
    <w:p w14:paraId="3ED89947" w14:textId="77777777" w:rsidR="002F026C" w:rsidRPr="00173826" w:rsidRDefault="002F026C" w:rsidP="000C4738">
      <w:pPr>
        <w:jc w:val="both"/>
        <w:rPr>
          <w:rFonts w:asciiTheme="majorHAnsi" w:hAnsiTheme="majorHAnsi"/>
        </w:rPr>
      </w:pPr>
    </w:p>
    <w:tbl>
      <w:tblPr>
        <w:tblW w:w="2600" w:type="dxa"/>
        <w:tblInd w:w="93" w:type="dxa"/>
        <w:tblLook w:val="04A0" w:firstRow="1" w:lastRow="0" w:firstColumn="1" w:lastColumn="0" w:noHBand="0" w:noVBand="1"/>
      </w:tblPr>
      <w:tblGrid>
        <w:gridCol w:w="1300"/>
        <w:gridCol w:w="1300"/>
      </w:tblGrid>
      <w:tr w:rsidR="0041582F" w:rsidRPr="0041582F" w14:paraId="6337982B" w14:textId="77777777" w:rsidTr="0041582F">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0791" w14:textId="77777777" w:rsidR="0041582F" w:rsidRPr="0041582F" w:rsidRDefault="0041582F" w:rsidP="0041582F">
            <w:pPr>
              <w:rPr>
                <w:rFonts w:eastAsia="Times New Roman" w:cs="Times New Roman"/>
                <w:b/>
                <w:bCs/>
                <w:color w:val="000000"/>
                <w:sz w:val="24"/>
                <w:szCs w:val="24"/>
              </w:rPr>
            </w:pPr>
            <w:r w:rsidRPr="0041582F">
              <w:rPr>
                <w:rFonts w:eastAsia="Times New Roman" w:cs="Times New Roman"/>
                <w:b/>
                <w:bCs/>
                <w:color w:val="000000"/>
                <w:sz w:val="24"/>
                <w:szCs w:val="24"/>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3CE0F8F" w14:textId="77777777" w:rsidR="0041582F" w:rsidRPr="0041582F" w:rsidRDefault="0041582F" w:rsidP="0041582F">
            <w:pPr>
              <w:rPr>
                <w:rFonts w:eastAsia="Times New Roman" w:cs="Times New Roman"/>
                <w:b/>
                <w:bCs/>
                <w:color w:val="000000"/>
                <w:sz w:val="24"/>
                <w:szCs w:val="24"/>
              </w:rPr>
            </w:pPr>
            <w:r w:rsidRPr="0041582F">
              <w:rPr>
                <w:rFonts w:eastAsia="Times New Roman" w:cs="Times New Roman"/>
                <w:b/>
                <w:bCs/>
                <w:color w:val="000000"/>
                <w:sz w:val="24"/>
                <w:szCs w:val="24"/>
              </w:rPr>
              <w:t>Total cost</w:t>
            </w:r>
          </w:p>
        </w:tc>
      </w:tr>
      <w:tr w:rsidR="0041582F" w:rsidRPr="0041582F" w14:paraId="48F6F3DE" w14:textId="77777777" w:rsidTr="0041582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6D5A4CD" w14:textId="77777777" w:rsidR="0041582F" w:rsidRPr="0041582F" w:rsidRDefault="0041582F" w:rsidP="0041582F">
            <w:pPr>
              <w:rPr>
                <w:rFonts w:eastAsia="Times New Roman" w:cs="Times New Roman"/>
                <w:b/>
                <w:bCs/>
                <w:color w:val="000000"/>
                <w:sz w:val="24"/>
                <w:szCs w:val="24"/>
              </w:rPr>
            </w:pPr>
            <w:r w:rsidRPr="0041582F">
              <w:rPr>
                <w:rFonts w:eastAsia="Times New Roman" w:cs="Times New Roman"/>
                <w:b/>
                <w:bCs/>
                <w:color w:val="000000"/>
                <w:sz w:val="24"/>
                <w:szCs w:val="24"/>
              </w:rPr>
              <w:t>Pillar 1</w:t>
            </w:r>
          </w:p>
        </w:tc>
        <w:tc>
          <w:tcPr>
            <w:tcW w:w="1300" w:type="dxa"/>
            <w:tcBorders>
              <w:top w:val="nil"/>
              <w:left w:val="nil"/>
              <w:bottom w:val="single" w:sz="4" w:space="0" w:color="auto"/>
              <w:right w:val="single" w:sz="4" w:space="0" w:color="auto"/>
            </w:tcBorders>
            <w:shd w:val="clear" w:color="auto" w:fill="auto"/>
            <w:noWrap/>
            <w:vAlign w:val="center"/>
            <w:hideMark/>
          </w:tcPr>
          <w:p w14:paraId="2D203DFE" w14:textId="77777777" w:rsidR="0041582F" w:rsidRPr="0041582F" w:rsidRDefault="0041582F" w:rsidP="0041582F">
            <w:pPr>
              <w:jc w:val="right"/>
              <w:rPr>
                <w:rFonts w:eastAsia="Times New Roman" w:cs="Times New Roman"/>
                <w:color w:val="auto"/>
                <w:sz w:val="20"/>
                <w:szCs w:val="20"/>
              </w:rPr>
            </w:pPr>
            <w:r w:rsidRPr="0041582F">
              <w:rPr>
                <w:rFonts w:eastAsia="Times New Roman" w:cs="Times New Roman"/>
                <w:color w:val="auto"/>
                <w:sz w:val="20"/>
                <w:szCs w:val="20"/>
              </w:rPr>
              <w:t>1,189,000</w:t>
            </w:r>
          </w:p>
        </w:tc>
      </w:tr>
      <w:tr w:rsidR="0041582F" w:rsidRPr="0041582F" w14:paraId="07879E9E" w14:textId="77777777" w:rsidTr="0041582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4F66723" w14:textId="77777777" w:rsidR="0041582F" w:rsidRPr="0041582F" w:rsidRDefault="0041582F" w:rsidP="0041582F">
            <w:pPr>
              <w:rPr>
                <w:rFonts w:eastAsia="Times New Roman" w:cs="Times New Roman"/>
                <w:b/>
                <w:bCs/>
                <w:color w:val="000000"/>
                <w:sz w:val="24"/>
                <w:szCs w:val="24"/>
              </w:rPr>
            </w:pPr>
            <w:r w:rsidRPr="0041582F">
              <w:rPr>
                <w:rFonts w:eastAsia="Times New Roman" w:cs="Times New Roman"/>
                <w:b/>
                <w:bCs/>
                <w:color w:val="000000"/>
                <w:sz w:val="24"/>
                <w:szCs w:val="24"/>
              </w:rPr>
              <w:t>Pillar 2</w:t>
            </w:r>
          </w:p>
        </w:tc>
        <w:tc>
          <w:tcPr>
            <w:tcW w:w="1300" w:type="dxa"/>
            <w:tcBorders>
              <w:top w:val="nil"/>
              <w:left w:val="nil"/>
              <w:bottom w:val="single" w:sz="4" w:space="0" w:color="auto"/>
              <w:right w:val="single" w:sz="4" w:space="0" w:color="auto"/>
            </w:tcBorders>
            <w:shd w:val="clear" w:color="auto" w:fill="auto"/>
            <w:noWrap/>
            <w:vAlign w:val="center"/>
            <w:hideMark/>
          </w:tcPr>
          <w:p w14:paraId="3BDF7B3D" w14:textId="77777777" w:rsidR="0041582F" w:rsidRPr="0041582F" w:rsidRDefault="0041582F" w:rsidP="0041582F">
            <w:pPr>
              <w:jc w:val="right"/>
              <w:rPr>
                <w:rFonts w:eastAsia="Times New Roman" w:cs="Times New Roman"/>
                <w:color w:val="000000"/>
                <w:sz w:val="20"/>
                <w:szCs w:val="20"/>
              </w:rPr>
            </w:pPr>
            <w:r w:rsidRPr="0041582F">
              <w:rPr>
                <w:rFonts w:eastAsia="Times New Roman" w:cs="Times New Roman"/>
                <w:color w:val="000000"/>
                <w:sz w:val="20"/>
                <w:szCs w:val="20"/>
              </w:rPr>
              <w:t>$1,284,700</w:t>
            </w:r>
          </w:p>
        </w:tc>
      </w:tr>
      <w:tr w:rsidR="0041582F" w:rsidRPr="0041582F" w14:paraId="18BF75BF" w14:textId="77777777" w:rsidTr="0041582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8DCC380" w14:textId="77777777" w:rsidR="0041582F" w:rsidRPr="0041582F" w:rsidRDefault="0041582F" w:rsidP="0041582F">
            <w:pPr>
              <w:rPr>
                <w:rFonts w:eastAsia="Times New Roman" w:cs="Times New Roman"/>
                <w:b/>
                <w:bCs/>
                <w:color w:val="000000"/>
                <w:sz w:val="24"/>
                <w:szCs w:val="24"/>
              </w:rPr>
            </w:pPr>
            <w:r w:rsidRPr="0041582F">
              <w:rPr>
                <w:rFonts w:eastAsia="Times New Roman" w:cs="Times New Roman"/>
                <w:b/>
                <w:bCs/>
                <w:color w:val="000000"/>
                <w:sz w:val="24"/>
                <w:szCs w:val="24"/>
              </w:rPr>
              <w:t>Pllar 3</w:t>
            </w:r>
          </w:p>
        </w:tc>
        <w:tc>
          <w:tcPr>
            <w:tcW w:w="1300" w:type="dxa"/>
            <w:tcBorders>
              <w:top w:val="nil"/>
              <w:left w:val="nil"/>
              <w:bottom w:val="single" w:sz="4" w:space="0" w:color="auto"/>
              <w:right w:val="single" w:sz="4" w:space="0" w:color="auto"/>
            </w:tcBorders>
            <w:shd w:val="clear" w:color="auto" w:fill="auto"/>
            <w:noWrap/>
            <w:vAlign w:val="center"/>
            <w:hideMark/>
          </w:tcPr>
          <w:p w14:paraId="4844F6DE" w14:textId="77777777" w:rsidR="0041582F" w:rsidRPr="0041582F" w:rsidRDefault="0041582F" w:rsidP="0041582F">
            <w:pPr>
              <w:jc w:val="right"/>
              <w:rPr>
                <w:rFonts w:eastAsia="Times New Roman" w:cs="Times New Roman"/>
                <w:color w:val="auto"/>
                <w:sz w:val="20"/>
                <w:szCs w:val="20"/>
              </w:rPr>
            </w:pPr>
            <w:r w:rsidRPr="0041582F">
              <w:rPr>
                <w:rFonts w:eastAsia="Times New Roman" w:cs="Times New Roman"/>
                <w:color w:val="auto"/>
                <w:sz w:val="20"/>
                <w:szCs w:val="20"/>
              </w:rPr>
              <w:t>2,219,300</w:t>
            </w:r>
          </w:p>
        </w:tc>
      </w:tr>
      <w:tr w:rsidR="0041582F" w:rsidRPr="0041582F" w14:paraId="395F1FCB" w14:textId="77777777" w:rsidTr="0041582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414E4BA" w14:textId="77777777" w:rsidR="0041582F" w:rsidRPr="0041582F" w:rsidRDefault="0041582F" w:rsidP="0041582F">
            <w:pPr>
              <w:rPr>
                <w:rFonts w:eastAsia="Times New Roman" w:cs="Times New Roman"/>
                <w:b/>
                <w:bCs/>
                <w:color w:val="000000"/>
                <w:sz w:val="24"/>
                <w:szCs w:val="24"/>
              </w:rPr>
            </w:pPr>
            <w:r w:rsidRPr="0041582F">
              <w:rPr>
                <w:rFonts w:eastAsia="Times New Roman" w:cs="Times New Roman"/>
                <w:b/>
                <w:bCs/>
                <w:color w:val="000000"/>
                <w:sz w:val="24"/>
                <w:szCs w:val="24"/>
              </w:rPr>
              <w:t>Pillar 4</w:t>
            </w:r>
          </w:p>
        </w:tc>
        <w:tc>
          <w:tcPr>
            <w:tcW w:w="1300" w:type="dxa"/>
            <w:tcBorders>
              <w:top w:val="nil"/>
              <w:left w:val="nil"/>
              <w:bottom w:val="single" w:sz="4" w:space="0" w:color="auto"/>
              <w:right w:val="single" w:sz="4" w:space="0" w:color="auto"/>
            </w:tcBorders>
            <w:shd w:val="clear" w:color="auto" w:fill="auto"/>
            <w:noWrap/>
            <w:vAlign w:val="center"/>
            <w:hideMark/>
          </w:tcPr>
          <w:p w14:paraId="309759DC" w14:textId="77777777" w:rsidR="0041582F" w:rsidRPr="0041582F" w:rsidRDefault="0041582F" w:rsidP="0041582F">
            <w:pPr>
              <w:jc w:val="right"/>
              <w:rPr>
                <w:rFonts w:eastAsia="Times New Roman" w:cs="Times New Roman"/>
                <w:color w:val="auto"/>
                <w:sz w:val="20"/>
                <w:szCs w:val="20"/>
              </w:rPr>
            </w:pPr>
            <w:r w:rsidRPr="0041582F">
              <w:rPr>
                <w:rFonts w:eastAsia="Times New Roman" w:cs="Times New Roman"/>
                <w:color w:val="auto"/>
                <w:sz w:val="20"/>
                <w:szCs w:val="20"/>
              </w:rPr>
              <w:t>433,763</w:t>
            </w:r>
          </w:p>
        </w:tc>
      </w:tr>
      <w:tr w:rsidR="0041582F" w:rsidRPr="0041582F" w14:paraId="2F51328E" w14:textId="77777777" w:rsidTr="0041582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153848B" w14:textId="77777777" w:rsidR="0041582F" w:rsidRPr="0041582F" w:rsidRDefault="0041582F" w:rsidP="0041582F">
            <w:pPr>
              <w:rPr>
                <w:rFonts w:eastAsia="Times New Roman" w:cs="Times New Roman"/>
                <w:b/>
                <w:bCs/>
                <w:color w:val="000000"/>
                <w:sz w:val="24"/>
                <w:szCs w:val="24"/>
              </w:rPr>
            </w:pPr>
            <w:r w:rsidRPr="0041582F">
              <w:rPr>
                <w:rFonts w:eastAsia="Times New Roman" w:cs="Times New Roman"/>
                <w:b/>
                <w:bCs/>
                <w:color w:val="000000"/>
                <w:sz w:val="24"/>
                <w:szCs w:val="24"/>
              </w:rPr>
              <w:t>Totals</w:t>
            </w:r>
          </w:p>
        </w:tc>
        <w:tc>
          <w:tcPr>
            <w:tcW w:w="1300" w:type="dxa"/>
            <w:tcBorders>
              <w:top w:val="nil"/>
              <w:left w:val="nil"/>
              <w:bottom w:val="single" w:sz="4" w:space="0" w:color="auto"/>
              <w:right w:val="single" w:sz="4" w:space="0" w:color="auto"/>
            </w:tcBorders>
            <w:shd w:val="clear" w:color="auto" w:fill="auto"/>
            <w:noWrap/>
            <w:vAlign w:val="bottom"/>
            <w:hideMark/>
          </w:tcPr>
          <w:p w14:paraId="4C107B26" w14:textId="77777777" w:rsidR="0041582F" w:rsidRPr="0041582F" w:rsidRDefault="0041582F" w:rsidP="0041582F">
            <w:pPr>
              <w:jc w:val="right"/>
              <w:rPr>
                <w:rFonts w:eastAsia="Times New Roman" w:cs="Times New Roman"/>
                <w:b/>
                <w:bCs/>
                <w:color w:val="000000"/>
                <w:sz w:val="24"/>
                <w:szCs w:val="24"/>
              </w:rPr>
            </w:pPr>
            <w:r w:rsidRPr="0041582F">
              <w:rPr>
                <w:rFonts w:eastAsia="Times New Roman" w:cs="Times New Roman"/>
                <w:b/>
                <w:bCs/>
                <w:color w:val="000000"/>
                <w:sz w:val="24"/>
                <w:szCs w:val="24"/>
              </w:rPr>
              <w:t>5,126,763</w:t>
            </w:r>
          </w:p>
        </w:tc>
      </w:tr>
    </w:tbl>
    <w:p w14:paraId="4E6DCD30" w14:textId="3437A5C1" w:rsidR="00566C82" w:rsidRDefault="00566C82" w:rsidP="000C4738">
      <w:pPr>
        <w:jc w:val="both"/>
        <w:rPr>
          <w:rFonts w:asciiTheme="majorHAnsi" w:hAnsiTheme="majorHAnsi"/>
        </w:rPr>
      </w:pPr>
    </w:p>
    <w:p w14:paraId="55B006FB" w14:textId="5D08BA87" w:rsidR="00D2617D" w:rsidRDefault="00D2617D" w:rsidP="000C4738">
      <w:pPr>
        <w:jc w:val="both"/>
        <w:rPr>
          <w:rFonts w:asciiTheme="majorHAnsi" w:hAnsiTheme="majorHAnsi"/>
        </w:rPr>
      </w:pPr>
      <w:r>
        <w:rPr>
          <w:rFonts w:asciiTheme="majorHAnsi" w:hAnsiTheme="majorHAnsi"/>
        </w:rPr>
        <w:br w:type="page"/>
      </w:r>
    </w:p>
    <w:p w14:paraId="66C50EE9" w14:textId="7F9A8234" w:rsidR="00D2617D" w:rsidRDefault="00D2617D" w:rsidP="000C4738">
      <w:pPr>
        <w:jc w:val="both"/>
        <w:rPr>
          <w:b/>
        </w:rPr>
      </w:pPr>
      <w:r w:rsidRPr="00D2617D">
        <w:rPr>
          <w:rFonts w:asciiTheme="majorHAnsi" w:hAnsiTheme="majorHAnsi"/>
          <w:b/>
        </w:rPr>
        <w:lastRenderedPageBreak/>
        <w:t xml:space="preserve">Annex 1: </w:t>
      </w:r>
      <w:r w:rsidRPr="00D2617D">
        <w:rPr>
          <w:b/>
        </w:rPr>
        <w:t xml:space="preserve"> GNC Partners and Observers for 2014 -2016</w:t>
      </w:r>
    </w:p>
    <w:p w14:paraId="11FB8748" w14:textId="77777777" w:rsidR="003F5848" w:rsidRDefault="003F5848" w:rsidP="000C4738">
      <w:pPr>
        <w:jc w:val="both"/>
        <w:rPr>
          <w:b/>
        </w:rPr>
      </w:pPr>
    </w:p>
    <w:p w14:paraId="7C37DFEE" w14:textId="77777777" w:rsidR="003F5848" w:rsidRDefault="003F5848" w:rsidP="006C2C3A">
      <w:pPr>
        <w:autoSpaceDE w:val="0"/>
        <w:autoSpaceDN w:val="0"/>
        <w:adjustRightInd w:val="0"/>
        <w:jc w:val="both"/>
        <w:rPr>
          <w:rFonts w:asciiTheme="majorHAnsi" w:hAnsiTheme="majorHAnsi"/>
        </w:rPr>
      </w:pPr>
      <w:r w:rsidRPr="00D71DC2">
        <w:rPr>
          <w:rFonts w:asciiTheme="majorHAnsi" w:hAnsiTheme="majorHAnsi"/>
        </w:rPr>
        <w:t xml:space="preserve">The Global Nutrition Cluster (GNC) </w:t>
      </w:r>
      <w:r>
        <w:rPr>
          <w:rFonts w:asciiTheme="majorHAnsi" w:hAnsiTheme="majorHAnsi"/>
        </w:rPr>
        <w:t>is comprised of approximately 32</w:t>
      </w:r>
      <w:r w:rsidRPr="00D71DC2">
        <w:rPr>
          <w:rFonts w:asciiTheme="majorHAnsi" w:hAnsiTheme="majorHAnsi"/>
        </w:rPr>
        <w:t xml:space="preserve"> partners</w:t>
      </w:r>
      <w:r>
        <w:rPr>
          <w:rFonts w:asciiTheme="majorHAnsi" w:hAnsiTheme="majorHAnsi"/>
        </w:rPr>
        <w:t>, 8 observers</w:t>
      </w:r>
      <w:r w:rsidRPr="00D71DC2">
        <w:rPr>
          <w:rFonts w:asciiTheme="majorHAnsi" w:hAnsiTheme="majorHAnsi"/>
        </w:rPr>
        <w:t xml:space="preserve"> and a small team of dedicated staff within UNICEF. </w:t>
      </w:r>
    </w:p>
    <w:p w14:paraId="0696AAAC" w14:textId="77777777" w:rsidR="003F5848" w:rsidRDefault="003F5848" w:rsidP="003F5848">
      <w:pPr>
        <w:autoSpaceDE w:val="0"/>
        <w:autoSpaceDN w:val="0"/>
        <w:adjustRightInd w:val="0"/>
        <w:jc w:val="both"/>
        <w:rPr>
          <w:rFonts w:asciiTheme="majorHAnsi" w:hAnsiTheme="majorHAnsi"/>
        </w:rPr>
      </w:pPr>
    </w:p>
    <w:p w14:paraId="5D1E29AD" w14:textId="77777777" w:rsidR="003F5848" w:rsidRPr="00DD3D07" w:rsidRDefault="003F5848" w:rsidP="003F5848">
      <w:pPr>
        <w:autoSpaceDE w:val="0"/>
        <w:autoSpaceDN w:val="0"/>
        <w:adjustRightInd w:val="0"/>
        <w:jc w:val="both"/>
        <w:rPr>
          <w:rFonts w:asciiTheme="majorHAnsi" w:hAnsiTheme="majorHAnsi"/>
          <w:lang w:val="fr-FR"/>
        </w:rPr>
      </w:pPr>
      <w:r w:rsidRPr="007B6CAA">
        <w:rPr>
          <w:rFonts w:asciiTheme="majorHAnsi" w:hAnsiTheme="majorHAnsi"/>
          <w:u w:val="single"/>
          <w:lang w:val="fr-CH"/>
        </w:rPr>
        <w:t xml:space="preserve">Partners  </w:t>
      </w:r>
    </w:p>
    <w:p w14:paraId="344351B4" w14:textId="1D53D5DE" w:rsidR="003F5848" w:rsidRPr="00DD3D07" w:rsidRDefault="003F5848" w:rsidP="00D37520">
      <w:pPr>
        <w:autoSpaceDE w:val="0"/>
        <w:autoSpaceDN w:val="0"/>
        <w:adjustRightInd w:val="0"/>
        <w:jc w:val="both"/>
        <w:rPr>
          <w:rFonts w:asciiTheme="majorHAnsi" w:hAnsiTheme="majorHAnsi"/>
          <w:lang w:val="fr-FR"/>
        </w:rPr>
      </w:pPr>
      <w:r>
        <w:rPr>
          <w:rFonts w:asciiTheme="majorHAnsi" w:hAnsiTheme="majorHAnsi"/>
          <w:lang w:val="fr-CH"/>
        </w:rPr>
        <w:t>Action contre la Faim (France)</w:t>
      </w:r>
    </w:p>
    <w:p w14:paraId="15A225EF" w14:textId="77777777" w:rsidR="003F5848" w:rsidRPr="007B6CAA" w:rsidRDefault="003F5848">
      <w:pPr>
        <w:autoSpaceDE w:val="0"/>
        <w:autoSpaceDN w:val="0"/>
        <w:adjustRightInd w:val="0"/>
        <w:jc w:val="both"/>
        <w:rPr>
          <w:rFonts w:asciiTheme="majorHAnsi" w:hAnsiTheme="majorHAnsi"/>
        </w:rPr>
      </w:pPr>
      <w:r w:rsidRPr="00DD3D07">
        <w:rPr>
          <w:rFonts w:asciiTheme="majorHAnsi" w:hAnsiTheme="majorHAnsi"/>
          <w:lang w:val="fr-FR"/>
        </w:rPr>
        <w:t xml:space="preserve"> </w:t>
      </w:r>
      <w:r w:rsidRPr="00DD3D07">
        <w:rPr>
          <w:rFonts w:asciiTheme="majorHAnsi" w:hAnsiTheme="majorHAnsi"/>
          <w:lang w:val="en-GB"/>
        </w:rPr>
        <w:t>Action against Hunger (UK)</w:t>
      </w:r>
    </w:p>
    <w:p w14:paraId="0895F681" w14:textId="77777777" w:rsidR="003F5848" w:rsidRPr="007B6CAA" w:rsidRDefault="003F5848">
      <w:pPr>
        <w:autoSpaceDE w:val="0"/>
        <w:autoSpaceDN w:val="0"/>
        <w:adjustRightInd w:val="0"/>
        <w:jc w:val="both"/>
        <w:rPr>
          <w:rFonts w:asciiTheme="majorHAnsi" w:hAnsiTheme="majorHAnsi"/>
        </w:rPr>
      </w:pPr>
      <w:r w:rsidRPr="00DD3D07">
        <w:rPr>
          <w:rFonts w:asciiTheme="majorHAnsi" w:hAnsiTheme="majorHAnsi"/>
          <w:lang w:val="en-GB"/>
        </w:rPr>
        <w:t xml:space="preserve"> Action against Hunger Canada SMART</w:t>
      </w:r>
    </w:p>
    <w:p w14:paraId="7C1E5A92" w14:textId="77777777" w:rsidR="003F5848" w:rsidRPr="007B6CAA" w:rsidRDefault="003F5848">
      <w:pPr>
        <w:autoSpaceDE w:val="0"/>
        <w:autoSpaceDN w:val="0"/>
        <w:adjustRightInd w:val="0"/>
        <w:jc w:val="both"/>
        <w:rPr>
          <w:rFonts w:asciiTheme="majorHAnsi" w:hAnsiTheme="majorHAnsi"/>
        </w:rPr>
      </w:pPr>
      <w:r w:rsidRPr="00DD3D07">
        <w:rPr>
          <w:rFonts w:asciiTheme="majorHAnsi" w:hAnsiTheme="majorHAnsi"/>
          <w:lang w:val="en-GB"/>
        </w:rPr>
        <w:t xml:space="preserve"> Centers for Disease Control (CDC)</w:t>
      </w:r>
    </w:p>
    <w:p w14:paraId="33859D95" w14:textId="77777777" w:rsidR="003F5848" w:rsidRPr="007B6CAA" w:rsidRDefault="003F5848">
      <w:pPr>
        <w:autoSpaceDE w:val="0"/>
        <w:autoSpaceDN w:val="0"/>
        <w:adjustRightInd w:val="0"/>
        <w:jc w:val="both"/>
        <w:rPr>
          <w:rFonts w:asciiTheme="majorHAnsi" w:hAnsiTheme="majorHAnsi"/>
        </w:rPr>
      </w:pPr>
      <w:r w:rsidRPr="00DD3D07">
        <w:rPr>
          <w:rFonts w:asciiTheme="majorHAnsi" w:hAnsiTheme="majorHAnsi"/>
          <w:lang w:val="en-GB"/>
        </w:rPr>
        <w:t xml:space="preserve"> CMAM forum</w:t>
      </w:r>
    </w:p>
    <w:p w14:paraId="27FB316D" w14:textId="77777777" w:rsidR="003F5848" w:rsidRPr="007B6CAA" w:rsidRDefault="003F5848">
      <w:pPr>
        <w:autoSpaceDE w:val="0"/>
        <w:autoSpaceDN w:val="0"/>
        <w:adjustRightInd w:val="0"/>
        <w:jc w:val="both"/>
        <w:rPr>
          <w:rFonts w:asciiTheme="majorHAnsi" w:hAnsiTheme="majorHAnsi"/>
        </w:rPr>
      </w:pPr>
      <w:r w:rsidRPr="00DD3D07">
        <w:rPr>
          <w:rFonts w:asciiTheme="majorHAnsi" w:hAnsiTheme="majorHAnsi"/>
          <w:lang w:val="en-GB"/>
        </w:rPr>
        <w:t xml:space="preserve"> CRED</w:t>
      </w:r>
    </w:p>
    <w:p w14:paraId="6AA3E355" w14:textId="77777777" w:rsidR="003F5848" w:rsidRPr="007B6CAA" w:rsidRDefault="003F5848">
      <w:pPr>
        <w:autoSpaceDE w:val="0"/>
        <w:autoSpaceDN w:val="0"/>
        <w:adjustRightInd w:val="0"/>
        <w:jc w:val="both"/>
        <w:rPr>
          <w:rFonts w:asciiTheme="majorHAnsi" w:hAnsiTheme="majorHAnsi"/>
        </w:rPr>
      </w:pPr>
      <w:r w:rsidRPr="00DD3D07">
        <w:rPr>
          <w:rFonts w:asciiTheme="majorHAnsi" w:hAnsiTheme="majorHAnsi"/>
          <w:lang w:val="en-GB"/>
        </w:rPr>
        <w:t xml:space="preserve"> Concern</w:t>
      </w:r>
    </w:p>
    <w:p w14:paraId="2C5531AF" w14:textId="77777777" w:rsidR="003F5848" w:rsidRPr="007B6CAA" w:rsidRDefault="003F5848">
      <w:pPr>
        <w:autoSpaceDE w:val="0"/>
        <w:autoSpaceDN w:val="0"/>
        <w:adjustRightInd w:val="0"/>
        <w:rPr>
          <w:rFonts w:asciiTheme="majorHAnsi" w:hAnsiTheme="majorHAnsi"/>
        </w:rPr>
      </w:pPr>
      <w:r w:rsidRPr="00DD3D07">
        <w:rPr>
          <w:rFonts w:asciiTheme="majorHAnsi" w:hAnsiTheme="majorHAnsi"/>
          <w:lang w:val="en-GB"/>
        </w:rPr>
        <w:t xml:space="preserve"> Department International Development (DFID)</w:t>
      </w:r>
      <w:r w:rsidRPr="00DD3D07">
        <w:rPr>
          <w:rFonts w:asciiTheme="majorHAnsi" w:hAnsiTheme="majorHAnsi"/>
          <w:lang w:val="en-GB"/>
        </w:rPr>
        <w:br/>
        <w:t xml:space="preserve"> Emergency Nutrition Network (ENN)</w:t>
      </w:r>
      <w:r w:rsidRPr="00DD3D07">
        <w:rPr>
          <w:rFonts w:asciiTheme="majorHAnsi" w:hAnsiTheme="majorHAnsi"/>
          <w:lang w:val="en-GB"/>
        </w:rPr>
        <w:br/>
        <w:t xml:space="preserve"> FAO</w:t>
      </w:r>
      <w:r w:rsidRPr="00DD3D07">
        <w:rPr>
          <w:rFonts w:asciiTheme="majorHAnsi" w:hAnsiTheme="majorHAnsi"/>
          <w:lang w:val="en-GB"/>
        </w:rPr>
        <w:br/>
        <w:t xml:space="preserve"> Food &amp;Nutrition Technical Assistance (FANTA)</w:t>
      </w:r>
      <w:r w:rsidRPr="00DD3D07">
        <w:rPr>
          <w:rFonts w:asciiTheme="majorHAnsi" w:hAnsiTheme="majorHAnsi"/>
          <w:lang w:val="en-GB"/>
        </w:rPr>
        <w:br/>
        <w:t xml:space="preserve"> GAIN</w:t>
      </w:r>
      <w:r w:rsidRPr="00DD3D07">
        <w:rPr>
          <w:rFonts w:asciiTheme="majorHAnsi" w:hAnsiTheme="majorHAnsi"/>
          <w:lang w:val="en-GB"/>
        </w:rPr>
        <w:br/>
        <w:t xml:space="preserve"> GOAL </w:t>
      </w:r>
      <w:r w:rsidRPr="00DD3D07">
        <w:rPr>
          <w:rFonts w:asciiTheme="majorHAnsi" w:hAnsiTheme="majorHAnsi"/>
          <w:lang w:val="en-GB"/>
        </w:rPr>
        <w:br/>
        <w:t xml:space="preserve"> Help Age International</w:t>
      </w:r>
      <w:r w:rsidRPr="00DD3D07">
        <w:rPr>
          <w:rFonts w:asciiTheme="majorHAnsi" w:hAnsiTheme="majorHAnsi"/>
          <w:lang w:val="en-GB"/>
        </w:rPr>
        <w:br/>
        <w:t xml:space="preserve"> International Federation of Red Cross (IFRC)</w:t>
      </w:r>
      <w:r w:rsidRPr="00DD3D07">
        <w:rPr>
          <w:rFonts w:asciiTheme="majorHAnsi" w:hAnsiTheme="majorHAnsi"/>
          <w:lang w:val="en-GB"/>
        </w:rPr>
        <w:br/>
        <w:t xml:space="preserve"> International Medical Corps (IMC)</w:t>
      </w:r>
      <w:r w:rsidRPr="00DD3D07">
        <w:rPr>
          <w:rFonts w:asciiTheme="majorHAnsi" w:hAnsiTheme="majorHAnsi"/>
          <w:lang w:val="en-GB"/>
        </w:rPr>
        <w:br/>
        <w:t xml:space="preserve"> International Orthodox Christian Charities(IOCC) </w:t>
      </w:r>
      <w:r w:rsidRPr="00DD3D07">
        <w:rPr>
          <w:rFonts w:asciiTheme="majorHAnsi" w:hAnsiTheme="majorHAnsi"/>
          <w:lang w:val="en-GB"/>
        </w:rPr>
        <w:br/>
        <w:t xml:space="preserve"> International Rescue Committee (IRC)</w:t>
      </w:r>
    </w:p>
    <w:p w14:paraId="5B5FDF70" w14:textId="77777777" w:rsidR="003F5848" w:rsidRPr="00DD3D07" w:rsidRDefault="003F5848">
      <w:pPr>
        <w:autoSpaceDE w:val="0"/>
        <w:autoSpaceDN w:val="0"/>
        <w:adjustRightInd w:val="0"/>
        <w:rPr>
          <w:rFonts w:asciiTheme="majorHAnsi" w:hAnsiTheme="majorHAnsi"/>
          <w:lang w:val="en-GB"/>
        </w:rPr>
      </w:pPr>
      <w:r w:rsidRPr="00DD3D07">
        <w:rPr>
          <w:rFonts w:asciiTheme="majorHAnsi" w:hAnsiTheme="majorHAnsi"/>
          <w:lang w:val="en-GB"/>
        </w:rPr>
        <w:t xml:space="preserve"> Merlin</w:t>
      </w:r>
    </w:p>
    <w:p w14:paraId="080BB5DD" w14:textId="77777777" w:rsidR="003F5848" w:rsidRPr="009A54A6" w:rsidRDefault="003F5848" w:rsidP="003F5848">
      <w:pPr>
        <w:autoSpaceDE w:val="0"/>
        <w:autoSpaceDN w:val="0"/>
        <w:adjustRightInd w:val="0"/>
        <w:rPr>
          <w:rFonts w:asciiTheme="majorHAnsi" w:hAnsiTheme="majorHAnsi"/>
        </w:rPr>
      </w:pPr>
      <w:r w:rsidRPr="00DD3D07">
        <w:rPr>
          <w:rFonts w:asciiTheme="majorHAnsi" w:eastAsia="Times New Roman" w:hAnsiTheme="majorHAnsi"/>
          <w:bCs/>
          <w:lang w:val="en-GB"/>
        </w:rPr>
        <w:t>Nutrition Works</w:t>
      </w:r>
    </w:p>
    <w:p w14:paraId="444CA186" w14:textId="77777777" w:rsidR="003F5848" w:rsidRPr="009A54A6" w:rsidRDefault="003F5848" w:rsidP="003F5848">
      <w:pPr>
        <w:autoSpaceDE w:val="0"/>
        <w:autoSpaceDN w:val="0"/>
        <w:adjustRightInd w:val="0"/>
        <w:rPr>
          <w:rFonts w:asciiTheme="majorHAnsi" w:hAnsiTheme="majorHAnsi"/>
        </w:rPr>
      </w:pPr>
      <w:r w:rsidRPr="00DD3D07">
        <w:rPr>
          <w:rFonts w:asciiTheme="majorHAnsi" w:eastAsia="Times New Roman" w:hAnsiTheme="majorHAnsi"/>
          <w:bCs/>
          <w:lang w:val="en-GB"/>
        </w:rPr>
        <w:t>OFDA/USAID</w:t>
      </w:r>
    </w:p>
    <w:p w14:paraId="4ADD5B09" w14:textId="77777777" w:rsidR="003F5848" w:rsidRPr="009A54A6" w:rsidRDefault="003F5848" w:rsidP="003F5848">
      <w:pPr>
        <w:autoSpaceDE w:val="0"/>
        <w:autoSpaceDN w:val="0"/>
        <w:adjustRightInd w:val="0"/>
        <w:rPr>
          <w:rFonts w:asciiTheme="majorHAnsi" w:hAnsiTheme="majorHAnsi"/>
        </w:rPr>
      </w:pPr>
      <w:r w:rsidRPr="00DD3D07">
        <w:rPr>
          <w:rFonts w:asciiTheme="majorHAnsi" w:eastAsia="Times New Roman" w:hAnsiTheme="majorHAnsi"/>
          <w:bCs/>
          <w:lang w:val="en-GB"/>
        </w:rPr>
        <w:t>Plan International</w:t>
      </w:r>
    </w:p>
    <w:p w14:paraId="28FA3B71" w14:textId="77777777" w:rsidR="003F5848" w:rsidRPr="009A54A6" w:rsidRDefault="003F5848" w:rsidP="003F5848">
      <w:pPr>
        <w:autoSpaceDE w:val="0"/>
        <w:autoSpaceDN w:val="0"/>
        <w:adjustRightInd w:val="0"/>
        <w:rPr>
          <w:rFonts w:asciiTheme="majorHAnsi" w:hAnsiTheme="majorHAnsi"/>
        </w:rPr>
      </w:pPr>
      <w:r w:rsidRPr="00DD3D07">
        <w:rPr>
          <w:rFonts w:asciiTheme="majorHAnsi" w:eastAsia="Times New Roman" w:hAnsiTheme="majorHAnsi"/>
          <w:bCs/>
          <w:lang w:val="en-GB"/>
        </w:rPr>
        <w:t>Samaritan’s Purse</w:t>
      </w:r>
    </w:p>
    <w:p w14:paraId="22C7295B" w14:textId="77777777" w:rsidR="003F5848" w:rsidRPr="009A54A6" w:rsidRDefault="003F5848" w:rsidP="003F5848">
      <w:pPr>
        <w:autoSpaceDE w:val="0"/>
        <w:autoSpaceDN w:val="0"/>
        <w:adjustRightInd w:val="0"/>
        <w:rPr>
          <w:rFonts w:asciiTheme="majorHAnsi" w:hAnsiTheme="majorHAnsi"/>
        </w:rPr>
      </w:pPr>
      <w:r w:rsidRPr="00DD3D07">
        <w:rPr>
          <w:rFonts w:asciiTheme="majorHAnsi" w:eastAsia="Times New Roman" w:hAnsiTheme="majorHAnsi"/>
          <w:bCs/>
          <w:lang w:val="en-GB"/>
        </w:rPr>
        <w:t>Save the Children UK</w:t>
      </w:r>
    </w:p>
    <w:p w14:paraId="4D8A5097" w14:textId="77777777" w:rsidR="003F5848" w:rsidRPr="009A54A6" w:rsidRDefault="003F5848" w:rsidP="003F5848">
      <w:pPr>
        <w:autoSpaceDE w:val="0"/>
        <w:autoSpaceDN w:val="0"/>
        <w:adjustRightInd w:val="0"/>
        <w:rPr>
          <w:rFonts w:asciiTheme="majorHAnsi" w:hAnsiTheme="majorHAnsi"/>
        </w:rPr>
      </w:pPr>
      <w:r w:rsidRPr="00DD3D07">
        <w:rPr>
          <w:rFonts w:asciiTheme="majorHAnsi" w:eastAsia="Times New Roman" w:hAnsiTheme="majorHAnsi"/>
          <w:bCs/>
          <w:lang w:val="en-GB"/>
        </w:rPr>
        <w:t>Save the Children USA</w:t>
      </w:r>
      <w:r w:rsidRPr="00DD3D07">
        <w:rPr>
          <w:rFonts w:asciiTheme="majorHAnsi" w:eastAsia="Times New Roman" w:hAnsiTheme="majorHAnsi"/>
          <w:bCs/>
          <w:lang w:val="en-GB"/>
        </w:rPr>
        <w:br/>
        <w:t>Standing Committee on Nutrition (SCN)</w:t>
      </w:r>
    </w:p>
    <w:p w14:paraId="34AD41E5" w14:textId="75C5BD2A" w:rsidR="00D37520" w:rsidRDefault="00D37520" w:rsidP="003F5848">
      <w:pPr>
        <w:autoSpaceDE w:val="0"/>
        <w:autoSpaceDN w:val="0"/>
        <w:adjustRightInd w:val="0"/>
        <w:rPr>
          <w:rFonts w:asciiTheme="majorHAnsi" w:eastAsia="Times New Roman" w:hAnsiTheme="majorHAnsi"/>
          <w:bCs/>
          <w:lang w:val="en-GB"/>
        </w:rPr>
      </w:pPr>
      <w:r>
        <w:rPr>
          <w:rFonts w:asciiTheme="majorHAnsi" w:eastAsia="Times New Roman" w:hAnsiTheme="majorHAnsi"/>
          <w:bCs/>
          <w:lang w:val="en-GB"/>
        </w:rPr>
        <w:t>UNICEF</w:t>
      </w:r>
    </w:p>
    <w:p w14:paraId="4E42841A" w14:textId="77777777" w:rsidR="003F5848" w:rsidRPr="00DD3D07" w:rsidRDefault="003F5848" w:rsidP="003F5848">
      <w:pPr>
        <w:autoSpaceDE w:val="0"/>
        <w:autoSpaceDN w:val="0"/>
        <w:adjustRightInd w:val="0"/>
        <w:rPr>
          <w:rFonts w:asciiTheme="majorHAnsi" w:eastAsia="Times New Roman" w:hAnsiTheme="majorHAnsi"/>
          <w:bCs/>
          <w:lang w:val="en-GB"/>
        </w:rPr>
      </w:pPr>
      <w:r w:rsidRPr="00DD3D07">
        <w:rPr>
          <w:rFonts w:asciiTheme="majorHAnsi" w:eastAsia="Times New Roman" w:hAnsiTheme="majorHAnsi"/>
          <w:bCs/>
          <w:lang w:val="en-GB"/>
        </w:rPr>
        <w:t>UNHCR</w:t>
      </w:r>
    </w:p>
    <w:p w14:paraId="68D2ABB7" w14:textId="77777777" w:rsidR="003F5848" w:rsidRPr="009A54A6" w:rsidRDefault="003F5848" w:rsidP="003F5848">
      <w:pPr>
        <w:autoSpaceDE w:val="0"/>
        <w:autoSpaceDN w:val="0"/>
        <w:adjustRightInd w:val="0"/>
        <w:rPr>
          <w:rFonts w:asciiTheme="majorHAnsi" w:hAnsiTheme="majorHAnsi"/>
        </w:rPr>
      </w:pPr>
      <w:r w:rsidRPr="00DD3D07">
        <w:rPr>
          <w:rFonts w:asciiTheme="majorHAnsi" w:eastAsia="Times New Roman" w:hAnsiTheme="majorHAnsi"/>
          <w:bCs/>
          <w:lang w:val="en-GB"/>
        </w:rPr>
        <w:t>Valid International</w:t>
      </w:r>
      <w:r w:rsidRPr="00DD3D07">
        <w:rPr>
          <w:rFonts w:asciiTheme="majorHAnsi" w:eastAsia="Times New Roman" w:hAnsiTheme="majorHAnsi"/>
          <w:bCs/>
          <w:lang w:val="en-GB"/>
        </w:rPr>
        <w:br/>
        <w:t>World Food Programme (WFP)</w:t>
      </w:r>
    </w:p>
    <w:p w14:paraId="75127640" w14:textId="77777777" w:rsidR="003F5848" w:rsidRPr="009A54A6" w:rsidRDefault="003F5848" w:rsidP="003F5848">
      <w:pPr>
        <w:autoSpaceDE w:val="0"/>
        <w:autoSpaceDN w:val="0"/>
        <w:adjustRightInd w:val="0"/>
        <w:rPr>
          <w:rFonts w:asciiTheme="majorHAnsi" w:hAnsiTheme="majorHAnsi"/>
        </w:rPr>
      </w:pPr>
      <w:r w:rsidRPr="00DD3D07">
        <w:rPr>
          <w:rFonts w:asciiTheme="majorHAnsi" w:eastAsia="Times New Roman" w:hAnsiTheme="majorHAnsi"/>
          <w:bCs/>
          <w:lang w:val="en-GB"/>
        </w:rPr>
        <w:t xml:space="preserve">World Health Organization (WHO) </w:t>
      </w:r>
    </w:p>
    <w:p w14:paraId="604F6F3B" w14:textId="77777777" w:rsidR="003F5848" w:rsidRPr="009A54A6" w:rsidRDefault="003F5848" w:rsidP="003F5848">
      <w:pPr>
        <w:autoSpaceDE w:val="0"/>
        <w:autoSpaceDN w:val="0"/>
        <w:adjustRightInd w:val="0"/>
        <w:rPr>
          <w:rFonts w:asciiTheme="majorHAnsi" w:hAnsiTheme="majorHAnsi"/>
        </w:rPr>
      </w:pPr>
      <w:r w:rsidRPr="00DD3D07">
        <w:rPr>
          <w:rFonts w:asciiTheme="majorHAnsi" w:eastAsia="Times New Roman" w:hAnsiTheme="majorHAnsi"/>
          <w:bCs/>
          <w:lang w:val="en-GB"/>
        </w:rPr>
        <w:t>World Vision International (WVI)</w:t>
      </w:r>
    </w:p>
    <w:p w14:paraId="626B1F8B" w14:textId="77777777" w:rsidR="003F5848" w:rsidRPr="00DD3D07" w:rsidRDefault="003F5848" w:rsidP="003F5848">
      <w:pPr>
        <w:autoSpaceDE w:val="0"/>
        <w:autoSpaceDN w:val="0"/>
        <w:adjustRightInd w:val="0"/>
        <w:jc w:val="both"/>
        <w:rPr>
          <w:rFonts w:asciiTheme="majorHAnsi" w:hAnsiTheme="majorHAnsi"/>
          <w:bCs/>
          <w:lang w:val="en-GB"/>
        </w:rPr>
      </w:pPr>
    </w:p>
    <w:p w14:paraId="42A61407" w14:textId="77777777" w:rsidR="003F5848" w:rsidRPr="009A54A6" w:rsidRDefault="003F5848" w:rsidP="003F5848">
      <w:pPr>
        <w:autoSpaceDE w:val="0"/>
        <w:autoSpaceDN w:val="0"/>
        <w:adjustRightInd w:val="0"/>
        <w:jc w:val="both"/>
        <w:rPr>
          <w:rFonts w:asciiTheme="majorHAnsi" w:hAnsiTheme="majorHAnsi"/>
        </w:rPr>
      </w:pPr>
      <w:r w:rsidRPr="00DD3D07">
        <w:rPr>
          <w:rFonts w:asciiTheme="majorHAnsi" w:eastAsia="Times New Roman" w:hAnsiTheme="majorHAnsi"/>
          <w:bCs/>
          <w:u w:val="single"/>
          <w:lang w:val="en-GB"/>
        </w:rPr>
        <w:t xml:space="preserve">Observers </w:t>
      </w:r>
    </w:p>
    <w:p w14:paraId="785B2608" w14:textId="77777777" w:rsidR="003F5848" w:rsidRPr="009A54A6" w:rsidRDefault="003F5848" w:rsidP="003F5848">
      <w:pPr>
        <w:autoSpaceDE w:val="0"/>
        <w:autoSpaceDN w:val="0"/>
        <w:adjustRightInd w:val="0"/>
        <w:rPr>
          <w:rFonts w:asciiTheme="majorHAnsi" w:hAnsiTheme="majorHAnsi"/>
        </w:rPr>
      </w:pPr>
      <w:r w:rsidRPr="00DD3D07">
        <w:rPr>
          <w:rFonts w:asciiTheme="majorHAnsi" w:eastAsia="Times New Roman" w:hAnsiTheme="majorHAnsi"/>
          <w:bCs/>
          <w:lang w:val="en-GB"/>
        </w:rPr>
        <w:t>CARE</w:t>
      </w:r>
    </w:p>
    <w:p w14:paraId="5BCF0AC6" w14:textId="77777777" w:rsidR="003F5848" w:rsidRPr="009A54A6" w:rsidRDefault="003F5848" w:rsidP="003F5848">
      <w:pPr>
        <w:autoSpaceDE w:val="0"/>
        <w:autoSpaceDN w:val="0"/>
        <w:adjustRightInd w:val="0"/>
        <w:rPr>
          <w:rFonts w:asciiTheme="majorHAnsi" w:hAnsiTheme="majorHAnsi"/>
        </w:rPr>
      </w:pPr>
      <w:r w:rsidRPr="00DD3D07">
        <w:rPr>
          <w:rFonts w:asciiTheme="majorHAnsi" w:eastAsia="Times New Roman" w:hAnsiTheme="majorHAnsi"/>
          <w:bCs/>
          <w:lang w:val="en-GB"/>
        </w:rPr>
        <w:t>ECHO</w:t>
      </w:r>
    </w:p>
    <w:p w14:paraId="30DD3029" w14:textId="77777777" w:rsidR="003F5848" w:rsidRPr="009A54A6" w:rsidRDefault="003F5848" w:rsidP="003F5848">
      <w:pPr>
        <w:autoSpaceDE w:val="0"/>
        <w:autoSpaceDN w:val="0"/>
        <w:adjustRightInd w:val="0"/>
        <w:rPr>
          <w:rFonts w:asciiTheme="majorHAnsi" w:hAnsiTheme="majorHAnsi"/>
        </w:rPr>
      </w:pPr>
      <w:r w:rsidRPr="00DD3D07">
        <w:rPr>
          <w:rFonts w:asciiTheme="majorHAnsi" w:eastAsia="Times New Roman" w:hAnsiTheme="majorHAnsi"/>
          <w:bCs/>
          <w:lang w:val="en-GB"/>
        </w:rPr>
        <w:t>Helen Keller International (HKI)</w:t>
      </w:r>
    </w:p>
    <w:p w14:paraId="308D73C1" w14:textId="77777777" w:rsidR="003F5848" w:rsidRPr="00DD3D07" w:rsidRDefault="003F5848" w:rsidP="003F5848">
      <w:pPr>
        <w:autoSpaceDE w:val="0"/>
        <w:autoSpaceDN w:val="0"/>
        <w:adjustRightInd w:val="0"/>
        <w:rPr>
          <w:rFonts w:asciiTheme="majorHAnsi" w:hAnsiTheme="majorHAnsi"/>
          <w:lang w:val="fr-FR"/>
        </w:rPr>
      </w:pPr>
      <w:r w:rsidRPr="009A54A6">
        <w:rPr>
          <w:rFonts w:asciiTheme="majorHAnsi" w:eastAsia="Times New Roman" w:hAnsiTheme="majorHAnsi"/>
          <w:bCs/>
          <w:lang w:val="fr-CH"/>
        </w:rPr>
        <w:t>Médecins sans Frontières</w:t>
      </w:r>
    </w:p>
    <w:p w14:paraId="3D9E8B4E" w14:textId="77777777" w:rsidR="003F5848" w:rsidRPr="00DD3D07" w:rsidRDefault="003F5848" w:rsidP="003F5848">
      <w:pPr>
        <w:autoSpaceDE w:val="0"/>
        <w:autoSpaceDN w:val="0"/>
        <w:adjustRightInd w:val="0"/>
        <w:rPr>
          <w:rFonts w:asciiTheme="majorHAnsi" w:hAnsiTheme="majorHAnsi"/>
          <w:lang w:val="fr-FR"/>
        </w:rPr>
      </w:pPr>
      <w:r w:rsidRPr="009A54A6">
        <w:rPr>
          <w:rFonts w:asciiTheme="majorHAnsi" w:eastAsia="Times New Roman" w:hAnsiTheme="majorHAnsi"/>
          <w:bCs/>
          <w:lang w:val="fr-CH"/>
        </w:rPr>
        <w:t>Micronutrient Initiative (MI)</w:t>
      </w:r>
    </w:p>
    <w:p w14:paraId="06530129" w14:textId="77777777" w:rsidR="003F5848" w:rsidRPr="009A54A6" w:rsidRDefault="003F5848" w:rsidP="003F5848">
      <w:pPr>
        <w:autoSpaceDE w:val="0"/>
        <w:autoSpaceDN w:val="0"/>
        <w:adjustRightInd w:val="0"/>
        <w:rPr>
          <w:rFonts w:asciiTheme="majorHAnsi" w:hAnsiTheme="majorHAnsi"/>
        </w:rPr>
      </w:pPr>
      <w:r w:rsidRPr="00DD3D07">
        <w:rPr>
          <w:rFonts w:asciiTheme="majorHAnsi" w:eastAsia="Times New Roman" w:hAnsiTheme="majorHAnsi"/>
          <w:bCs/>
          <w:lang w:val="en-GB"/>
        </w:rPr>
        <w:t>International Commitee of Red Cross (ICRC)</w:t>
      </w:r>
    </w:p>
    <w:p w14:paraId="396042DC" w14:textId="77777777" w:rsidR="003F5848" w:rsidRPr="009A54A6" w:rsidRDefault="003F5848" w:rsidP="003F5848">
      <w:pPr>
        <w:autoSpaceDE w:val="0"/>
        <w:autoSpaceDN w:val="0"/>
        <w:adjustRightInd w:val="0"/>
        <w:rPr>
          <w:rFonts w:asciiTheme="majorHAnsi" w:hAnsiTheme="majorHAnsi"/>
        </w:rPr>
      </w:pPr>
      <w:r w:rsidRPr="00DD3D07">
        <w:rPr>
          <w:rFonts w:asciiTheme="majorHAnsi" w:eastAsia="Times New Roman" w:hAnsiTheme="majorHAnsi"/>
          <w:bCs/>
          <w:lang w:val="en-GB"/>
        </w:rPr>
        <w:t>The Earth Institute Columbia University</w:t>
      </w:r>
    </w:p>
    <w:p w14:paraId="32E8A3BC" w14:textId="60EFF0A6" w:rsidR="00D2617D" w:rsidRPr="00173826" w:rsidRDefault="003F5848" w:rsidP="002D15F2">
      <w:pPr>
        <w:rPr>
          <w:rFonts w:asciiTheme="majorHAnsi" w:hAnsiTheme="majorHAnsi"/>
        </w:rPr>
      </w:pPr>
      <w:r w:rsidRPr="00DD3D07">
        <w:rPr>
          <w:rFonts w:asciiTheme="majorHAnsi" w:eastAsia="Times New Roman" w:hAnsiTheme="majorHAnsi"/>
          <w:bCs/>
          <w:lang w:val="en-GB"/>
        </w:rPr>
        <w:t>UCL Institute for Global Health</w:t>
      </w:r>
    </w:p>
    <w:sectPr w:rsidR="00D2617D" w:rsidRPr="00173826" w:rsidSect="008A3C48">
      <w:footerReference w:type="even" r:id="rId10"/>
      <w:footerReference w:type="default" r:id="rId11"/>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65AE3F" w15:done="0"/>
  <w15:commentEx w15:paraId="0E270E33" w15:done="0"/>
  <w15:commentEx w15:paraId="79D8980E" w15:done="0"/>
  <w15:commentEx w15:paraId="07EA83C7" w15:done="0"/>
  <w15:commentEx w15:paraId="46AE9722" w15:done="0"/>
  <w15:commentEx w15:paraId="0505254E" w15:done="0"/>
  <w15:commentEx w15:paraId="54345856" w15:done="0"/>
  <w15:commentEx w15:paraId="53B0FEEE" w15:paraIdParent="54345856" w15:done="0"/>
  <w15:commentEx w15:paraId="6BFE8499" w15:done="0"/>
  <w15:commentEx w15:paraId="3F47C14F" w15:done="0"/>
  <w15:commentEx w15:paraId="25C8C5AC" w15:done="0"/>
  <w15:commentEx w15:paraId="25B0A28E" w15:done="0"/>
  <w15:commentEx w15:paraId="7CD66883" w15:done="0"/>
  <w15:commentEx w15:paraId="4243A02F" w15:done="0"/>
  <w15:commentEx w15:paraId="06548A8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551FB" w14:textId="77777777" w:rsidR="00281E85" w:rsidRDefault="00281E85" w:rsidP="004334FB">
      <w:r>
        <w:separator/>
      </w:r>
    </w:p>
  </w:endnote>
  <w:endnote w:type="continuationSeparator" w:id="0">
    <w:p w14:paraId="7DFC15AD" w14:textId="77777777" w:rsidR="00281E85" w:rsidRDefault="00281E85" w:rsidP="00433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C0C5E" w14:textId="77777777" w:rsidR="00281E85" w:rsidRDefault="00281E85" w:rsidP="00FB5B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780F9E" w14:textId="77777777" w:rsidR="00281E85" w:rsidRDefault="00281E85" w:rsidP="00FB5B1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397DC" w14:textId="77777777" w:rsidR="00281E85" w:rsidRDefault="00281E85" w:rsidP="00FB5B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582F">
      <w:rPr>
        <w:rStyle w:val="PageNumber"/>
        <w:noProof/>
      </w:rPr>
      <w:t>11</w:t>
    </w:r>
    <w:r>
      <w:rPr>
        <w:rStyle w:val="PageNumber"/>
      </w:rPr>
      <w:fldChar w:fldCharType="end"/>
    </w:r>
  </w:p>
  <w:p w14:paraId="267E2950" w14:textId="77777777" w:rsidR="00281E85" w:rsidRDefault="00281E85" w:rsidP="00FB5B1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95F1F" w14:textId="77777777" w:rsidR="00281E85" w:rsidRDefault="00281E85" w:rsidP="004334FB">
      <w:r>
        <w:separator/>
      </w:r>
    </w:p>
  </w:footnote>
  <w:footnote w:type="continuationSeparator" w:id="0">
    <w:p w14:paraId="005E9C93" w14:textId="77777777" w:rsidR="00281E85" w:rsidRDefault="00281E85" w:rsidP="004334FB">
      <w:r>
        <w:continuationSeparator/>
      </w:r>
    </w:p>
  </w:footnote>
  <w:footnote w:id="1">
    <w:p w14:paraId="76A65AD1" w14:textId="12E42ED2" w:rsidR="00281E85" w:rsidRPr="00A5291B" w:rsidRDefault="00281E85">
      <w:pPr>
        <w:pStyle w:val="FootnoteText"/>
        <w:rPr>
          <w:sz w:val="18"/>
          <w:szCs w:val="18"/>
        </w:rPr>
      </w:pPr>
      <w:r w:rsidRPr="007D1C07">
        <w:rPr>
          <w:rStyle w:val="FootnoteReference"/>
          <w:sz w:val="18"/>
          <w:szCs w:val="18"/>
        </w:rPr>
        <w:footnoteRef/>
      </w:r>
      <w:r w:rsidRPr="007D1C07">
        <w:rPr>
          <w:sz w:val="18"/>
          <w:szCs w:val="18"/>
        </w:rPr>
        <w:t xml:space="preserve"> </w:t>
      </w:r>
      <w:r w:rsidRPr="00FD0DFF">
        <w:rPr>
          <w:sz w:val="18"/>
          <w:szCs w:val="18"/>
        </w:rPr>
        <w:t xml:space="preserve">More details on the GNC can be found on </w:t>
      </w:r>
      <w:r w:rsidRPr="00A5291B">
        <w:rPr>
          <w:sz w:val="18"/>
          <w:szCs w:val="18"/>
        </w:rPr>
        <w:t>http://</w:t>
      </w:r>
      <w:r>
        <w:rPr>
          <w:sz w:val="18"/>
          <w:szCs w:val="18"/>
        </w:rPr>
        <w:t>www.nutritioncluster.net</w:t>
      </w:r>
    </w:p>
  </w:footnote>
  <w:footnote w:id="2">
    <w:p w14:paraId="1E6AAF1A" w14:textId="34288E34" w:rsidR="00281E85" w:rsidRPr="00023CB4" w:rsidRDefault="00281E85">
      <w:pPr>
        <w:pStyle w:val="FootnoteText"/>
        <w:rPr>
          <w:sz w:val="18"/>
          <w:szCs w:val="18"/>
        </w:rPr>
      </w:pPr>
      <w:r w:rsidRPr="00023CB4">
        <w:rPr>
          <w:rStyle w:val="FootnoteReference"/>
          <w:sz w:val="18"/>
          <w:szCs w:val="18"/>
        </w:rPr>
        <w:footnoteRef/>
      </w:r>
      <w:r w:rsidRPr="00023CB4">
        <w:rPr>
          <w:sz w:val="18"/>
          <w:szCs w:val="18"/>
        </w:rPr>
        <w:t xml:space="preserve"> Strategic Framework 2010-2012</w:t>
      </w:r>
      <w:r>
        <w:rPr>
          <w:sz w:val="18"/>
          <w:szCs w:val="18"/>
        </w:rPr>
        <w:t xml:space="preserve"> available on http://www.nutritioncluster.net</w:t>
      </w:r>
    </w:p>
  </w:footnote>
  <w:footnote w:id="3">
    <w:p w14:paraId="41C6BC63" w14:textId="50D88B98" w:rsidR="00281E85" w:rsidRDefault="00281E85">
      <w:pPr>
        <w:pStyle w:val="FootnoteText"/>
      </w:pPr>
      <w:r w:rsidRPr="00F06413">
        <w:rPr>
          <w:rStyle w:val="FootnoteReference"/>
          <w:sz w:val="18"/>
          <w:szCs w:val="18"/>
        </w:rPr>
        <w:footnoteRef/>
      </w:r>
      <w:r w:rsidRPr="00F06413">
        <w:rPr>
          <w:sz w:val="18"/>
          <w:szCs w:val="18"/>
        </w:rPr>
        <w:t xml:space="preserve"> </w:t>
      </w:r>
      <w:r>
        <w:rPr>
          <w:rFonts w:asciiTheme="majorHAnsi" w:hAnsiTheme="majorHAnsi"/>
          <w:sz w:val="18"/>
          <w:szCs w:val="18"/>
        </w:rPr>
        <w:t>F</w:t>
      </w:r>
      <w:r w:rsidRPr="00B62CBB">
        <w:rPr>
          <w:rFonts w:asciiTheme="majorHAnsi" w:hAnsiTheme="majorHAnsi"/>
          <w:sz w:val="18"/>
          <w:szCs w:val="18"/>
        </w:rPr>
        <w:t>or more information see http://www.humanitarianinfo.org/iasc/</w:t>
      </w:r>
    </w:p>
  </w:footnote>
  <w:footnote w:id="4">
    <w:p w14:paraId="04D21E25" w14:textId="3C922DF1" w:rsidR="00281E85" w:rsidRPr="00FD0DFF" w:rsidRDefault="00281E85">
      <w:pPr>
        <w:pStyle w:val="FootnoteText"/>
        <w:rPr>
          <w:rFonts w:asciiTheme="majorHAnsi" w:hAnsiTheme="majorHAnsi"/>
          <w:sz w:val="18"/>
          <w:szCs w:val="18"/>
        </w:rPr>
      </w:pPr>
      <w:r w:rsidRPr="00AC1C05">
        <w:rPr>
          <w:rStyle w:val="FootnoteReference"/>
          <w:rFonts w:asciiTheme="majorHAnsi" w:hAnsiTheme="majorHAnsi"/>
          <w:sz w:val="18"/>
          <w:szCs w:val="18"/>
        </w:rPr>
        <w:footnoteRef/>
      </w:r>
      <w:r w:rsidRPr="00AC1C05">
        <w:rPr>
          <w:rFonts w:asciiTheme="majorHAnsi" w:hAnsiTheme="majorHAnsi"/>
          <w:sz w:val="18"/>
          <w:szCs w:val="18"/>
        </w:rPr>
        <w:t xml:space="preserve"> The </w:t>
      </w:r>
      <w:r w:rsidRPr="00BB52B8">
        <w:rPr>
          <w:rFonts w:asciiTheme="majorHAnsi" w:hAnsiTheme="majorHAnsi"/>
          <w:b/>
          <w:sz w:val="18"/>
          <w:szCs w:val="18"/>
        </w:rPr>
        <w:t xml:space="preserve">Humanitarian Project Cycle </w:t>
      </w:r>
      <w:r w:rsidRPr="00AC1C05">
        <w:rPr>
          <w:rFonts w:asciiTheme="majorHAnsi" w:hAnsiTheme="majorHAnsi"/>
          <w:sz w:val="18"/>
          <w:szCs w:val="18"/>
        </w:rPr>
        <w:t xml:space="preserve">was defined to ensure greater coordination, information management and preparedness within humanitarian response. </w:t>
      </w:r>
      <w:r>
        <w:rPr>
          <w:rFonts w:asciiTheme="majorHAnsi" w:hAnsiTheme="majorHAnsi"/>
          <w:sz w:val="18"/>
          <w:szCs w:val="18"/>
        </w:rPr>
        <w:t>It articulates how and when humanitarian programming should address</w:t>
      </w:r>
      <w:r w:rsidRPr="00AC1C05">
        <w:rPr>
          <w:rFonts w:asciiTheme="majorHAnsi" w:hAnsiTheme="majorHAnsi"/>
          <w:sz w:val="18"/>
          <w:szCs w:val="18"/>
        </w:rPr>
        <w:t xml:space="preserve"> the areas of </w:t>
      </w:r>
      <w:r w:rsidRPr="00AC1C05">
        <w:rPr>
          <w:rFonts w:asciiTheme="majorHAnsi" w:hAnsiTheme="majorHAnsi"/>
          <w:sz w:val="18"/>
          <w:szCs w:val="18"/>
          <w:lang w:val="en-GB"/>
        </w:rPr>
        <w:t>coordination assessment and needs analysis, strategic planning, resource mobilisation</w:t>
      </w:r>
      <w:r>
        <w:rPr>
          <w:rFonts w:asciiTheme="majorHAnsi" w:hAnsiTheme="majorHAnsi"/>
          <w:sz w:val="18"/>
          <w:szCs w:val="18"/>
          <w:lang w:val="en-GB"/>
        </w:rPr>
        <w:t xml:space="preserve"> (flash appeal etc)</w:t>
      </w:r>
      <w:r w:rsidRPr="00AC1C05">
        <w:rPr>
          <w:rFonts w:asciiTheme="majorHAnsi" w:hAnsiTheme="majorHAnsi"/>
          <w:sz w:val="18"/>
          <w:szCs w:val="18"/>
          <w:lang w:val="en-GB"/>
        </w:rPr>
        <w:t>, implementation and monitoring, operational peer review and evaluation.</w:t>
      </w:r>
    </w:p>
  </w:footnote>
  <w:footnote w:id="5">
    <w:p w14:paraId="60D8098B" w14:textId="631F5794" w:rsidR="00281E85" w:rsidRPr="00224D86" w:rsidRDefault="00281E85">
      <w:pPr>
        <w:pStyle w:val="FootnoteText"/>
        <w:rPr>
          <w:sz w:val="18"/>
          <w:szCs w:val="18"/>
        </w:rPr>
      </w:pPr>
      <w:r w:rsidRPr="00224D86">
        <w:rPr>
          <w:rStyle w:val="FootnoteReference"/>
          <w:sz w:val="18"/>
          <w:szCs w:val="18"/>
        </w:rPr>
        <w:footnoteRef/>
      </w:r>
      <w:r w:rsidRPr="00224D86">
        <w:rPr>
          <w:sz w:val="18"/>
          <w:szCs w:val="18"/>
        </w:rPr>
        <w:t xml:space="preserve"> See Global Nutrition Cluster Governance Review, Final report, October 2013</w:t>
      </w:r>
      <w:r>
        <w:rPr>
          <w:sz w:val="18"/>
          <w:szCs w:val="18"/>
        </w:rPr>
        <w:t xml:space="preserve"> available at </w:t>
      </w:r>
      <w:hyperlink r:id="rId1" w:history="1">
        <w:r w:rsidRPr="006A074D">
          <w:rPr>
            <w:rStyle w:val="Hyperlink"/>
            <w:sz w:val="18"/>
            <w:szCs w:val="18"/>
          </w:rPr>
          <w:t>www.nutritioncluster.net</w:t>
        </w:r>
      </w:hyperlink>
      <w:r>
        <w:rPr>
          <w:sz w:val="18"/>
          <w:szCs w:val="18"/>
        </w:rPr>
        <w:t xml:space="preserve"> </w:t>
      </w:r>
    </w:p>
  </w:footnote>
  <w:footnote w:id="6">
    <w:p w14:paraId="477EA53A" w14:textId="0C7B466E" w:rsidR="00281E85" w:rsidRPr="00224D86" w:rsidRDefault="00281E85">
      <w:pPr>
        <w:pStyle w:val="FootnoteText"/>
        <w:rPr>
          <w:sz w:val="18"/>
          <w:szCs w:val="18"/>
        </w:rPr>
      </w:pPr>
      <w:r w:rsidRPr="00224D86">
        <w:rPr>
          <w:rStyle w:val="FootnoteReference"/>
          <w:sz w:val="18"/>
          <w:szCs w:val="18"/>
        </w:rPr>
        <w:footnoteRef/>
      </w:r>
      <w:r w:rsidRPr="00224D86">
        <w:rPr>
          <w:sz w:val="18"/>
          <w:szCs w:val="18"/>
        </w:rPr>
        <w:t xml:space="preserve"> See GNC Annual meeting report, July 2013 available at </w:t>
      </w:r>
      <w:r>
        <w:rPr>
          <w:sz w:val="18"/>
          <w:szCs w:val="18"/>
        </w:rPr>
        <w:t>www.nutritioncluster.net</w:t>
      </w:r>
    </w:p>
  </w:footnote>
  <w:footnote w:id="7">
    <w:p w14:paraId="03E5E441" w14:textId="5D25FF11" w:rsidR="00281E85" w:rsidRPr="008C66C8" w:rsidRDefault="00281E85">
      <w:pPr>
        <w:pStyle w:val="FootnoteText"/>
        <w:rPr>
          <w:sz w:val="18"/>
          <w:szCs w:val="18"/>
        </w:rPr>
      </w:pPr>
      <w:r>
        <w:rPr>
          <w:rStyle w:val="FootnoteReference"/>
        </w:rPr>
        <w:footnoteRef/>
      </w:r>
      <w:r>
        <w:t xml:space="preserve"> </w:t>
      </w:r>
      <w:r>
        <w:rPr>
          <w:sz w:val="18"/>
          <w:szCs w:val="18"/>
        </w:rPr>
        <w:t>As articulated in the Transformative Agenda, the GNC also supports country clusters to coordinate service delivery for nutrition.</w:t>
      </w:r>
    </w:p>
  </w:footnote>
  <w:footnote w:id="8">
    <w:p w14:paraId="21335ACC" w14:textId="5E623E49" w:rsidR="00281E85" w:rsidRPr="00AB0D6B" w:rsidRDefault="00281E85">
      <w:pPr>
        <w:pStyle w:val="FootnoteText"/>
        <w:rPr>
          <w:sz w:val="18"/>
          <w:szCs w:val="18"/>
        </w:rPr>
      </w:pPr>
      <w:r w:rsidRPr="00AB0D6B">
        <w:rPr>
          <w:rStyle w:val="FootnoteReference"/>
          <w:sz w:val="18"/>
          <w:szCs w:val="18"/>
        </w:rPr>
        <w:footnoteRef/>
      </w:r>
      <w:r w:rsidRPr="00AB0D6B">
        <w:rPr>
          <w:sz w:val="18"/>
          <w:szCs w:val="18"/>
        </w:rPr>
        <w:t xml:space="preserve"> http://www.globalhumanitarianplatform.org/ghp.html</w:t>
      </w:r>
    </w:p>
  </w:footnote>
  <w:footnote w:id="9">
    <w:p w14:paraId="3EB7DE49" w14:textId="657A63B5" w:rsidR="00281E85" w:rsidRPr="0006209A" w:rsidRDefault="00281E85">
      <w:pPr>
        <w:pStyle w:val="FootnoteText"/>
        <w:rPr>
          <w:sz w:val="18"/>
          <w:szCs w:val="18"/>
        </w:rPr>
      </w:pPr>
      <w:r w:rsidRPr="009E495E">
        <w:rPr>
          <w:rStyle w:val="FootnoteReference"/>
          <w:sz w:val="18"/>
          <w:szCs w:val="18"/>
        </w:rPr>
        <w:footnoteRef/>
      </w:r>
      <w:r w:rsidRPr="009E495E">
        <w:rPr>
          <w:sz w:val="18"/>
          <w:szCs w:val="18"/>
        </w:rPr>
        <w:t xml:space="preserve"> For more details on roles and responsibilities, see the GNC’s Standard Operating Procedures (SOPs) available at www.unicef.org/nutritioncluster</w:t>
      </w:r>
    </w:p>
  </w:footnote>
  <w:footnote w:id="10">
    <w:p w14:paraId="0171385D" w14:textId="06C1B939" w:rsidR="00281E85" w:rsidRPr="00BB69F3" w:rsidRDefault="00281E85">
      <w:pPr>
        <w:pStyle w:val="FootnoteText"/>
        <w:rPr>
          <w:sz w:val="18"/>
          <w:szCs w:val="18"/>
        </w:rPr>
      </w:pPr>
      <w:r w:rsidRPr="00BB69F3">
        <w:rPr>
          <w:rStyle w:val="FootnoteReference"/>
          <w:sz w:val="18"/>
          <w:szCs w:val="18"/>
        </w:rPr>
        <w:footnoteRef/>
      </w:r>
      <w:r w:rsidRPr="00BB69F3">
        <w:rPr>
          <w:sz w:val="18"/>
          <w:szCs w:val="18"/>
        </w:rPr>
        <w:t xml:space="preserve"> </w:t>
      </w:r>
      <w:r>
        <w:rPr>
          <w:sz w:val="18"/>
          <w:szCs w:val="18"/>
        </w:rPr>
        <w:t>Including h</w:t>
      </w:r>
      <w:r w:rsidRPr="00BB69F3">
        <w:rPr>
          <w:sz w:val="18"/>
          <w:szCs w:val="18"/>
        </w:rPr>
        <w:t>umanity, the humanitarian imperative</w:t>
      </w:r>
      <w:r>
        <w:rPr>
          <w:sz w:val="18"/>
          <w:szCs w:val="18"/>
        </w:rPr>
        <w:t>, impartiality and independence</w:t>
      </w:r>
      <w:r w:rsidRPr="00BB69F3">
        <w:rPr>
          <w:sz w:val="18"/>
          <w:szCs w:val="18"/>
        </w:rPr>
        <w:t xml:space="preserve"> a</w:t>
      </w:r>
      <w:r>
        <w:rPr>
          <w:sz w:val="18"/>
          <w:szCs w:val="18"/>
        </w:rPr>
        <w:t>long with the</w:t>
      </w:r>
      <w:r w:rsidRPr="00BB69F3">
        <w:rPr>
          <w:sz w:val="18"/>
          <w:szCs w:val="18"/>
        </w:rPr>
        <w:t xml:space="preserve"> Principles of Partnership</w:t>
      </w:r>
      <w:r>
        <w:rPr>
          <w:sz w:val="18"/>
          <w:szCs w:val="18"/>
        </w:rPr>
        <w:t xml:space="preserve"> (</w:t>
      </w:r>
      <w:r w:rsidRPr="00AB0D6B">
        <w:rPr>
          <w:sz w:val="18"/>
          <w:szCs w:val="18"/>
        </w:rPr>
        <w:t>http://www.globalhumanitarianplatform.org/ghp.html</w:t>
      </w:r>
      <w:r>
        <w:rPr>
          <w:sz w:val="18"/>
          <w:szCs w:val="18"/>
        </w:rPr>
        <w:t>)</w:t>
      </w:r>
    </w:p>
  </w:footnote>
  <w:footnote w:id="11">
    <w:p w14:paraId="31C0DD70" w14:textId="096E097B" w:rsidR="00281E85" w:rsidRDefault="00281E85">
      <w:pPr>
        <w:pStyle w:val="FootnoteText"/>
      </w:pPr>
      <w:r w:rsidRPr="0006209A">
        <w:rPr>
          <w:rStyle w:val="FootnoteReference"/>
          <w:sz w:val="18"/>
          <w:szCs w:val="18"/>
        </w:rPr>
        <w:footnoteRef/>
      </w:r>
      <w:r w:rsidRPr="0006209A">
        <w:rPr>
          <w:sz w:val="18"/>
          <w:szCs w:val="18"/>
        </w:rPr>
        <w:t xml:space="preserve"> S</w:t>
      </w:r>
      <w:r w:rsidRPr="009E495E">
        <w:rPr>
          <w:sz w:val="18"/>
          <w:szCs w:val="18"/>
        </w:rPr>
        <w:t>ee the GNC’s Standard Operating Procedures (SOPs) available at www.unicef.org/nutritioncluster</w:t>
      </w:r>
    </w:p>
  </w:footnote>
  <w:footnote w:id="12">
    <w:p w14:paraId="5A96E480" w14:textId="7065BDB2" w:rsidR="00281E85" w:rsidRPr="00E46CD3" w:rsidRDefault="00281E85">
      <w:pPr>
        <w:pStyle w:val="FootnoteText"/>
        <w:rPr>
          <w:sz w:val="18"/>
          <w:szCs w:val="18"/>
        </w:rPr>
      </w:pPr>
      <w:r w:rsidRPr="00E46CD3">
        <w:rPr>
          <w:rStyle w:val="FootnoteReference"/>
          <w:sz w:val="18"/>
          <w:szCs w:val="18"/>
        </w:rPr>
        <w:footnoteRef/>
      </w:r>
      <w:r w:rsidRPr="00E46CD3">
        <w:rPr>
          <w:sz w:val="18"/>
          <w:szCs w:val="18"/>
        </w:rPr>
        <w:t xml:space="preserve"> Process outlined in GNC SOPs</w:t>
      </w:r>
    </w:p>
  </w:footnote>
  <w:footnote w:id="13">
    <w:p w14:paraId="013F0804" w14:textId="1183FBC9" w:rsidR="00281E85" w:rsidRDefault="00281E85">
      <w:pPr>
        <w:pStyle w:val="FootnoteText"/>
      </w:pPr>
      <w:r w:rsidRPr="00FE3387">
        <w:rPr>
          <w:rStyle w:val="FootnoteReference"/>
          <w:sz w:val="18"/>
          <w:szCs w:val="18"/>
        </w:rPr>
        <w:footnoteRef/>
      </w:r>
      <w:r>
        <w:rPr>
          <w:sz w:val="18"/>
          <w:szCs w:val="18"/>
        </w:rPr>
        <w:t xml:space="preserve"> F</w:t>
      </w:r>
      <w:r w:rsidRPr="00FE3387">
        <w:rPr>
          <w:sz w:val="18"/>
          <w:szCs w:val="18"/>
        </w:rPr>
        <w:t>or greater detail see the GNC’s Standard Operating Procedures (SOPs) available at</w:t>
      </w:r>
      <w:r w:rsidRPr="009E495E">
        <w:rPr>
          <w:sz w:val="18"/>
          <w:szCs w:val="18"/>
        </w:rPr>
        <w:t xml:space="preserve"> </w:t>
      </w:r>
      <w:hyperlink r:id="rId2" w:history="1">
        <w:r w:rsidRPr="006A074D">
          <w:rPr>
            <w:rStyle w:val="Hyperlink"/>
            <w:sz w:val="18"/>
            <w:szCs w:val="18"/>
          </w:rPr>
          <w:t>www.nutritioncluster.net</w:t>
        </w:r>
      </w:hyperlink>
      <w:r>
        <w:rPr>
          <w:sz w:val="18"/>
          <w:szCs w:val="18"/>
        </w:rPr>
        <w:t xml:space="preserve"> </w:t>
      </w:r>
    </w:p>
  </w:footnote>
  <w:footnote w:id="14">
    <w:p w14:paraId="40CCB9B5" w14:textId="6B761180" w:rsidR="00281E85" w:rsidRPr="005C4ABB" w:rsidRDefault="00281E85" w:rsidP="00C63D14">
      <w:pPr>
        <w:pStyle w:val="FootnoteText"/>
        <w:rPr>
          <w:sz w:val="18"/>
          <w:szCs w:val="18"/>
        </w:rPr>
      </w:pPr>
      <w:r w:rsidRPr="005C4ABB">
        <w:rPr>
          <w:rStyle w:val="FootnoteReference"/>
          <w:sz w:val="18"/>
          <w:szCs w:val="18"/>
        </w:rPr>
        <w:footnoteRef/>
      </w:r>
      <w:r w:rsidRPr="005C4ABB">
        <w:rPr>
          <w:sz w:val="18"/>
          <w:szCs w:val="18"/>
        </w:rPr>
        <w:t xml:space="preserve"> Recognizing that the daily oversight and monitoring of the GNC </w:t>
      </w:r>
      <w:r>
        <w:rPr>
          <w:sz w:val="18"/>
          <w:szCs w:val="18"/>
        </w:rPr>
        <w:t>Work Plan</w:t>
      </w:r>
      <w:r w:rsidRPr="005C4ABB">
        <w:rPr>
          <w:sz w:val="18"/>
          <w:szCs w:val="18"/>
        </w:rPr>
        <w:t xml:space="preserve"> is the responsibility of the </w:t>
      </w:r>
      <w:r>
        <w:rPr>
          <w:sz w:val="18"/>
          <w:szCs w:val="18"/>
        </w:rPr>
        <w:t>GNC-CT</w:t>
      </w:r>
      <w:r w:rsidRPr="005C4ABB">
        <w:rPr>
          <w:sz w:val="18"/>
          <w:szCs w:val="18"/>
        </w:rPr>
        <w:t>.</w:t>
      </w:r>
    </w:p>
  </w:footnote>
  <w:footnote w:id="15">
    <w:p w14:paraId="39758AD2" w14:textId="40BAC1D4" w:rsidR="00281E85" w:rsidRPr="00BB5CBD" w:rsidRDefault="00281E85">
      <w:pPr>
        <w:pStyle w:val="FootnoteText"/>
        <w:rPr>
          <w:sz w:val="18"/>
          <w:szCs w:val="18"/>
        </w:rPr>
      </w:pPr>
      <w:r w:rsidRPr="00BB5CBD">
        <w:rPr>
          <w:rStyle w:val="FootnoteReference"/>
          <w:sz w:val="18"/>
          <w:szCs w:val="18"/>
        </w:rPr>
        <w:footnoteRef/>
      </w:r>
      <w:r w:rsidRPr="00BB5CBD">
        <w:rPr>
          <w:sz w:val="18"/>
          <w:szCs w:val="18"/>
        </w:rPr>
        <w:t xml:space="preserve"> ‘capacity in nutrition</w:t>
      </w:r>
      <w:r>
        <w:rPr>
          <w:sz w:val="18"/>
          <w:szCs w:val="18"/>
        </w:rPr>
        <w:t xml:space="preserve">, coordination and IM’ defined as nutritionist, NCCs or IMOs </w:t>
      </w:r>
      <w:r w:rsidRPr="00BB5CBD">
        <w:rPr>
          <w:sz w:val="18"/>
          <w:szCs w:val="18"/>
        </w:rPr>
        <w:t>available on their respective rosters</w:t>
      </w:r>
    </w:p>
  </w:footnote>
  <w:footnote w:id="16">
    <w:p w14:paraId="2F38E8E1" w14:textId="77777777" w:rsidR="00281E85" w:rsidRPr="00681C0A" w:rsidRDefault="00281E85" w:rsidP="00DB3B0E">
      <w:pPr>
        <w:pStyle w:val="FootnoteText"/>
        <w:rPr>
          <w:sz w:val="18"/>
          <w:szCs w:val="18"/>
        </w:rPr>
      </w:pPr>
      <w:r w:rsidRPr="00681C0A">
        <w:rPr>
          <w:rStyle w:val="FootnoteReference"/>
          <w:sz w:val="18"/>
          <w:szCs w:val="18"/>
        </w:rPr>
        <w:footnoteRef/>
      </w:r>
      <w:r w:rsidRPr="00681C0A">
        <w:rPr>
          <w:sz w:val="18"/>
          <w:szCs w:val="18"/>
        </w:rPr>
        <w:t xml:space="preserve"> See footnote 13</w:t>
      </w:r>
    </w:p>
  </w:footnote>
  <w:footnote w:id="17">
    <w:p w14:paraId="72C4ABF1" w14:textId="2EDABA8D" w:rsidR="00281E85" w:rsidRPr="00EC11D5" w:rsidRDefault="00281E85">
      <w:pPr>
        <w:pStyle w:val="FootnoteText"/>
        <w:rPr>
          <w:sz w:val="18"/>
          <w:szCs w:val="18"/>
        </w:rPr>
      </w:pPr>
      <w:r w:rsidRPr="00EC11D5">
        <w:rPr>
          <w:rStyle w:val="FootnoteReference"/>
          <w:sz w:val="18"/>
          <w:szCs w:val="18"/>
        </w:rPr>
        <w:footnoteRef/>
      </w:r>
      <w:r w:rsidRPr="00EC11D5">
        <w:rPr>
          <w:sz w:val="18"/>
          <w:szCs w:val="18"/>
        </w:rPr>
        <w:t xml:space="preserve"> Denoting activities with green, yellow or red markers to indicate progress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9DA"/>
    <w:multiLevelType w:val="hybridMultilevel"/>
    <w:tmpl w:val="652EF0FE"/>
    <w:lvl w:ilvl="0" w:tplc="6C9C2154">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F734A"/>
    <w:multiLevelType w:val="hybridMultilevel"/>
    <w:tmpl w:val="3EFA4DC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98C6018"/>
    <w:multiLevelType w:val="hybridMultilevel"/>
    <w:tmpl w:val="9B5A5886"/>
    <w:lvl w:ilvl="0" w:tplc="6C9C2154">
      <w:start w:val="1"/>
      <w:numFmt w:val="decimal"/>
      <w:lvlText w:val="%1."/>
      <w:lvlJc w:val="left"/>
      <w:pPr>
        <w:ind w:left="720" w:hanging="360"/>
      </w:pPr>
      <w:rPr>
        <w:rFonts w:hint="default"/>
        <w:b/>
      </w:rPr>
    </w:lvl>
    <w:lvl w:ilvl="1" w:tplc="04090011">
      <w:start w:val="1"/>
      <w:numFmt w:val="decimal"/>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14951"/>
    <w:multiLevelType w:val="hybridMultilevel"/>
    <w:tmpl w:val="BCE0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4827F7"/>
    <w:multiLevelType w:val="hybridMultilevel"/>
    <w:tmpl w:val="D832A140"/>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393CE0"/>
    <w:multiLevelType w:val="hybridMultilevel"/>
    <w:tmpl w:val="2D22F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123BAA"/>
    <w:multiLevelType w:val="hybridMultilevel"/>
    <w:tmpl w:val="44EEC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BD7C95"/>
    <w:multiLevelType w:val="hybridMultilevel"/>
    <w:tmpl w:val="4CBE92E2"/>
    <w:lvl w:ilvl="0" w:tplc="04090001">
      <w:start w:val="1"/>
      <w:numFmt w:val="bullet"/>
      <w:lvlText w:val=""/>
      <w:lvlJc w:val="left"/>
      <w:pPr>
        <w:ind w:left="216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EA759A"/>
    <w:multiLevelType w:val="hybridMultilevel"/>
    <w:tmpl w:val="CC1A965A"/>
    <w:lvl w:ilvl="0" w:tplc="932EF0C6">
      <w:start w:val="1"/>
      <w:numFmt w:val="bullet"/>
      <w:lvlText w:val="•"/>
      <w:lvlJc w:val="left"/>
      <w:pPr>
        <w:tabs>
          <w:tab w:val="num" w:pos="720"/>
        </w:tabs>
        <w:ind w:left="720" w:hanging="360"/>
      </w:pPr>
      <w:rPr>
        <w:rFonts w:ascii="Arial" w:hAnsi="Arial" w:hint="default"/>
      </w:rPr>
    </w:lvl>
    <w:lvl w:ilvl="1" w:tplc="746E1656" w:tentative="1">
      <w:start w:val="1"/>
      <w:numFmt w:val="bullet"/>
      <w:lvlText w:val="•"/>
      <w:lvlJc w:val="left"/>
      <w:pPr>
        <w:tabs>
          <w:tab w:val="num" w:pos="1440"/>
        </w:tabs>
        <w:ind w:left="1440" w:hanging="360"/>
      </w:pPr>
      <w:rPr>
        <w:rFonts w:ascii="Arial" w:hAnsi="Arial" w:hint="default"/>
      </w:rPr>
    </w:lvl>
    <w:lvl w:ilvl="2" w:tplc="47BEDAD4" w:tentative="1">
      <w:start w:val="1"/>
      <w:numFmt w:val="bullet"/>
      <w:lvlText w:val="•"/>
      <w:lvlJc w:val="left"/>
      <w:pPr>
        <w:tabs>
          <w:tab w:val="num" w:pos="2160"/>
        </w:tabs>
        <w:ind w:left="2160" w:hanging="360"/>
      </w:pPr>
      <w:rPr>
        <w:rFonts w:ascii="Arial" w:hAnsi="Arial" w:hint="default"/>
      </w:rPr>
    </w:lvl>
    <w:lvl w:ilvl="3" w:tplc="7B7A656E" w:tentative="1">
      <w:start w:val="1"/>
      <w:numFmt w:val="bullet"/>
      <w:lvlText w:val="•"/>
      <w:lvlJc w:val="left"/>
      <w:pPr>
        <w:tabs>
          <w:tab w:val="num" w:pos="2880"/>
        </w:tabs>
        <w:ind w:left="2880" w:hanging="360"/>
      </w:pPr>
      <w:rPr>
        <w:rFonts w:ascii="Arial" w:hAnsi="Arial" w:hint="default"/>
      </w:rPr>
    </w:lvl>
    <w:lvl w:ilvl="4" w:tplc="8906358C" w:tentative="1">
      <w:start w:val="1"/>
      <w:numFmt w:val="bullet"/>
      <w:lvlText w:val="•"/>
      <w:lvlJc w:val="left"/>
      <w:pPr>
        <w:tabs>
          <w:tab w:val="num" w:pos="3600"/>
        </w:tabs>
        <w:ind w:left="3600" w:hanging="360"/>
      </w:pPr>
      <w:rPr>
        <w:rFonts w:ascii="Arial" w:hAnsi="Arial" w:hint="default"/>
      </w:rPr>
    </w:lvl>
    <w:lvl w:ilvl="5" w:tplc="AA089F4E" w:tentative="1">
      <w:start w:val="1"/>
      <w:numFmt w:val="bullet"/>
      <w:lvlText w:val="•"/>
      <w:lvlJc w:val="left"/>
      <w:pPr>
        <w:tabs>
          <w:tab w:val="num" w:pos="4320"/>
        </w:tabs>
        <w:ind w:left="4320" w:hanging="360"/>
      </w:pPr>
      <w:rPr>
        <w:rFonts w:ascii="Arial" w:hAnsi="Arial" w:hint="default"/>
      </w:rPr>
    </w:lvl>
    <w:lvl w:ilvl="6" w:tplc="EEBAF622" w:tentative="1">
      <w:start w:val="1"/>
      <w:numFmt w:val="bullet"/>
      <w:lvlText w:val="•"/>
      <w:lvlJc w:val="left"/>
      <w:pPr>
        <w:tabs>
          <w:tab w:val="num" w:pos="5040"/>
        </w:tabs>
        <w:ind w:left="5040" w:hanging="360"/>
      </w:pPr>
      <w:rPr>
        <w:rFonts w:ascii="Arial" w:hAnsi="Arial" w:hint="default"/>
      </w:rPr>
    </w:lvl>
    <w:lvl w:ilvl="7" w:tplc="1ECCB9EC" w:tentative="1">
      <w:start w:val="1"/>
      <w:numFmt w:val="bullet"/>
      <w:lvlText w:val="•"/>
      <w:lvlJc w:val="left"/>
      <w:pPr>
        <w:tabs>
          <w:tab w:val="num" w:pos="5760"/>
        </w:tabs>
        <w:ind w:left="5760" w:hanging="360"/>
      </w:pPr>
      <w:rPr>
        <w:rFonts w:ascii="Arial" w:hAnsi="Arial" w:hint="default"/>
      </w:rPr>
    </w:lvl>
    <w:lvl w:ilvl="8" w:tplc="36B423BE" w:tentative="1">
      <w:start w:val="1"/>
      <w:numFmt w:val="bullet"/>
      <w:lvlText w:val="•"/>
      <w:lvlJc w:val="left"/>
      <w:pPr>
        <w:tabs>
          <w:tab w:val="num" w:pos="6480"/>
        </w:tabs>
        <w:ind w:left="6480" w:hanging="360"/>
      </w:pPr>
      <w:rPr>
        <w:rFonts w:ascii="Arial" w:hAnsi="Arial" w:hint="default"/>
      </w:rPr>
    </w:lvl>
  </w:abstractNum>
  <w:abstractNum w:abstractNumId="9">
    <w:nsid w:val="1B720C06"/>
    <w:multiLevelType w:val="hybridMultilevel"/>
    <w:tmpl w:val="4E0C8F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83165D"/>
    <w:multiLevelType w:val="hybridMultilevel"/>
    <w:tmpl w:val="5F443D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20A1DD0"/>
    <w:multiLevelType w:val="hybridMultilevel"/>
    <w:tmpl w:val="D920314E"/>
    <w:lvl w:ilvl="0" w:tplc="C49C4A4E">
      <w:start w:val="1"/>
      <w:numFmt w:val="lowerRoman"/>
      <w:lvlText w:val="%1."/>
      <w:lvlJc w:val="right"/>
      <w:pPr>
        <w:tabs>
          <w:tab w:val="num" w:pos="720"/>
        </w:tabs>
        <w:ind w:left="720" w:hanging="360"/>
      </w:pPr>
    </w:lvl>
    <w:lvl w:ilvl="1" w:tplc="EF44BD80">
      <w:start w:val="1"/>
      <w:numFmt w:val="lowerRoman"/>
      <w:lvlText w:val="%2."/>
      <w:lvlJc w:val="right"/>
      <w:pPr>
        <w:tabs>
          <w:tab w:val="num" w:pos="1440"/>
        </w:tabs>
        <w:ind w:left="1440" w:hanging="360"/>
      </w:pPr>
    </w:lvl>
    <w:lvl w:ilvl="2" w:tplc="9048BF1C" w:tentative="1">
      <w:start w:val="1"/>
      <w:numFmt w:val="lowerRoman"/>
      <w:lvlText w:val="%3."/>
      <w:lvlJc w:val="right"/>
      <w:pPr>
        <w:tabs>
          <w:tab w:val="num" w:pos="2160"/>
        </w:tabs>
        <w:ind w:left="2160" w:hanging="360"/>
      </w:pPr>
    </w:lvl>
    <w:lvl w:ilvl="3" w:tplc="36549EF0" w:tentative="1">
      <w:start w:val="1"/>
      <w:numFmt w:val="lowerRoman"/>
      <w:lvlText w:val="%4."/>
      <w:lvlJc w:val="right"/>
      <w:pPr>
        <w:tabs>
          <w:tab w:val="num" w:pos="2880"/>
        </w:tabs>
        <w:ind w:left="2880" w:hanging="360"/>
      </w:pPr>
    </w:lvl>
    <w:lvl w:ilvl="4" w:tplc="D62E4B4E" w:tentative="1">
      <w:start w:val="1"/>
      <w:numFmt w:val="lowerRoman"/>
      <w:lvlText w:val="%5."/>
      <w:lvlJc w:val="right"/>
      <w:pPr>
        <w:tabs>
          <w:tab w:val="num" w:pos="3600"/>
        </w:tabs>
        <w:ind w:left="3600" w:hanging="360"/>
      </w:pPr>
    </w:lvl>
    <w:lvl w:ilvl="5" w:tplc="50CE88C6" w:tentative="1">
      <w:start w:val="1"/>
      <w:numFmt w:val="lowerRoman"/>
      <w:lvlText w:val="%6."/>
      <w:lvlJc w:val="right"/>
      <w:pPr>
        <w:tabs>
          <w:tab w:val="num" w:pos="4320"/>
        </w:tabs>
        <w:ind w:left="4320" w:hanging="360"/>
      </w:pPr>
    </w:lvl>
    <w:lvl w:ilvl="6" w:tplc="B2E4752A" w:tentative="1">
      <w:start w:val="1"/>
      <w:numFmt w:val="lowerRoman"/>
      <w:lvlText w:val="%7."/>
      <w:lvlJc w:val="right"/>
      <w:pPr>
        <w:tabs>
          <w:tab w:val="num" w:pos="5040"/>
        </w:tabs>
        <w:ind w:left="5040" w:hanging="360"/>
      </w:pPr>
    </w:lvl>
    <w:lvl w:ilvl="7" w:tplc="354AC81E" w:tentative="1">
      <w:start w:val="1"/>
      <w:numFmt w:val="lowerRoman"/>
      <w:lvlText w:val="%8."/>
      <w:lvlJc w:val="right"/>
      <w:pPr>
        <w:tabs>
          <w:tab w:val="num" w:pos="5760"/>
        </w:tabs>
        <w:ind w:left="5760" w:hanging="360"/>
      </w:pPr>
    </w:lvl>
    <w:lvl w:ilvl="8" w:tplc="ACE8B474" w:tentative="1">
      <w:start w:val="1"/>
      <w:numFmt w:val="lowerRoman"/>
      <w:lvlText w:val="%9."/>
      <w:lvlJc w:val="right"/>
      <w:pPr>
        <w:tabs>
          <w:tab w:val="num" w:pos="6480"/>
        </w:tabs>
        <w:ind w:left="6480" w:hanging="360"/>
      </w:pPr>
    </w:lvl>
  </w:abstractNum>
  <w:abstractNum w:abstractNumId="12">
    <w:nsid w:val="25975CBB"/>
    <w:multiLevelType w:val="hybridMultilevel"/>
    <w:tmpl w:val="5C5CA5B8"/>
    <w:lvl w:ilvl="0" w:tplc="26EA5FB4">
      <w:start w:val="1"/>
      <w:numFmt w:val="bullet"/>
      <w:lvlText w:val="•"/>
      <w:lvlJc w:val="left"/>
      <w:pPr>
        <w:tabs>
          <w:tab w:val="num" w:pos="720"/>
        </w:tabs>
        <w:ind w:left="720" w:hanging="360"/>
      </w:pPr>
      <w:rPr>
        <w:rFonts w:ascii="Arial" w:hAnsi="Arial" w:hint="default"/>
      </w:rPr>
    </w:lvl>
    <w:lvl w:ilvl="1" w:tplc="08F6176C">
      <w:numFmt w:val="bullet"/>
      <w:lvlText w:val="–"/>
      <w:lvlJc w:val="left"/>
      <w:pPr>
        <w:tabs>
          <w:tab w:val="num" w:pos="1440"/>
        </w:tabs>
        <w:ind w:left="1440" w:hanging="360"/>
      </w:pPr>
      <w:rPr>
        <w:rFonts w:ascii="Arial" w:hAnsi="Arial" w:hint="default"/>
      </w:rPr>
    </w:lvl>
    <w:lvl w:ilvl="2" w:tplc="FD266166">
      <w:start w:val="1"/>
      <w:numFmt w:val="bullet"/>
      <w:lvlText w:val="•"/>
      <w:lvlJc w:val="left"/>
      <w:pPr>
        <w:tabs>
          <w:tab w:val="num" w:pos="2160"/>
        </w:tabs>
        <w:ind w:left="2160" w:hanging="360"/>
      </w:pPr>
      <w:rPr>
        <w:rFonts w:ascii="Arial" w:hAnsi="Arial" w:hint="default"/>
      </w:rPr>
    </w:lvl>
    <w:lvl w:ilvl="3" w:tplc="0FC42ABE" w:tentative="1">
      <w:start w:val="1"/>
      <w:numFmt w:val="bullet"/>
      <w:lvlText w:val="•"/>
      <w:lvlJc w:val="left"/>
      <w:pPr>
        <w:tabs>
          <w:tab w:val="num" w:pos="2880"/>
        </w:tabs>
        <w:ind w:left="2880" w:hanging="360"/>
      </w:pPr>
      <w:rPr>
        <w:rFonts w:ascii="Arial" w:hAnsi="Arial" w:hint="default"/>
      </w:rPr>
    </w:lvl>
    <w:lvl w:ilvl="4" w:tplc="299C913C" w:tentative="1">
      <w:start w:val="1"/>
      <w:numFmt w:val="bullet"/>
      <w:lvlText w:val="•"/>
      <w:lvlJc w:val="left"/>
      <w:pPr>
        <w:tabs>
          <w:tab w:val="num" w:pos="3600"/>
        </w:tabs>
        <w:ind w:left="3600" w:hanging="360"/>
      </w:pPr>
      <w:rPr>
        <w:rFonts w:ascii="Arial" w:hAnsi="Arial" w:hint="default"/>
      </w:rPr>
    </w:lvl>
    <w:lvl w:ilvl="5" w:tplc="4EE639AE" w:tentative="1">
      <w:start w:val="1"/>
      <w:numFmt w:val="bullet"/>
      <w:lvlText w:val="•"/>
      <w:lvlJc w:val="left"/>
      <w:pPr>
        <w:tabs>
          <w:tab w:val="num" w:pos="4320"/>
        </w:tabs>
        <w:ind w:left="4320" w:hanging="360"/>
      </w:pPr>
      <w:rPr>
        <w:rFonts w:ascii="Arial" w:hAnsi="Arial" w:hint="default"/>
      </w:rPr>
    </w:lvl>
    <w:lvl w:ilvl="6" w:tplc="1BBC49D2" w:tentative="1">
      <w:start w:val="1"/>
      <w:numFmt w:val="bullet"/>
      <w:lvlText w:val="•"/>
      <w:lvlJc w:val="left"/>
      <w:pPr>
        <w:tabs>
          <w:tab w:val="num" w:pos="5040"/>
        </w:tabs>
        <w:ind w:left="5040" w:hanging="360"/>
      </w:pPr>
      <w:rPr>
        <w:rFonts w:ascii="Arial" w:hAnsi="Arial" w:hint="default"/>
      </w:rPr>
    </w:lvl>
    <w:lvl w:ilvl="7" w:tplc="6A3E65C8" w:tentative="1">
      <w:start w:val="1"/>
      <w:numFmt w:val="bullet"/>
      <w:lvlText w:val="•"/>
      <w:lvlJc w:val="left"/>
      <w:pPr>
        <w:tabs>
          <w:tab w:val="num" w:pos="5760"/>
        </w:tabs>
        <w:ind w:left="5760" w:hanging="360"/>
      </w:pPr>
      <w:rPr>
        <w:rFonts w:ascii="Arial" w:hAnsi="Arial" w:hint="default"/>
      </w:rPr>
    </w:lvl>
    <w:lvl w:ilvl="8" w:tplc="1318C908" w:tentative="1">
      <w:start w:val="1"/>
      <w:numFmt w:val="bullet"/>
      <w:lvlText w:val="•"/>
      <w:lvlJc w:val="left"/>
      <w:pPr>
        <w:tabs>
          <w:tab w:val="num" w:pos="6480"/>
        </w:tabs>
        <w:ind w:left="6480" w:hanging="360"/>
      </w:pPr>
      <w:rPr>
        <w:rFonts w:ascii="Arial" w:hAnsi="Arial" w:hint="default"/>
      </w:rPr>
    </w:lvl>
  </w:abstractNum>
  <w:abstractNum w:abstractNumId="13">
    <w:nsid w:val="2C893E51"/>
    <w:multiLevelType w:val="hybridMultilevel"/>
    <w:tmpl w:val="BB22B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9145B4"/>
    <w:multiLevelType w:val="hybridMultilevel"/>
    <w:tmpl w:val="A4721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EC380C"/>
    <w:multiLevelType w:val="hybridMultilevel"/>
    <w:tmpl w:val="D75C8D1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1D56B99"/>
    <w:multiLevelType w:val="hybridMultilevel"/>
    <w:tmpl w:val="27462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026B37"/>
    <w:multiLevelType w:val="hybridMultilevel"/>
    <w:tmpl w:val="B2B07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E130FE"/>
    <w:multiLevelType w:val="hybridMultilevel"/>
    <w:tmpl w:val="9E6C33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ED02D4"/>
    <w:multiLevelType w:val="hybridMultilevel"/>
    <w:tmpl w:val="401E0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2F3EAF"/>
    <w:multiLevelType w:val="hybridMultilevel"/>
    <w:tmpl w:val="090E9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5D3CA0"/>
    <w:multiLevelType w:val="hybridMultilevel"/>
    <w:tmpl w:val="1C96F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AF1891"/>
    <w:multiLevelType w:val="hybridMultilevel"/>
    <w:tmpl w:val="969EBE70"/>
    <w:lvl w:ilvl="0" w:tplc="2E943C32">
      <w:start w:val="1"/>
      <w:numFmt w:val="decimal"/>
      <w:lvlText w:val="%1."/>
      <w:lvlJc w:val="left"/>
      <w:pPr>
        <w:ind w:left="1080" w:hanging="360"/>
      </w:pPr>
      <w:rPr>
        <w:rFonts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2A918B7"/>
    <w:multiLevelType w:val="hybridMultilevel"/>
    <w:tmpl w:val="D2EAD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5C6A62"/>
    <w:multiLevelType w:val="hybridMultilevel"/>
    <w:tmpl w:val="E0B64870"/>
    <w:lvl w:ilvl="0" w:tplc="B90EEA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577100"/>
    <w:multiLevelType w:val="hybridMultilevel"/>
    <w:tmpl w:val="A586A83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6A5991"/>
    <w:multiLevelType w:val="hybridMultilevel"/>
    <w:tmpl w:val="A58C71E6"/>
    <w:lvl w:ilvl="0" w:tplc="6C9C2154">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62C3F79"/>
    <w:multiLevelType w:val="hybridMultilevel"/>
    <w:tmpl w:val="699286BE"/>
    <w:lvl w:ilvl="0" w:tplc="6C9C2154">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D52A12"/>
    <w:multiLevelType w:val="hybridMultilevel"/>
    <w:tmpl w:val="4CAA693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E377DC"/>
    <w:multiLevelType w:val="hybridMultilevel"/>
    <w:tmpl w:val="25CC5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3286D9F"/>
    <w:multiLevelType w:val="hybridMultilevel"/>
    <w:tmpl w:val="8A8A52B4"/>
    <w:lvl w:ilvl="0" w:tplc="1C122548">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6A463F"/>
    <w:multiLevelType w:val="hybridMultilevel"/>
    <w:tmpl w:val="543C1BBC"/>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82586A"/>
    <w:multiLevelType w:val="hybridMultilevel"/>
    <w:tmpl w:val="A586A83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4E2B28"/>
    <w:multiLevelType w:val="hybridMultilevel"/>
    <w:tmpl w:val="9DF08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34640D"/>
    <w:multiLevelType w:val="hybridMultilevel"/>
    <w:tmpl w:val="10CCD3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AD70B6"/>
    <w:multiLevelType w:val="hybridMultilevel"/>
    <w:tmpl w:val="A0045090"/>
    <w:lvl w:ilvl="0" w:tplc="6C9C2154">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922953"/>
    <w:multiLevelType w:val="hybridMultilevel"/>
    <w:tmpl w:val="FACE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BC07BE"/>
    <w:multiLevelType w:val="hybridMultilevel"/>
    <w:tmpl w:val="8CE6E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BB7517"/>
    <w:multiLevelType w:val="hybridMultilevel"/>
    <w:tmpl w:val="9CDAED70"/>
    <w:lvl w:ilvl="0" w:tplc="6C9C2154">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1F4FE5"/>
    <w:multiLevelType w:val="hybridMultilevel"/>
    <w:tmpl w:val="8F9CF08A"/>
    <w:lvl w:ilvl="0" w:tplc="6C9C2154">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7"/>
  </w:num>
  <w:num w:numId="4">
    <w:abstractNumId w:val="33"/>
  </w:num>
  <w:num w:numId="5">
    <w:abstractNumId w:val="21"/>
  </w:num>
  <w:num w:numId="6">
    <w:abstractNumId w:val="20"/>
  </w:num>
  <w:num w:numId="7">
    <w:abstractNumId w:val="35"/>
  </w:num>
  <w:num w:numId="8">
    <w:abstractNumId w:val="18"/>
  </w:num>
  <w:num w:numId="9">
    <w:abstractNumId w:val="9"/>
  </w:num>
  <w:num w:numId="10">
    <w:abstractNumId w:val="0"/>
  </w:num>
  <w:num w:numId="11">
    <w:abstractNumId w:val="26"/>
  </w:num>
  <w:num w:numId="12">
    <w:abstractNumId w:val="29"/>
  </w:num>
  <w:num w:numId="13">
    <w:abstractNumId w:val="39"/>
  </w:num>
  <w:num w:numId="14">
    <w:abstractNumId w:val="27"/>
  </w:num>
  <w:num w:numId="15">
    <w:abstractNumId w:val="12"/>
  </w:num>
  <w:num w:numId="16">
    <w:abstractNumId w:val="19"/>
  </w:num>
  <w:num w:numId="17">
    <w:abstractNumId w:val="38"/>
  </w:num>
  <w:num w:numId="18">
    <w:abstractNumId w:val="15"/>
  </w:num>
  <w:num w:numId="19">
    <w:abstractNumId w:val="2"/>
  </w:num>
  <w:num w:numId="20">
    <w:abstractNumId w:val="28"/>
  </w:num>
  <w:num w:numId="21">
    <w:abstractNumId w:val="10"/>
  </w:num>
  <w:num w:numId="22">
    <w:abstractNumId w:val="36"/>
  </w:num>
  <w:num w:numId="23">
    <w:abstractNumId w:val="37"/>
  </w:num>
  <w:num w:numId="24">
    <w:abstractNumId w:val="13"/>
  </w:num>
  <w:num w:numId="25">
    <w:abstractNumId w:val="16"/>
  </w:num>
  <w:num w:numId="26">
    <w:abstractNumId w:val="34"/>
  </w:num>
  <w:num w:numId="27">
    <w:abstractNumId w:val="24"/>
  </w:num>
  <w:num w:numId="28">
    <w:abstractNumId w:val="11"/>
  </w:num>
  <w:num w:numId="29">
    <w:abstractNumId w:val="25"/>
  </w:num>
  <w:num w:numId="30">
    <w:abstractNumId w:val="14"/>
  </w:num>
  <w:num w:numId="31">
    <w:abstractNumId w:val="6"/>
  </w:num>
  <w:num w:numId="32">
    <w:abstractNumId w:val="32"/>
  </w:num>
  <w:num w:numId="33">
    <w:abstractNumId w:val="7"/>
  </w:num>
  <w:num w:numId="34">
    <w:abstractNumId w:val="31"/>
  </w:num>
  <w:num w:numId="35">
    <w:abstractNumId w:val="22"/>
  </w:num>
  <w:num w:numId="36">
    <w:abstractNumId w:val="30"/>
  </w:num>
  <w:num w:numId="37">
    <w:abstractNumId w:val="8"/>
  </w:num>
  <w:num w:numId="38">
    <w:abstractNumId w:val="23"/>
  </w:num>
  <w:num w:numId="39">
    <w:abstractNumId w:val="1"/>
    <w:lvlOverride w:ilvl="0">
      <w:startOverride w:val="1"/>
    </w:lvlOverride>
    <w:lvlOverride w:ilvl="1"/>
    <w:lvlOverride w:ilvl="2"/>
    <w:lvlOverride w:ilvl="3"/>
    <w:lvlOverride w:ilvl="4"/>
    <w:lvlOverride w:ilvl="5"/>
    <w:lvlOverride w:ilvl="6"/>
    <w:lvlOverride w:ilvl="7"/>
    <w:lvlOverride w:ilvl="8"/>
  </w:num>
  <w:num w:numId="40">
    <w:abstractNumId w:val="1"/>
  </w:num>
  <w:num w:numId="4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ephine Ippe">
    <w15:presenceInfo w15:providerId="AD" w15:userId="S-1-5-21-889838981-920820592-1903951286-33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58E"/>
    <w:rsid w:val="00001A83"/>
    <w:rsid w:val="000239EC"/>
    <w:rsid w:val="00023CB4"/>
    <w:rsid w:val="00024756"/>
    <w:rsid w:val="00024BA5"/>
    <w:rsid w:val="0003103B"/>
    <w:rsid w:val="000414CD"/>
    <w:rsid w:val="000451C9"/>
    <w:rsid w:val="00045A44"/>
    <w:rsid w:val="0006209A"/>
    <w:rsid w:val="00071F78"/>
    <w:rsid w:val="000A4C34"/>
    <w:rsid w:val="000C4738"/>
    <w:rsid w:val="000C5118"/>
    <w:rsid w:val="000D3082"/>
    <w:rsid w:val="000E0D51"/>
    <w:rsid w:val="000F69B6"/>
    <w:rsid w:val="00106778"/>
    <w:rsid w:val="00111618"/>
    <w:rsid w:val="0012107B"/>
    <w:rsid w:val="001300F7"/>
    <w:rsid w:val="00130E74"/>
    <w:rsid w:val="00131715"/>
    <w:rsid w:val="00134F91"/>
    <w:rsid w:val="00146B78"/>
    <w:rsid w:val="0015781C"/>
    <w:rsid w:val="00162354"/>
    <w:rsid w:val="00173826"/>
    <w:rsid w:val="00183518"/>
    <w:rsid w:val="00185485"/>
    <w:rsid w:val="0019272C"/>
    <w:rsid w:val="001952AA"/>
    <w:rsid w:val="001A2576"/>
    <w:rsid w:val="001B7F7B"/>
    <w:rsid w:val="001C4180"/>
    <w:rsid w:val="001D3E12"/>
    <w:rsid w:val="001F132B"/>
    <w:rsid w:val="001F540F"/>
    <w:rsid w:val="001F6279"/>
    <w:rsid w:val="00200DBE"/>
    <w:rsid w:val="00202049"/>
    <w:rsid w:val="00206C77"/>
    <w:rsid w:val="00210DFF"/>
    <w:rsid w:val="00212919"/>
    <w:rsid w:val="0022317C"/>
    <w:rsid w:val="00224D86"/>
    <w:rsid w:val="00232B7D"/>
    <w:rsid w:val="002365ED"/>
    <w:rsid w:val="00260B0D"/>
    <w:rsid w:val="00265A52"/>
    <w:rsid w:val="00281E85"/>
    <w:rsid w:val="00282099"/>
    <w:rsid w:val="00286FD0"/>
    <w:rsid w:val="00297C22"/>
    <w:rsid w:val="002A067D"/>
    <w:rsid w:val="002B13F6"/>
    <w:rsid w:val="002B383C"/>
    <w:rsid w:val="002B54AF"/>
    <w:rsid w:val="002C3DE1"/>
    <w:rsid w:val="002C6AA5"/>
    <w:rsid w:val="002C7AB1"/>
    <w:rsid w:val="002D15F2"/>
    <w:rsid w:val="002D2DC9"/>
    <w:rsid w:val="002D6341"/>
    <w:rsid w:val="002E1CC1"/>
    <w:rsid w:val="002E20E0"/>
    <w:rsid w:val="002E53AD"/>
    <w:rsid w:val="002F026C"/>
    <w:rsid w:val="002F0831"/>
    <w:rsid w:val="002F1508"/>
    <w:rsid w:val="00312FFA"/>
    <w:rsid w:val="003135A4"/>
    <w:rsid w:val="00323CA4"/>
    <w:rsid w:val="0034263C"/>
    <w:rsid w:val="003455EA"/>
    <w:rsid w:val="0036317B"/>
    <w:rsid w:val="00363D17"/>
    <w:rsid w:val="003727AE"/>
    <w:rsid w:val="0037604D"/>
    <w:rsid w:val="0037625F"/>
    <w:rsid w:val="00385D89"/>
    <w:rsid w:val="003878B6"/>
    <w:rsid w:val="003A4315"/>
    <w:rsid w:val="003B4DCD"/>
    <w:rsid w:val="003C3E7C"/>
    <w:rsid w:val="003C481C"/>
    <w:rsid w:val="003C6446"/>
    <w:rsid w:val="003D3032"/>
    <w:rsid w:val="003E093C"/>
    <w:rsid w:val="003F28F6"/>
    <w:rsid w:val="003F5848"/>
    <w:rsid w:val="0040664A"/>
    <w:rsid w:val="0041582F"/>
    <w:rsid w:val="0043169A"/>
    <w:rsid w:val="0043273A"/>
    <w:rsid w:val="004334FB"/>
    <w:rsid w:val="004367CE"/>
    <w:rsid w:val="00437E52"/>
    <w:rsid w:val="0044313F"/>
    <w:rsid w:val="0044782C"/>
    <w:rsid w:val="004534A5"/>
    <w:rsid w:val="00457522"/>
    <w:rsid w:val="004621D0"/>
    <w:rsid w:val="0047416C"/>
    <w:rsid w:val="00483721"/>
    <w:rsid w:val="00493E75"/>
    <w:rsid w:val="0049739C"/>
    <w:rsid w:val="004A6952"/>
    <w:rsid w:val="004A79D6"/>
    <w:rsid w:val="004B072E"/>
    <w:rsid w:val="004C592B"/>
    <w:rsid w:val="004D1152"/>
    <w:rsid w:val="004D5C4A"/>
    <w:rsid w:val="004E25DF"/>
    <w:rsid w:val="004E7AFB"/>
    <w:rsid w:val="005012F8"/>
    <w:rsid w:val="00532EA5"/>
    <w:rsid w:val="00535662"/>
    <w:rsid w:val="00545754"/>
    <w:rsid w:val="00552CDB"/>
    <w:rsid w:val="005630C0"/>
    <w:rsid w:val="00565975"/>
    <w:rsid w:val="00566002"/>
    <w:rsid w:val="00566C82"/>
    <w:rsid w:val="00573358"/>
    <w:rsid w:val="005775C6"/>
    <w:rsid w:val="0058658E"/>
    <w:rsid w:val="00592C04"/>
    <w:rsid w:val="0059562D"/>
    <w:rsid w:val="00597CDC"/>
    <w:rsid w:val="005B06F5"/>
    <w:rsid w:val="005B242D"/>
    <w:rsid w:val="005B6D2B"/>
    <w:rsid w:val="005C01E5"/>
    <w:rsid w:val="005C61D3"/>
    <w:rsid w:val="005E1FF9"/>
    <w:rsid w:val="005E4C03"/>
    <w:rsid w:val="005E7242"/>
    <w:rsid w:val="005F5A0E"/>
    <w:rsid w:val="005F7EDC"/>
    <w:rsid w:val="006000AC"/>
    <w:rsid w:val="00605F71"/>
    <w:rsid w:val="00616E0D"/>
    <w:rsid w:val="00617E88"/>
    <w:rsid w:val="00620A52"/>
    <w:rsid w:val="00620F45"/>
    <w:rsid w:val="006239CF"/>
    <w:rsid w:val="006313EF"/>
    <w:rsid w:val="00634A7F"/>
    <w:rsid w:val="0064551A"/>
    <w:rsid w:val="006466B4"/>
    <w:rsid w:val="00654F08"/>
    <w:rsid w:val="00662279"/>
    <w:rsid w:val="00671F40"/>
    <w:rsid w:val="006730B7"/>
    <w:rsid w:val="00681C0A"/>
    <w:rsid w:val="00683264"/>
    <w:rsid w:val="00692F9B"/>
    <w:rsid w:val="00695E48"/>
    <w:rsid w:val="006A2900"/>
    <w:rsid w:val="006A4EEC"/>
    <w:rsid w:val="006A6177"/>
    <w:rsid w:val="006B5ACC"/>
    <w:rsid w:val="006B5C10"/>
    <w:rsid w:val="006C2C3A"/>
    <w:rsid w:val="006C5692"/>
    <w:rsid w:val="006C7CF9"/>
    <w:rsid w:val="006D2393"/>
    <w:rsid w:val="006E1E3C"/>
    <w:rsid w:val="006E3C55"/>
    <w:rsid w:val="006E728E"/>
    <w:rsid w:val="006F272A"/>
    <w:rsid w:val="00703260"/>
    <w:rsid w:val="00704A3F"/>
    <w:rsid w:val="00725E77"/>
    <w:rsid w:val="00733629"/>
    <w:rsid w:val="007473D8"/>
    <w:rsid w:val="00756AE3"/>
    <w:rsid w:val="0078499B"/>
    <w:rsid w:val="0078555A"/>
    <w:rsid w:val="00793ED7"/>
    <w:rsid w:val="007A736D"/>
    <w:rsid w:val="007C17F6"/>
    <w:rsid w:val="007D1C07"/>
    <w:rsid w:val="007D1C94"/>
    <w:rsid w:val="007D52C4"/>
    <w:rsid w:val="007D6EF8"/>
    <w:rsid w:val="007E4BC4"/>
    <w:rsid w:val="007F7BF5"/>
    <w:rsid w:val="00802AE2"/>
    <w:rsid w:val="00804136"/>
    <w:rsid w:val="00804664"/>
    <w:rsid w:val="00806E1A"/>
    <w:rsid w:val="00814B8C"/>
    <w:rsid w:val="00816619"/>
    <w:rsid w:val="008232A9"/>
    <w:rsid w:val="0082586B"/>
    <w:rsid w:val="008276B2"/>
    <w:rsid w:val="00832CFC"/>
    <w:rsid w:val="008725F8"/>
    <w:rsid w:val="00893856"/>
    <w:rsid w:val="00894DF3"/>
    <w:rsid w:val="008A2C0F"/>
    <w:rsid w:val="008A3737"/>
    <w:rsid w:val="008A3C48"/>
    <w:rsid w:val="008B2B66"/>
    <w:rsid w:val="008B37F1"/>
    <w:rsid w:val="008B6D98"/>
    <w:rsid w:val="008C66C8"/>
    <w:rsid w:val="008F7E45"/>
    <w:rsid w:val="00900EE1"/>
    <w:rsid w:val="0090166B"/>
    <w:rsid w:val="00906468"/>
    <w:rsid w:val="00915F91"/>
    <w:rsid w:val="00921342"/>
    <w:rsid w:val="009260E5"/>
    <w:rsid w:val="00926A6F"/>
    <w:rsid w:val="009550DE"/>
    <w:rsid w:val="00955AB6"/>
    <w:rsid w:val="00956506"/>
    <w:rsid w:val="00966813"/>
    <w:rsid w:val="00980983"/>
    <w:rsid w:val="00981713"/>
    <w:rsid w:val="00985EE5"/>
    <w:rsid w:val="009A0D5D"/>
    <w:rsid w:val="009A5F76"/>
    <w:rsid w:val="009A7244"/>
    <w:rsid w:val="009B142C"/>
    <w:rsid w:val="009C4347"/>
    <w:rsid w:val="009C5BB6"/>
    <w:rsid w:val="009E410F"/>
    <w:rsid w:val="009E495E"/>
    <w:rsid w:val="009F1CBA"/>
    <w:rsid w:val="009F62A0"/>
    <w:rsid w:val="009F7316"/>
    <w:rsid w:val="00A03D63"/>
    <w:rsid w:val="00A22DAB"/>
    <w:rsid w:val="00A24E59"/>
    <w:rsid w:val="00A346F7"/>
    <w:rsid w:val="00A4574C"/>
    <w:rsid w:val="00A46F23"/>
    <w:rsid w:val="00A5291B"/>
    <w:rsid w:val="00A56E87"/>
    <w:rsid w:val="00A576E0"/>
    <w:rsid w:val="00A57FF5"/>
    <w:rsid w:val="00A664C6"/>
    <w:rsid w:val="00A82013"/>
    <w:rsid w:val="00A85570"/>
    <w:rsid w:val="00A85B27"/>
    <w:rsid w:val="00A8796E"/>
    <w:rsid w:val="00AA0C9D"/>
    <w:rsid w:val="00AA335B"/>
    <w:rsid w:val="00AA626B"/>
    <w:rsid w:val="00AB0D6B"/>
    <w:rsid w:val="00AB2DEB"/>
    <w:rsid w:val="00AB6AF3"/>
    <w:rsid w:val="00AB7ECA"/>
    <w:rsid w:val="00AC1C05"/>
    <w:rsid w:val="00AD63F4"/>
    <w:rsid w:val="00AE15EC"/>
    <w:rsid w:val="00AE4B93"/>
    <w:rsid w:val="00AE67A8"/>
    <w:rsid w:val="00AF6E3F"/>
    <w:rsid w:val="00AF79D2"/>
    <w:rsid w:val="00B062B7"/>
    <w:rsid w:val="00B07C04"/>
    <w:rsid w:val="00B11CB8"/>
    <w:rsid w:val="00B16957"/>
    <w:rsid w:val="00B2294E"/>
    <w:rsid w:val="00B325D7"/>
    <w:rsid w:val="00B44924"/>
    <w:rsid w:val="00B45737"/>
    <w:rsid w:val="00B46B85"/>
    <w:rsid w:val="00B4728A"/>
    <w:rsid w:val="00B62CBB"/>
    <w:rsid w:val="00B637C7"/>
    <w:rsid w:val="00B70817"/>
    <w:rsid w:val="00B73C59"/>
    <w:rsid w:val="00B83E37"/>
    <w:rsid w:val="00B86E31"/>
    <w:rsid w:val="00BA40B1"/>
    <w:rsid w:val="00BB52B8"/>
    <w:rsid w:val="00BB5CBD"/>
    <w:rsid w:val="00BB69F3"/>
    <w:rsid w:val="00BC18F9"/>
    <w:rsid w:val="00BD1674"/>
    <w:rsid w:val="00BD43FA"/>
    <w:rsid w:val="00BE1248"/>
    <w:rsid w:val="00BE2E6D"/>
    <w:rsid w:val="00BF544B"/>
    <w:rsid w:val="00C0139A"/>
    <w:rsid w:val="00C1548A"/>
    <w:rsid w:val="00C1576E"/>
    <w:rsid w:val="00C214AC"/>
    <w:rsid w:val="00C21731"/>
    <w:rsid w:val="00C44E88"/>
    <w:rsid w:val="00C63D14"/>
    <w:rsid w:val="00C873D6"/>
    <w:rsid w:val="00CA7784"/>
    <w:rsid w:val="00CD0111"/>
    <w:rsid w:val="00CD17E8"/>
    <w:rsid w:val="00CD2494"/>
    <w:rsid w:val="00CD683E"/>
    <w:rsid w:val="00CE0659"/>
    <w:rsid w:val="00CE60F4"/>
    <w:rsid w:val="00CF7BF5"/>
    <w:rsid w:val="00D109DC"/>
    <w:rsid w:val="00D24A2A"/>
    <w:rsid w:val="00D251D8"/>
    <w:rsid w:val="00D2617D"/>
    <w:rsid w:val="00D31BC2"/>
    <w:rsid w:val="00D37520"/>
    <w:rsid w:val="00D42CEE"/>
    <w:rsid w:val="00D45F9F"/>
    <w:rsid w:val="00D50016"/>
    <w:rsid w:val="00D509D8"/>
    <w:rsid w:val="00D549DB"/>
    <w:rsid w:val="00D565E2"/>
    <w:rsid w:val="00D6185E"/>
    <w:rsid w:val="00D76032"/>
    <w:rsid w:val="00D8179D"/>
    <w:rsid w:val="00D87608"/>
    <w:rsid w:val="00D96CD0"/>
    <w:rsid w:val="00DA75C7"/>
    <w:rsid w:val="00DB3B0E"/>
    <w:rsid w:val="00DC2BAF"/>
    <w:rsid w:val="00DD2631"/>
    <w:rsid w:val="00DD3D07"/>
    <w:rsid w:val="00DD4961"/>
    <w:rsid w:val="00DD7C1E"/>
    <w:rsid w:val="00DE23E2"/>
    <w:rsid w:val="00DF6E5E"/>
    <w:rsid w:val="00E0096A"/>
    <w:rsid w:val="00E02454"/>
    <w:rsid w:val="00E14711"/>
    <w:rsid w:val="00E17E9B"/>
    <w:rsid w:val="00E32A9D"/>
    <w:rsid w:val="00E46CD3"/>
    <w:rsid w:val="00E52A51"/>
    <w:rsid w:val="00E57D86"/>
    <w:rsid w:val="00E66DAF"/>
    <w:rsid w:val="00E6761B"/>
    <w:rsid w:val="00E7208F"/>
    <w:rsid w:val="00E83E73"/>
    <w:rsid w:val="00E846AB"/>
    <w:rsid w:val="00E84BBD"/>
    <w:rsid w:val="00E93A77"/>
    <w:rsid w:val="00EA3D93"/>
    <w:rsid w:val="00EB6B28"/>
    <w:rsid w:val="00EC11D5"/>
    <w:rsid w:val="00EF1638"/>
    <w:rsid w:val="00EF3015"/>
    <w:rsid w:val="00F050AA"/>
    <w:rsid w:val="00F06413"/>
    <w:rsid w:val="00F10287"/>
    <w:rsid w:val="00F241C9"/>
    <w:rsid w:val="00F33848"/>
    <w:rsid w:val="00F40D3F"/>
    <w:rsid w:val="00F43D59"/>
    <w:rsid w:val="00F65F21"/>
    <w:rsid w:val="00F664D1"/>
    <w:rsid w:val="00F76533"/>
    <w:rsid w:val="00F97A4F"/>
    <w:rsid w:val="00F97C86"/>
    <w:rsid w:val="00FA3D11"/>
    <w:rsid w:val="00FB5B16"/>
    <w:rsid w:val="00FB7FF0"/>
    <w:rsid w:val="00FC21A4"/>
    <w:rsid w:val="00FD0DFF"/>
    <w:rsid w:val="00FD2C0B"/>
    <w:rsid w:val="00FD6A7D"/>
    <w:rsid w:val="00FE3387"/>
    <w:rsid w:val="00FE7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9BD3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Georgia"/>
        <w:color w:val="1D1D1D"/>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65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658E"/>
    <w:rPr>
      <w:rFonts w:ascii="Lucida Grande" w:hAnsi="Lucida Grande" w:cs="Lucida Grande"/>
      <w:sz w:val="18"/>
      <w:szCs w:val="18"/>
    </w:rPr>
  </w:style>
  <w:style w:type="paragraph" w:styleId="ListParagraph">
    <w:name w:val="List Paragraph"/>
    <w:basedOn w:val="Normal"/>
    <w:uiPriority w:val="34"/>
    <w:qFormat/>
    <w:rsid w:val="00662279"/>
    <w:pPr>
      <w:ind w:left="720"/>
      <w:contextualSpacing/>
    </w:pPr>
  </w:style>
  <w:style w:type="character" w:styleId="Hyperlink">
    <w:name w:val="Hyperlink"/>
    <w:basedOn w:val="DefaultParagraphFont"/>
    <w:uiPriority w:val="99"/>
    <w:unhideWhenUsed/>
    <w:rsid w:val="004334FB"/>
    <w:rPr>
      <w:color w:val="0000FF" w:themeColor="hyperlink"/>
      <w:u w:val="single"/>
    </w:rPr>
  </w:style>
  <w:style w:type="paragraph" w:styleId="FootnoteText">
    <w:name w:val="footnote text"/>
    <w:basedOn w:val="Normal"/>
    <w:link w:val="FootnoteTextChar"/>
    <w:uiPriority w:val="99"/>
    <w:unhideWhenUsed/>
    <w:rsid w:val="004334FB"/>
    <w:rPr>
      <w:sz w:val="24"/>
      <w:szCs w:val="24"/>
    </w:rPr>
  </w:style>
  <w:style w:type="character" w:customStyle="1" w:styleId="FootnoteTextChar">
    <w:name w:val="Footnote Text Char"/>
    <w:basedOn w:val="DefaultParagraphFont"/>
    <w:link w:val="FootnoteText"/>
    <w:uiPriority w:val="99"/>
    <w:rsid w:val="004334FB"/>
    <w:rPr>
      <w:sz w:val="24"/>
      <w:szCs w:val="24"/>
    </w:rPr>
  </w:style>
  <w:style w:type="character" w:styleId="FootnoteReference">
    <w:name w:val="footnote reference"/>
    <w:basedOn w:val="DefaultParagraphFont"/>
    <w:uiPriority w:val="99"/>
    <w:unhideWhenUsed/>
    <w:rsid w:val="004334FB"/>
    <w:rPr>
      <w:vertAlign w:val="superscript"/>
    </w:rPr>
  </w:style>
  <w:style w:type="character" w:styleId="CommentReference">
    <w:name w:val="annotation reference"/>
    <w:basedOn w:val="DefaultParagraphFont"/>
    <w:uiPriority w:val="99"/>
    <w:semiHidden/>
    <w:unhideWhenUsed/>
    <w:rsid w:val="00552CDB"/>
    <w:rPr>
      <w:sz w:val="18"/>
      <w:szCs w:val="18"/>
    </w:rPr>
  </w:style>
  <w:style w:type="paragraph" w:styleId="CommentText">
    <w:name w:val="annotation text"/>
    <w:basedOn w:val="Normal"/>
    <w:link w:val="CommentTextChar"/>
    <w:uiPriority w:val="99"/>
    <w:unhideWhenUsed/>
    <w:rsid w:val="00552CDB"/>
    <w:rPr>
      <w:sz w:val="24"/>
      <w:szCs w:val="24"/>
    </w:rPr>
  </w:style>
  <w:style w:type="character" w:customStyle="1" w:styleId="CommentTextChar">
    <w:name w:val="Comment Text Char"/>
    <w:basedOn w:val="DefaultParagraphFont"/>
    <w:link w:val="CommentText"/>
    <w:uiPriority w:val="99"/>
    <w:rsid w:val="00552CDB"/>
    <w:rPr>
      <w:sz w:val="24"/>
      <w:szCs w:val="24"/>
    </w:rPr>
  </w:style>
  <w:style w:type="paragraph" w:styleId="CommentSubject">
    <w:name w:val="annotation subject"/>
    <w:basedOn w:val="CommentText"/>
    <w:next w:val="CommentText"/>
    <w:link w:val="CommentSubjectChar"/>
    <w:uiPriority w:val="99"/>
    <w:semiHidden/>
    <w:unhideWhenUsed/>
    <w:rsid w:val="00552CDB"/>
    <w:rPr>
      <w:b/>
      <w:bCs/>
      <w:sz w:val="20"/>
      <w:szCs w:val="20"/>
    </w:rPr>
  </w:style>
  <w:style w:type="character" w:customStyle="1" w:styleId="CommentSubjectChar">
    <w:name w:val="Comment Subject Char"/>
    <w:basedOn w:val="CommentTextChar"/>
    <w:link w:val="CommentSubject"/>
    <w:uiPriority w:val="99"/>
    <w:semiHidden/>
    <w:rsid w:val="00552CDB"/>
    <w:rPr>
      <w:b/>
      <w:bCs/>
      <w:sz w:val="20"/>
      <w:szCs w:val="20"/>
    </w:rPr>
  </w:style>
  <w:style w:type="paragraph" w:styleId="Footer">
    <w:name w:val="footer"/>
    <w:basedOn w:val="Normal"/>
    <w:link w:val="FooterChar"/>
    <w:uiPriority w:val="99"/>
    <w:unhideWhenUsed/>
    <w:rsid w:val="00FB5B16"/>
    <w:pPr>
      <w:tabs>
        <w:tab w:val="center" w:pos="4320"/>
        <w:tab w:val="right" w:pos="8640"/>
      </w:tabs>
    </w:pPr>
  </w:style>
  <w:style w:type="character" w:customStyle="1" w:styleId="FooterChar">
    <w:name w:val="Footer Char"/>
    <w:basedOn w:val="DefaultParagraphFont"/>
    <w:link w:val="Footer"/>
    <w:uiPriority w:val="99"/>
    <w:rsid w:val="00FB5B16"/>
  </w:style>
  <w:style w:type="character" w:styleId="PageNumber">
    <w:name w:val="page number"/>
    <w:basedOn w:val="DefaultParagraphFont"/>
    <w:uiPriority w:val="99"/>
    <w:semiHidden/>
    <w:unhideWhenUsed/>
    <w:rsid w:val="00FB5B16"/>
  </w:style>
  <w:style w:type="paragraph" w:styleId="NormalWeb">
    <w:name w:val="Normal (Web)"/>
    <w:basedOn w:val="Normal"/>
    <w:uiPriority w:val="99"/>
    <w:semiHidden/>
    <w:unhideWhenUsed/>
    <w:rsid w:val="00AC1C05"/>
    <w:pPr>
      <w:spacing w:before="100" w:beforeAutospacing="1" w:after="100" w:afterAutospacing="1"/>
    </w:pPr>
    <w:rPr>
      <w:rFonts w:ascii="Times" w:hAnsi="Times" w:cs="Times New Roman"/>
      <w:color w:val="auto"/>
      <w:sz w:val="20"/>
      <w:szCs w:val="20"/>
    </w:rPr>
  </w:style>
  <w:style w:type="paragraph" w:styleId="Revision">
    <w:name w:val="Revision"/>
    <w:hidden/>
    <w:uiPriority w:val="99"/>
    <w:semiHidden/>
    <w:rsid w:val="00A82013"/>
  </w:style>
  <w:style w:type="table" w:styleId="TableGrid">
    <w:name w:val="Table Grid"/>
    <w:basedOn w:val="TableNormal"/>
    <w:uiPriority w:val="39"/>
    <w:rsid w:val="00D2617D"/>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Georgia"/>
        <w:color w:val="1D1D1D"/>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65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658E"/>
    <w:rPr>
      <w:rFonts w:ascii="Lucida Grande" w:hAnsi="Lucida Grande" w:cs="Lucida Grande"/>
      <w:sz w:val="18"/>
      <w:szCs w:val="18"/>
    </w:rPr>
  </w:style>
  <w:style w:type="paragraph" w:styleId="ListParagraph">
    <w:name w:val="List Paragraph"/>
    <w:basedOn w:val="Normal"/>
    <w:uiPriority w:val="34"/>
    <w:qFormat/>
    <w:rsid w:val="00662279"/>
    <w:pPr>
      <w:ind w:left="720"/>
      <w:contextualSpacing/>
    </w:pPr>
  </w:style>
  <w:style w:type="character" w:styleId="Hyperlink">
    <w:name w:val="Hyperlink"/>
    <w:basedOn w:val="DefaultParagraphFont"/>
    <w:uiPriority w:val="99"/>
    <w:unhideWhenUsed/>
    <w:rsid w:val="004334FB"/>
    <w:rPr>
      <w:color w:val="0000FF" w:themeColor="hyperlink"/>
      <w:u w:val="single"/>
    </w:rPr>
  </w:style>
  <w:style w:type="paragraph" w:styleId="FootnoteText">
    <w:name w:val="footnote text"/>
    <w:basedOn w:val="Normal"/>
    <w:link w:val="FootnoteTextChar"/>
    <w:uiPriority w:val="99"/>
    <w:unhideWhenUsed/>
    <w:rsid w:val="004334FB"/>
    <w:rPr>
      <w:sz w:val="24"/>
      <w:szCs w:val="24"/>
    </w:rPr>
  </w:style>
  <w:style w:type="character" w:customStyle="1" w:styleId="FootnoteTextChar">
    <w:name w:val="Footnote Text Char"/>
    <w:basedOn w:val="DefaultParagraphFont"/>
    <w:link w:val="FootnoteText"/>
    <w:uiPriority w:val="99"/>
    <w:rsid w:val="004334FB"/>
    <w:rPr>
      <w:sz w:val="24"/>
      <w:szCs w:val="24"/>
    </w:rPr>
  </w:style>
  <w:style w:type="character" w:styleId="FootnoteReference">
    <w:name w:val="footnote reference"/>
    <w:basedOn w:val="DefaultParagraphFont"/>
    <w:uiPriority w:val="99"/>
    <w:unhideWhenUsed/>
    <w:rsid w:val="004334FB"/>
    <w:rPr>
      <w:vertAlign w:val="superscript"/>
    </w:rPr>
  </w:style>
  <w:style w:type="character" w:styleId="CommentReference">
    <w:name w:val="annotation reference"/>
    <w:basedOn w:val="DefaultParagraphFont"/>
    <w:uiPriority w:val="99"/>
    <w:semiHidden/>
    <w:unhideWhenUsed/>
    <w:rsid w:val="00552CDB"/>
    <w:rPr>
      <w:sz w:val="18"/>
      <w:szCs w:val="18"/>
    </w:rPr>
  </w:style>
  <w:style w:type="paragraph" w:styleId="CommentText">
    <w:name w:val="annotation text"/>
    <w:basedOn w:val="Normal"/>
    <w:link w:val="CommentTextChar"/>
    <w:uiPriority w:val="99"/>
    <w:unhideWhenUsed/>
    <w:rsid w:val="00552CDB"/>
    <w:rPr>
      <w:sz w:val="24"/>
      <w:szCs w:val="24"/>
    </w:rPr>
  </w:style>
  <w:style w:type="character" w:customStyle="1" w:styleId="CommentTextChar">
    <w:name w:val="Comment Text Char"/>
    <w:basedOn w:val="DefaultParagraphFont"/>
    <w:link w:val="CommentText"/>
    <w:uiPriority w:val="99"/>
    <w:rsid w:val="00552CDB"/>
    <w:rPr>
      <w:sz w:val="24"/>
      <w:szCs w:val="24"/>
    </w:rPr>
  </w:style>
  <w:style w:type="paragraph" w:styleId="CommentSubject">
    <w:name w:val="annotation subject"/>
    <w:basedOn w:val="CommentText"/>
    <w:next w:val="CommentText"/>
    <w:link w:val="CommentSubjectChar"/>
    <w:uiPriority w:val="99"/>
    <w:semiHidden/>
    <w:unhideWhenUsed/>
    <w:rsid w:val="00552CDB"/>
    <w:rPr>
      <w:b/>
      <w:bCs/>
      <w:sz w:val="20"/>
      <w:szCs w:val="20"/>
    </w:rPr>
  </w:style>
  <w:style w:type="character" w:customStyle="1" w:styleId="CommentSubjectChar">
    <w:name w:val="Comment Subject Char"/>
    <w:basedOn w:val="CommentTextChar"/>
    <w:link w:val="CommentSubject"/>
    <w:uiPriority w:val="99"/>
    <w:semiHidden/>
    <w:rsid w:val="00552CDB"/>
    <w:rPr>
      <w:b/>
      <w:bCs/>
      <w:sz w:val="20"/>
      <w:szCs w:val="20"/>
    </w:rPr>
  </w:style>
  <w:style w:type="paragraph" w:styleId="Footer">
    <w:name w:val="footer"/>
    <w:basedOn w:val="Normal"/>
    <w:link w:val="FooterChar"/>
    <w:uiPriority w:val="99"/>
    <w:unhideWhenUsed/>
    <w:rsid w:val="00FB5B16"/>
    <w:pPr>
      <w:tabs>
        <w:tab w:val="center" w:pos="4320"/>
        <w:tab w:val="right" w:pos="8640"/>
      </w:tabs>
    </w:pPr>
  </w:style>
  <w:style w:type="character" w:customStyle="1" w:styleId="FooterChar">
    <w:name w:val="Footer Char"/>
    <w:basedOn w:val="DefaultParagraphFont"/>
    <w:link w:val="Footer"/>
    <w:uiPriority w:val="99"/>
    <w:rsid w:val="00FB5B16"/>
  </w:style>
  <w:style w:type="character" w:styleId="PageNumber">
    <w:name w:val="page number"/>
    <w:basedOn w:val="DefaultParagraphFont"/>
    <w:uiPriority w:val="99"/>
    <w:semiHidden/>
    <w:unhideWhenUsed/>
    <w:rsid w:val="00FB5B16"/>
  </w:style>
  <w:style w:type="paragraph" w:styleId="NormalWeb">
    <w:name w:val="Normal (Web)"/>
    <w:basedOn w:val="Normal"/>
    <w:uiPriority w:val="99"/>
    <w:semiHidden/>
    <w:unhideWhenUsed/>
    <w:rsid w:val="00AC1C05"/>
    <w:pPr>
      <w:spacing w:before="100" w:beforeAutospacing="1" w:after="100" w:afterAutospacing="1"/>
    </w:pPr>
    <w:rPr>
      <w:rFonts w:ascii="Times" w:hAnsi="Times" w:cs="Times New Roman"/>
      <w:color w:val="auto"/>
      <w:sz w:val="20"/>
      <w:szCs w:val="20"/>
    </w:rPr>
  </w:style>
  <w:style w:type="paragraph" w:styleId="Revision">
    <w:name w:val="Revision"/>
    <w:hidden/>
    <w:uiPriority w:val="99"/>
    <w:semiHidden/>
    <w:rsid w:val="00A82013"/>
  </w:style>
  <w:style w:type="table" w:styleId="TableGrid">
    <w:name w:val="Table Grid"/>
    <w:basedOn w:val="TableNormal"/>
    <w:uiPriority w:val="39"/>
    <w:rsid w:val="00D2617D"/>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30624">
      <w:bodyDiv w:val="1"/>
      <w:marLeft w:val="0"/>
      <w:marRight w:val="0"/>
      <w:marTop w:val="0"/>
      <w:marBottom w:val="0"/>
      <w:divBdr>
        <w:top w:val="none" w:sz="0" w:space="0" w:color="auto"/>
        <w:left w:val="none" w:sz="0" w:space="0" w:color="auto"/>
        <w:bottom w:val="none" w:sz="0" w:space="0" w:color="auto"/>
        <w:right w:val="none" w:sz="0" w:space="0" w:color="auto"/>
      </w:divBdr>
      <w:divsChild>
        <w:div w:id="1932469670">
          <w:marLeft w:val="1440"/>
          <w:marRight w:val="0"/>
          <w:marTop w:val="77"/>
          <w:marBottom w:val="0"/>
          <w:divBdr>
            <w:top w:val="none" w:sz="0" w:space="0" w:color="auto"/>
            <w:left w:val="none" w:sz="0" w:space="0" w:color="auto"/>
            <w:bottom w:val="none" w:sz="0" w:space="0" w:color="auto"/>
            <w:right w:val="none" w:sz="0" w:space="0" w:color="auto"/>
          </w:divBdr>
        </w:div>
        <w:div w:id="1872572584">
          <w:marLeft w:val="1440"/>
          <w:marRight w:val="0"/>
          <w:marTop w:val="77"/>
          <w:marBottom w:val="0"/>
          <w:divBdr>
            <w:top w:val="none" w:sz="0" w:space="0" w:color="auto"/>
            <w:left w:val="none" w:sz="0" w:space="0" w:color="auto"/>
            <w:bottom w:val="none" w:sz="0" w:space="0" w:color="auto"/>
            <w:right w:val="none" w:sz="0" w:space="0" w:color="auto"/>
          </w:divBdr>
        </w:div>
        <w:div w:id="2086805682">
          <w:marLeft w:val="1440"/>
          <w:marRight w:val="0"/>
          <w:marTop w:val="77"/>
          <w:marBottom w:val="0"/>
          <w:divBdr>
            <w:top w:val="none" w:sz="0" w:space="0" w:color="auto"/>
            <w:left w:val="none" w:sz="0" w:space="0" w:color="auto"/>
            <w:bottom w:val="none" w:sz="0" w:space="0" w:color="auto"/>
            <w:right w:val="none" w:sz="0" w:space="0" w:color="auto"/>
          </w:divBdr>
        </w:div>
        <w:div w:id="646401676">
          <w:marLeft w:val="1440"/>
          <w:marRight w:val="0"/>
          <w:marTop w:val="77"/>
          <w:marBottom w:val="0"/>
          <w:divBdr>
            <w:top w:val="none" w:sz="0" w:space="0" w:color="auto"/>
            <w:left w:val="none" w:sz="0" w:space="0" w:color="auto"/>
            <w:bottom w:val="none" w:sz="0" w:space="0" w:color="auto"/>
            <w:right w:val="none" w:sz="0" w:space="0" w:color="auto"/>
          </w:divBdr>
        </w:div>
        <w:div w:id="1887905828">
          <w:marLeft w:val="1440"/>
          <w:marRight w:val="0"/>
          <w:marTop w:val="77"/>
          <w:marBottom w:val="0"/>
          <w:divBdr>
            <w:top w:val="none" w:sz="0" w:space="0" w:color="auto"/>
            <w:left w:val="none" w:sz="0" w:space="0" w:color="auto"/>
            <w:bottom w:val="none" w:sz="0" w:space="0" w:color="auto"/>
            <w:right w:val="none" w:sz="0" w:space="0" w:color="auto"/>
          </w:divBdr>
        </w:div>
      </w:divsChild>
    </w:div>
    <w:div w:id="198930655">
      <w:bodyDiv w:val="1"/>
      <w:marLeft w:val="0"/>
      <w:marRight w:val="0"/>
      <w:marTop w:val="0"/>
      <w:marBottom w:val="0"/>
      <w:divBdr>
        <w:top w:val="none" w:sz="0" w:space="0" w:color="auto"/>
        <w:left w:val="none" w:sz="0" w:space="0" w:color="auto"/>
        <w:bottom w:val="none" w:sz="0" w:space="0" w:color="auto"/>
        <w:right w:val="none" w:sz="0" w:space="0" w:color="auto"/>
      </w:divBdr>
    </w:div>
    <w:div w:id="373162809">
      <w:bodyDiv w:val="1"/>
      <w:marLeft w:val="0"/>
      <w:marRight w:val="0"/>
      <w:marTop w:val="0"/>
      <w:marBottom w:val="0"/>
      <w:divBdr>
        <w:top w:val="none" w:sz="0" w:space="0" w:color="auto"/>
        <w:left w:val="none" w:sz="0" w:space="0" w:color="auto"/>
        <w:bottom w:val="none" w:sz="0" w:space="0" w:color="auto"/>
        <w:right w:val="none" w:sz="0" w:space="0" w:color="auto"/>
      </w:divBdr>
      <w:divsChild>
        <w:div w:id="1398624289">
          <w:marLeft w:val="547"/>
          <w:marRight w:val="0"/>
          <w:marTop w:val="120"/>
          <w:marBottom w:val="0"/>
          <w:divBdr>
            <w:top w:val="none" w:sz="0" w:space="0" w:color="auto"/>
            <w:left w:val="none" w:sz="0" w:space="0" w:color="auto"/>
            <w:bottom w:val="none" w:sz="0" w:space="0" w:color="auto"/>
            <w:right w:val="none" w:sz="0" w:space="0" w:color="auto"/>
          </w:divBdr>
        </w:div>
      </w:divsChild>
    </w:div>
    <w:div w:id="409931347">
      <w:bodyDiv w:val="1"/>
      <w:marLeft w:val="0"/>
      <w:marRight w:val="0"/>
      <w:marTop w:val="0"/>
      <w:marBottom w:val="0"/>
      <w:divBdr>
        <w:top w:val="none" w:sz="0" w:space="0" w:color="auto"/>
        <w:left w:val="none" w:sz="0" w:space="0" w:color="auto"/>
        <w:bottom w:val="none" w:sz="0" w:space="0" w:color="auto"/>
        <w:right w:val="none" w:sz="0" w:space="0" w:color="auto"/>
      </w:divBdr>
    </w:div>
    <w:div w:id="959871266">
      <w:bodyDiv w:val="1"/>
      <w:marLeft w:val="0"/>
      <w:marRight w:val="0"/>
      <w:marTop w:val="0"/>
      <w:marBottom w:val="0"/>
      <w:divBdr>
        <w:top w:val="none" w:sz="0" w:space="0" w:color="auto"/>
        <w:left w:val="none" w:sz="0" w:space="0" w:color="auto"/>
        <w:bottom w:val="none" w:sz="0" w:space="0" w:color="auto"/>
        <w:right w:val="none" w:sz="0" w:space="0" w:color="auto"/>
      </w:divBdr>
      <w:divsChild>
        <w:div w:id="1577745619">
          <w:marLeft w:val="1440"/>
          <w:marRight w:val="0"/>
          <w:marTop w:val="77"/>
          <w:marBottom w:val="0"/>
          <w:divBdr>
            <w:top w:val="none" w:sz="0" w:space="0" w:color="auto"/>
            <w:left w:val="none" w:sz="0" w:space="0" w:color="auto"/>
            <w:bottom w:val="none" w:sz="0" w:space="0" w:color="auto"/>
            <w:right w:val="none" w:sz="0" w:space="0" w:color="auto"/>
          </w:divBdr>
        </w:div>
        <w:div w:id="256212985">
          <w:marLeft w:val="1440"/>
          <w:marRight w:val="0"/>
          <w:marTop w:val="77"/>
          <w:marBottom w:val="0"/>
          <w:divBdr>
            <w:top w:val="none" w:sz="0" w:space="0" w:color="auto"/>
            <w:left w:val="none" w:sz="0" w:space="0" w:color="auto"/>
            <w:bottom w:val="none" w:sz="0" w:space="0" w:color="auto"/>
            <w:right w:val="none" w:sz="0" w:space="0" w:color="auto"/>
          </w:divBdr>
        </w:div>
        <w:div w:id="863246906">
          <w:marLeft w:val="1440"/>
          <w:marRight w:val="0"/>
          <w:marTop w:val="77"/>
          <w:marBottom w:val="0"/>
          <w:divBdr>
            <w:top w:val="none" w:sz="0" w:space="0" w:color="auto"/>
            <w:left w:val="none" w:sz="0" w:space="0" w:color="auto"/>
            <w:bottom w:val="none" w:sz="0" w:space="0" w:color="auto"/>
            <w:right w:val="none" w:sz="0" w:space="0" w:color="auto"/>
          </w:divBdr>
        </w:div>
        <w:div w:id="278682278">
          <w:marLeft w:val="1440"/>
          <w:marRight w:val="0"/>
          <w:marTop w:val="77"/>
          <w:marBottom w:val="0"/>
          <w:divBdr>
            <w:top w:val="none" w:sz="0" w:space="0" w:color="auto"/>
            <w:left w:val="none" w:sz="0" w:space="0" w:color="auto"/>
            <w:bottom w:val="none" w:sz="0" w:space="0" w:color="auto"/>
            <w:right w:val="none" w:sz="0" w:space="0" w:color="auto"/>
          </w:divBdr>
        </w:div>
        <w:div w:id="1160580398">
          <w:marLeft w:val="1440"/>
          <w:marRight w:val="0"/>
          <w:marTop w:val="77"/>
          <w:marBottom w:val="0"/>
          <w:divBdr>
            <w:top w:val="none" w:sz="0" w:space="0" w:color="auto"/>
            <w:left w:val="none" w:sz="0" w:space="0" w:color="auto"/>
            <w:bottom w:val="none" w:sz="0" w:space="0" w:color="auto"/>
            <w:right w:val="none" w:sz="0" w:space="0" w:color="auto"/>
          </w:divBdr>
        </w:div>
      </w:divsChild>
    </w:div>
    <w:div w:id="1623151294">
      <w:bodyDiv w:val="1"/>
      <w:marLeft w:val="0"/>
      <w:marRight w:val="0"/>
      <w:marTop w:val="0"/>
      <w:marBottom w:val="0"/>
      <w:divBdr>
        <w:top w:val="none" w:sz="0" w:space="0" w:color="auto"/>
        <w:left w:val="none" w:sz="0" w:space="0" w:color="auto"/>
        <w:bottom w:val="none" w:sz="0" w:space="0" w:color="auto"/>
        <w:right w:val="none" w:sz="0" w:space="0" w:color="auto"/>
      </w:divBdr>
    </w:div>
    <w:div w:id="1926106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nutritioncluster.net" TargetMode="External"/><Relationship Id="rId2" Type="http://schemas.openxmlformats.org/officeDocument/2006/relationships/hyperlink" Target="http://www.nutritionclust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5AE13-EE61-3844-BB4F-5EE9AB76D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3232</Words>
  <Characters>18424</Characters>
  <Application>Microsoft Macintosh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21613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Gatchell</dc:creator>
  <cp:lastModifiedBy>Valerie Gatchell</cp:lastModifiedBy>
  <cp:revision>3</cp:revision>
  <dcterms:created xsi:type="dcterms:W3CDTF">2014-07-21T12:48:00Z</dcterms:created>
  <dcterms:modified xsi:type="dcterms:W3CDTF">2014-07-21T12:48:00Z</dcterms:modified>
</cp:coreProperties>
</file>