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2CA" w:rsidRDefault="004B72CA">
      <w:pPr>
        <w:spacing w:after="200" w:line="276" w:lineRule="auto"/>
      </w:pPr>
      <w:r>
        <w:br w:type="page"/>
      </w: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5475"/>
        <w:gridCol w:w="3993"/>
        <w:gridCol w:w="5354"/>
      </w:tblGrid>
      <w:tr w:rsidR="004B72CA" w:rsidRPr="00C97CFC" w:rsidTr="005D6E20">
        <w:trPr>
          <w:trHeight w:val="262"/>
        </w:trPr>
        <w:tc>
          <w:tcPr>
            <w:tcW w:w="5000" w:type="pct"/>
            <w:gridSpan w:val="3"/>
            <w:tcBorders>
              <w:top w:val="nil"/>
              <w:left w:val="nil"/>
              <w:bottom w:val="nil"/>
              <w:right w:val="nil"/>
            </w:tcBorders>
            <w:tcMar>
              <w:top w:w="39" w:type="dxa"/>
              <w:left w:w="39" w:type="dxa"/>
              <w:bottom w:w="39" w:type="dxa"/>
              <w:right w:w="39" w:type="dxa"/>
            </w:tcMar>
          </w:tcPr>
          <w:p w:rsidR="004B72CA" w:rsidRPr="00C97CFC" w:rsidRDefault="004B72CA" w:rsidP="005D6E20">
            <w:pPr>
              <w:spacing w:after="0"/>
              <w:jc w:val="center"/>
            </w:pPr>
            <w:r w:rsidRPr="00C97CFC">
              <w:rPr>
                <w:rFonts w:ascii="Tahoma" w:eastAsia="Tahoma" w:hAnsi="Tahoma"/>
                <w:b/>
              </w:rPr>
              <w:lastRenderedPageBreak/>
              <w:t>Cluster Performance Monitoring</w:t>
            </w:r>
          </w:p>
        </w:tc>
      </w:tr>
      <w:tr w:rsidR="004B72CA" w:rsidRPr="00C97CFC" w:rsidTr="005D6E20">
        <w:trPr>
          <w:trHeight w:val="262"/>
        </w:trPr>
        <w:tc>
          <w:tcPr>
            <w:tcW w:w="18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c>
          <w:tcPr>
            <w:tcW w:w="13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c>
          <w:tcPr>
            <w:tcW w:w="1806"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r>
      <w:tr w:rsidR="004B72CA" w:rsidRPr="00C97CFC" w:rsidTr="005D6E20">
        <w:trPr>
          <w:trHeight w:val="262"/>
        </w:trPr>
        <w:tc>
          <w:tcPr>
            <w:tcW w:w="18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c>
          <w:tcPr>
            <w:tcW w:w="13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c>
          <w:tcPr>
            <w:tcW w:w="1806"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r>
      <w:tr w:rsidR="004B72CA" w:rsidRPr="00C97CFC" w:rsidTr="005D6E20">
        <w:trPr>
          <w:trHeight w:val="262"/>
        </w:trPr>
        <w:tc>
          <w:tcPr>
            <w:tcW w:w="5000" w:type="pct"/>
            <w:gridSpan w:val="3"/>
            <w:tcBorders>
              <w:top w:val="nil"/>
              <w:left w:val="nil"/>
              <w:bottom w:val="nil"/>
              <w:right w:val="nil"/>
            </w:tcBorders>
            <w:tcMar>
              <w:top w:w="39" w:type="dxa"/>
              <w:left w:w="39" w:type="dxa"/>
              <w:bottom w:w="39" w:type="dxa"/>
              <w:right w:w="39" w:type="dxa"/>
            </w:tcMar>
          </w:tcPr>
          <w:p w:rsidR="004B72CA" w:rsidRPr="00C97CFC" w:rsidRDefault="004B72CA" w:rsidP="005D6E20">
            <w:pPr>
              <w:spacing w:after="0"/>
              <w:jc w:val="center"/>
            </w:pPr>
            <w:r w:rsidRPr="00C97CFC">
              <w:rPr>
                <w:rFonts w:ascii="Tahoma" w:eastAsia="Tahoma" w:hAnsi="Tahoma"/>
                <w:b/>
                <w:i/>
              </w:rPr>
              <w:t>Final Report</w:t>
            </w:r>
          </w:p>
        </w:tc>
      </w:tr>
      <w:tr w:rsidR="004B72CA" w:rsidRPr="00C97CFC" w:rsidTr="005D6E20">
        <w:trPr>
          <w:trHeight w:val="262"/>
        </w:trPr>
        <w:tc>
          <w:tcPr>
            <w:tcW w:w="18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c>
          <w:tcPr>
            <w:tcW w:w="13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c>
          <w:tcPr>
            <w:tcW w:w="1806"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r>
      <w:tr w:rsidR="004B72CA" w:rsidRPr="00C97CFC" w:rsidTr="005D6E20">
        <w:trPr>
          <w:trHeight w:val="262"/>
        </w:trPr>
        <w:tc>
          <w:tcPr>
            <w:tcW w:w="18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c>
          <w:tcPr>
            <w:tcW w:w="13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c>
          <w:tcPr>
            <w:tcW w:w="1806"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r>
      <w:tr w:rsidR="004B72CA" w:rsidRPr="00C97CFC" w:rsidTr="005D6E20">
        <w:trPr>
          <w:trHeight w:val="262"/>
        </w:trPr>
        <w:tc>
          <w:tcPr>
            <w:tcW w:w="18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c>
          <w:tcPr>
            <w:tcW w:w="13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r w:rsidRPr="00C97CFC">
              <w:rPr>
                <w:noProof/>
              </w:rPr>
              <w:drawing>
                <wp:anchor distT="0" distB="0" distL="114300" distR="114300" simplePos="0" relativeHeight="251659264" behindDoc="0" locked="0" layoutInCell="1" allowOverlap="1" wp14:anchorId="4A45D647" wp14:editId="743A320A">
                  <wp:simplePos x="0" y="0"/>
                  <wp:positionH relativeFrom="column">
                    <wp:posOffset>810260</wp:posOffset>
                  </wp:positionH>
                  <wp:positionV relativeFrom="paragraph">
                    <wp:posOffset>49530</wp:posOffset>
                  </wp:positionV>
                  <wp:extent cx="717550" cy="702945"/>
                  <wp:effectExtent l="0" t="0" r="0" b="0"/>
                  <wp:wrapSquare wrapText="bothSides"/>
                  <wp:docPr id="4" name="Picture 3" descr="C:\Users\aziolkovska\Desktop\cluster_nutrition_100px.png"/>
                  <wp:cNvGraphicFramePr/>
                  <a:graphic xmlns:a="http://schemas.openxmlformats.org/drawingml/2006/main">
                    <a:graphicData uri="http://schemas.openxmlformats.org/drawingml/2006/picture">
                      <pic:pic xmlns:pic="http://schemas.openxmlformats.org/drawingml/2006/picture">
                        <pic:nvPicPr>
                          <pic:cNvPr id="4" name="Picture 3" descr="C:\Users\aziolkovska\Desktop\cluster_nutrition_100px.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550" cy="702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6"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r>
      <w:tr w:rsidR="004B72CA" w:rsidRPr="00C97CFC" w:rsidTr="005D6E20">
        <w:trPr>
          <w:trHeight w:val="262"/>
        </w:trPr>
        <w:tc>
          <w:tcPr>
            <w:tcW w:w="18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c>
          <w:tcPr>
            <w:tcW w:w="13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c>
          <w:tcPr>
            <w:tcW w:w="1806"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r>
      <w:tr w:rsidR="004B72CA" w:rsidRPr="00C97CFC" w:rsidTr="005D6E20">
        <w:trPr>
          <w:trHeight w:val="262"/>
        </w:trPr>
        <w:tc>
          <w:tcPr>
            <w:tcW w:w="18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c>
          <w:tcPr>
            <w:tcW w:w="13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c>
          <w:tcPr>
            <w:tcW w:w="1806"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r>
      <w:tr w:rsidR="004B72CA" w:rsidRPr="00C97CFC" w:rsidTr="005D6E20">
        <w:trPr>
          <w:trHeight w:val="262"/>
        </w:trPr>
        <w:tc>
          <w:tcPr>
            <w:tcW w:w="18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c>
          <w:tcPr>
            <w:tcW w:w="13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c>
          <w:tcPr>
            <w:tcW w:w="1806"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r>
      <w:tr w:rsidR="004B72CA" w:rsidRPr="00C97CFC" w:rsidTr="005D6E20">
        <w:trPr>
          <w:trHeight w:val="262"/>
        </w:trPr>
        <w:tc>
          <w:tcPr>
            <w:tcW w:w="18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jc w:val="right"/>
            </w:pPr>
            <w:r w:rsidRPr="00C97CFC">
              <w:rPr>
                <w:rFonts w:ascii="Tahoma" w:eastAsia="Tahoma" w:hAnsi="Tahoma"/>
                <w:b/>
              </w:rPr>
              <w:t>Cluster:</w:t>
            </w:r>
          </w:p>
        </w:tc>
        <w:tc>
          <w:tcPr>
            <w:tcW w:w="13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r w:rsidRPr="00C97CFC">
              <w:rPr>
                <w:rFonts w:ascii="Arial" w:eastAsia="Arial" w:hAnsi="Arial"/>
                <w:b/>
              </w:rPr>
              <w:t>Nutrition</w:t>
            </w:r>
          </w:p>
        </w:tc>
        <w:tc>
          <w:tcPr>
            <w:tcW w:w="1806"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r>
      <w:tr w:rsidR="004B72CA" w:rsidRPr="00C97CFC" w:rsidTr="005D6E20">
        <w:trPr>
          <w:trHeight w:val="262"/>
        </w:trPr>
        <w:tc>
          <w:tcPr>
            <w:tcW w:w="18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jc w:val="right"/>
            </w:pPr>
            <w:r w:rsidRPr="00C97CFC">
              <w:rPr>
                <w:rFonts w:ascii="Tahoma" w:eastAsia="Tahoma" w:hAnsi="Tahoma"/>
                <w:b/>
              </w:rPr>
              <w:t>Country:</w:t>
            </w:r>
          </w:p>
        </w:tc>
        <w:tc>
          <w:tcPr>
            <w:tcW w:w="13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r>
              <w:rPr>
                <w:rFonts w:ascii="Arial" w:eastAsia="Arial" w:hAnsi="Arial"/>
                <w:b/>
              </w:rPr>
              <w:t>Philippines</w:t>
            </w:r>
          </w:p>
        </w:tc>
        <w:tc>
          <w:tcPr>
            <w:tcW w:w="1806"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r>
      <w:tr w:rsidR="004B72CA" w:rsidRPr="00C97CFC" w:rsidTr="005D6E20">
        <w:trPr>
          <w:trHeight w:val="262"/>
        </w:trPr>
        <w:tc>
          <w:tcPr>
            <w:tcW w:w="18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jc w:val="right"/>
            </w:pPr>
            <w:r w:rsidRPr="00C97CFC">
              <w:rPr>
                <w:rFonts w:ascii="Tahoma" w:eastAsia="Tahoma" w:hAnsi="Tahoma"/>
                <w:b/>
              </w:rPr>
              <w:t>Level:</w:t>
            </w:r>
          </w:p>
        </w:tc>
        <w:tc>
          <w:tcPr>
            <w:tcW w:w="13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r w:rsidRPr="00C97CFC">
              <w:rPr>
                <w:rFonts w:ascii="Arial" w:eastAsia="Arial" w:hAnsi="Arial"/>
                <w:b/>
              </w:rPr>
              <w:t>National</w:t>
            </w:r>
          </w:p>
        </w:tc>
        <w:tc>
          <w:tcPr>
            <w:tcW w:w="1806"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r>
      <w:tr w:rsidR="004B72CA" w:rsidRPr="00C97CFC" w:rsidTr="005D6E20">
        <w:trPr>
          <w:trHeight w:val="262"/>
        </w:trPr>
        <w:tc>
          <w:tcPr>
            <w:tcW w:w="18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jc w:val="right"/>
            </w:pPr>
            <w:r w:rsidRPr="00C97CFC">
              <w:rPr>
                <w:rFonts w:ascii="Tahoma" w:eastAsia="Tahoma" w:hAnsi="Tahoma"/>
                <w:b/>
              </w:rPr>
              <w:t>Survey completed on:</w:t>
            </w:r>
          </w:p>
        </w:tc>
        <w:tc>
          <w:tcPr>
            <w:tcW w:w="1347" w:type="pct"/>
            <w:tcBorders>
              <w:top w:val="nil"/>
              <w:left w:val="nil"/>
              <w:bottom w:val="nil"/>
              <w:right w:val="nil"/>
            </w:tcBorders>
            <w:tcMar>
              <w:top w:w="39" w:type="dxa"/>
              <w:left w:w="39" w:type="dxa"/>
              <w:bottom w:w="39" w:type="dxa"/>
              <w:right w:w="39" w:type="dxa"/>
            </w:tcMar>
          </w:tcPr>
          <w:p w:rsidR="004B72CA" w:rsidRPr="00C97CFC" w:rsidRDefault="004B72CA" w:rsidP="004B72CA">
            <w:pPr>
              <w:spacing w:after="0"/>
            </w:pPr>
            <w:r w:rsidRPr="00C97CFC">
              <w:rPr>
                <w:rFonts w:ascii="Arial" w:eastAsia="Arial" w:hAnsi="Arial"/>
                <w:b/>
              </w:rPr>
              <w:t>24/</w:t>
            </w:r>
            <w:r>
              <w:rPr>
                <w:rFonts w:ascii="Arial" w:eastAsia="Arial" w:hAnsi="Arial"/>
                <w:b/>
              </w:rPr>
              <w:t>06</w:t>
            </w:r>
            <w:r w:rsidRPr="00C97CFC">
              <w:rPr>
                <w:rFonts w:ascii="Arial" w:eastAsia="Arial" w:hAnsi="Arial"/>
                <w:b/>
              </w:rPr>
              <w:t>/2014</w:t>
            </w:r>
          </w:p>
        </w:tc>
        <w:tc>
          <w:tcPr>
            <w:tcW w:w="1806"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r>
      <w:tr w:rsidR="004B72CA" w:rsidRPr="00C97CFC" w:rsidTr="005D6E20">
        <w:trPr>
          <w:trHeight w:val="262"/>
        </w:trPr>
        <w:tc>
          <w:tcPr>
            <w:tcW w:w="18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jc w:val="right"/>
              <w:rPr>
                <w:rFonts w:ascii="Tahoma" w:eastAsia="Tahoma" w:hAnsi="Tahoma"/>
                <w:b/>
              </w:rPr>
            </w:pPr>
            <w:r w:rsidRPr="00C97CFC">
              <w:rPr>
                <w:rFonts w:ascii="Tahoma" w:eastAsia="Tahoma" w:hAnsi="Tahoma"/>
                <w:b/>
              </w:rPr>
              <w:t>Discussion completed on:</w:t>
            </w:r>
          </w:p>
        </w:tc>
        <w:tc>
          <w:tcPr>
            <w:tcW w:w="1347" w:type="pct"/>
            <w:tcBorders>
              <w:top w:val="nil"/>
              <w:left w:val="nil"/>
              <w:bottom w:val="nil"/>
              <w:right w:val="nil"/>
            </w:tcBorders>
            <w:tcMar>
              <w:top w:w="39" w:type="dxa"/>
              <w:left w:w="39" w:type="dxa"/>
              <w:bottom w:w="39" w:type="dxa"/>
              <w:right w:w="39" w:type="dxa"/>
            </w:tcMar>
          </w:tcPr>
          <w:p w:rsidR="004B72CA" w:rsidRPr="00C97CFC" w:rsidRDefault="004B72CA" w:rsidP="004B72CA">
            <w:pPr>
              <w:spacing w:after="0"/>
              <w:rPr>
                <w:rFonts w:ascii="Tahoma" w:eastAsia="Tahoma" w:hAnsi="Tahoma"/>
                <w:b/>
              </w:rPr>
            </w:pPr>
            <w:r w:rsidRPr="00C97CFC">
              <w:rPr>
                <w:rFonts w:ascii="Arial" w:eastAsia="Arial" w:hAnsi="Arial"/>
                <w:b/>
              </w:rPr>
              <w:t>0</w:t>
            </w:r>
            <w:r>
              <w:rPr>
                <w:rFonts w:ascii="Arial" w:eastAsia="Arial" w:hAnsi="Arial"/>
                <w:b/>
              </w:rPr>
              <w:t>5</w:t>
            </w:r>
            <w:r w:rsidRPr="00C97CFC">
              <w:rPr>
                <w:rFonts w:ascii="Arial" w:eastAsia="Arial" w:hAnsi="Arial"/>
                <w:b/>
              </w:rPr>
              <w:t>/</w:t>
            </w:r>
            <w:r>
              <w:rPr>
                <w:rFonts w:ascii="Arial" w:eastAsia="Arial" w:hAnsi="Arial"/>
                <w:b/>
              </w:rPr>
              <w:t>07</w:t>
            </w:r>
            <w:r w:rsidRPr="00C97CFC">
              <w:rPr>
                <w:rFonts w:ascii="Arial" w:eastAsia="Arial" w:hAnsi="Arial"/>
                <w:b/>
              </w:rPr>
              <w:t>/2014</w:t>
            </w:r>
          </w:p>
        </w:tc>
        <w:tc>
          <w:tcPr>
            <w:tcW w:w="1806"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r>
      <w:tr w:rsidR="004B72CA" w:rsidRPr="00C97CFC" w:rsidTr="005D6E20">
        <w:trPr>
          <w:trHeight w:val="262"/>
        </w:trPr>
        <w:tc>
          <w:tcPr>
            <w:tcW w:w="18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c>
          <w:tcPr>
            <w:tcW w:w="13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c>
          <w:tcPr>
            <w:tcW w:w="1806"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r>
      <w:tr w:rsidR="004B72CA" w:rsidRPr="00C97CFC" w:rsidTr="005D6E20">
        <w:trPr>
          <w:trHeight w:val="262"/>
        </w:trPr>
        <w:tc>
          <w:tcPr>
            <w:tcW w:w="18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c>
          <w:tcPr>
            <w:tcW w:w="1347"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c>
          <w:tcPr>
            <w:tcW w:w="1806" w:type="pct"/>
            <w:tcBorders>
              <w:top w:val="nil"/>
              <w:left w:val="nil"/>
              <w:bottom w:val="nil"/>
              <w:right w:val="nil"/>
            </w:tcBorders>
            <w:tcMar>
              <w:top w:w="39" w:type="dxa"/>
              <w:left w:w="39" w:type="dxa"/>
              <w:bottom w:w="39" w:type="dxa"/>
              <w:right w:w="39" w:type="dxa"/>
            </w:tcMar>
          </w:tcPr>
          <w:p w:rsidR="004B72CA" w:rsidRPr="00C97CFC" w:rsidRDefault="004B72CA" w:rsidP="005D6E20">
            <w:pPr>
              <w:spacing w:after="0"/>
            </w:pPr>
          </w:p>
        </w:tc>
      </w:tr>
    </w:tbl>
    <w:p w:rsidR="004B72CA" w:rsidRPr="00C97CFC" w:rsidRDefault="004B72CA" w:rsidP="004B72CA"/>
    <w:p w:rsidR="004B72CA" w:rsidRDefault="004B72CA">
      <w:pPr>
        <w:spacing w:after="200" w:line="276" w:lineRule="auto"/>
      </w:pPr>
    </w:p>
    <w:p w:rsidR="004B72CA" w:rsidRDefault="004B72CA">
      <w:pPr>
        <w:spacing w:after="200" w:line="276" w:lineRule="auto"/>
      </w:pPr>
      <w:r>
        <w:br w:type="page"/>
      </w:r>
    </w:p>
    <w:tbl>
      <w:tblPr>
        <w:tblW w:w="15353" w:type="dxa"/>
        <w:tblInd w:w="-189" w:type="dxa"/>
        <w:tblBorders>
          <w:top w:val="nil"/>
          <w:left w:val="nil"/>
          <w:bottom w:val="nil"/>
          <w:right w:val="nil"/>
        </w:tblBorders>
        <w:tblCellMar>
          <w:left w:w="0" w:type="dxa"/>
          <w:right w:w="0" w:type="dxa"/>
        </w:tblCellMar>
        <w:tblLook w:val="04A0" w:firstRow="1" w:lastRow="0" w:firstColumn="1" w:lastColumn="0" w:noHBand="0" w:noVBand="1"/>
      </w:tblPr>
      <w:tblGrid>
        <w:gridCol w:w="2694"/>
        <w:gridCol w:w="3223"/>
        <w:gridCol w:w="1461"/>
        <w:gridCol w:w="3611"/>
        <w:gridCol w:w="4364"/>
      </w:tblGrid>
      <w:tr w:rsidR="004B72CA" w:rsidRPr="00D0767D" w:rsidTr="004B72CA">
        <w:trPr>
          <w:trHeight w:val="262"/>
          <w:tblHeader/>
        </w:trPr>
        <w:tc>
          <w:tcPr>
            <w:tcW w:w="0" w:type="auto"/>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4B72CA" w:rsidRPr="00D0767D" w:rsidRDefault="004B72CA" w:rsidP="004B72CA">
            <w:pPr>
              <w:spacing w:after="0" w:line="240" w:lineRule="auto"/>
              <w:rPr>
                <w:rFonts w:asciiTheme="minorHAnsi" w:hAnsiTheme="minorHAnsi"/>
                <w:sz w:val="16"/>
                <w:szCs w:val="16"/>
              </w:rPr>
            </w:pPr>
            <w:r w:rsidRPr="00D0767D">
              <w:rPr>
                <w:rFonts w:asciiTheme="minorHAnsi" w:eastAsia="Tahoma" w:hAnsiTheme="minorHAnsi"/>
                <w:b/>
                <w:color w:val="FFFFFF"/>
                <w:sz w:val="16"/>
                <w:szCs w:val="16"/>
              </w:rPr>
              <w:lastRenderedPageBreak/>
              <w:t>IASC core functions</w:t>
            </w:r>
          </w:p>
        </w:tc>
        <w:tc>
          <w:tcPr>
            <w:tcW w:w="0" w:type="auto"/>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b/>
                <w:color w:val="FFFFFF"/>
                <w:sz w:val="16"/>
                <w:szCs w:val="16"/>
              </w:rPr>
              <w:t>Indicative characteristics of functions</w:t>
            </w:r>
          </w:p>
        </w:tc>
        <w:tc>
          <w:tcPr>
            <w:tcW w:w="0" w:type="auto"/>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b/>
                <w:color w:val="FFFFFF"/>
                <w:sz w:val="16"/>
                <w:szCs w:val="16"/>
              </w:rPr>
              <w:t>Performance status</w:t>
            </w:r>
          </w:p>
        </w:tc>
        <w:tc>
          <w:tcPr>
            <w:tcW w:w="0" w:type="auto"/>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b/>
                <w:color w:val="FFFFFF"/>
                <w:sz w:val="16"/>
                <w:szCs w:val="16"/>
              </w:rPr>
              <w:t>Performance status</w:t>
            </w:r>
          </w:p>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b/>
                <w:color w:val="FFFFFF"/>
                <w:sz w:val="16"/>
                <w:szCs w:val="16"/>
              </w:rPr>
              <w:t>Constraints: unexpected  circumstances and/or success factors and/or good practice identified</w:t>
            </w:r>
          </w:p>
        </w:tc>
        <w:tc>
          <w:tcPr>
            <w:tcW w:w="0" w:type="auto"/>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b/>
                <w:color w:val="FFFFFF"/>
                <w:sz w:val="16"/>
                <w:szCs w:val="16"/>
              </w:rPr>
              <w:t>Follow-up action, with timeline,</w:t>
            </w:r>
            <w:r w:rsidRPr="00D0767D">
              <w:rPr>
                <w:rFonts w:asciiTheme="minorHAnsi" w:eastAsia="Tahoma" w:hAnsiTheme="minorHAnsi"/>
                <w:color w:val="FFFFFF"/>
                <w:sz w:val="16"/>
                <w:szCs w:val="16"/>
              </w:rPr>
              <w:t> </w:t>
            </w:r>
            <w:r w:rsidRPr="00D0767D">
              <w:rPr>
                <w:rFonts w:asciiTheme="minorHAnsi" w:eastAsia="Tahoma" w:hAnsiTheme="minorHAnsi"/>
                <w:b/>
                <w:color w:val="FFFFFF"/>
                <w:sz w:val="16"/>
                <w:szCs w:val="16"/>
              </w:rPr>
              <w:t>(when status is orange or red) and/or  support required</w:t>
            </w:r>
          </w:p>
        </w:tc>
      </w:tr>
      <w:tr w:rsidR="004B72CA" w:rsidRPr="00D0767D" w:rsidTr="004B72CA">
        <w:trPr>
          <w:trHeight w:val="262"/>
        </w:trPr>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b/>
                <w:color w:val="000000"/>
                <w:sz w:val="16"/>
                <w:szCs w:val="16"/>
              </w:rPr>
              <w:t xml:space="preserve">Performance status </w:t>
            </w:r>
            <w:r w:rsidR="006D12D6" w:rsidRPr="00D0767D">
              <w:rPr>
                <w:rFonts w:asciiTheme="minorHAnsi" w:eastAsia="Tahoma" w:hAnsiTheme="minorHAnsi"/>
                <w:b/>
                <w:color w:val="000000"/>
                <w:sz w:val="16"/>
                <w:szCs w:val="16"/>
              </w:rPr>
              <w:t>legend</w:t>
            </w:r>
            <w:r w:rsidRPr="00D0767D">
              <w:rPr>
                <w:rFonts w:asciiTheme="minorHAnsi" w:eastAsia="Tahoma" w:hAnsiTheme="minorHAnsi"/>
                <w:b/>
                <w:color w:val="000000"/>
                <w:sz w:val="16"/>
                <w:szCs w:val="16"/>
              </w:rPr>
              <w:t>:</w:t>
            </w:r>
          </w:p>
        </w:tc>
        <w:tc>
          <w:tcPr>
            <w:tcW w:w="0" w:type="auto"/>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color w:val="000000"/>
                <w:sz w:val="16"/>
                <w:szCs w:val="16"/>
              </w:rPr>
              <w:t xml:space="preserve">Green = </w:t>
            </w:r>
            <w:r w:rsidRPr="00D0767D">
              <w:rPr>
                <w:rFonts w:asciiTheme="minorHAnsi" w:eastAsia="Tahoma" w:hAnsiTheme="minorHAnsi"/>
                <w:b/>
                <w:color w:val="000000"/>
                <w:sz w:val="16"/>
                <w:szCs w:val="16"/>
              </w:rPr>
              <w:t>Good</w:t>
            </w:r>
          </w:p>
        </w:tc>
        <w:tc>
          <w:tcPr>
            <w:tcW w:w="0" w:type="auto"/>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color w:val="000000"/>
                <w:sz w:val="16"/>
                <w:szCs w:val="16"/>
              </w:rPr>
              <w:t xml:space="preserve">Yellow = </w:t>
            </w:r>
            <w:r w:rsidRPr="00D0767D">
              <w:rPr>
                <w:rFonts w:asciiTheme="minorHAnsi" w:eastAsia="Tahoma" w:hAnsiTheme="minorHAnsi"/>
                <w:b/>
                <w:color w:val="000000"/>
                <w:sz w:val="16"/>
                <w:szCs w:val="16"/>
              </w:rPr>
              <w:t>Satisfactory</w:t>
            </w:r>
            <w:r w:rsidRPr="00D0767D">
              <w:rPr>
                <w:rFonts w:asciiTheme="minorHAnsi" w:eastAsia="Tahoma" w:hAnsiTheme="minorHAnsi"/>
                <w:color w:val="000000"/>
                <w:sz w:val="16"/>
                <w:szCs w:val="16"/>
              </w:rPr>
              <w:t>, needs minor improvements</w:t>
            </w:r>
          </w:p>
        </w:tc>
        <w:tc>
          <w:tcPr>
            <w:tcW w:w="0" w:type="auto"/>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color w:val="000000"/>
                <w:sz w:val="16"/>
                <w:szCs w:val="16"/>
              </w:rPr>
              <w:t xml:space="preserve">Orange = </w:t>
            </w:r>
            <w:r w:rsidRPr="00D0767D">
              <w:rPr>
                <w:rFonts w:asciiTheme="minorHAnsi" w:eastAsia="Tahoma" w:hAnsiTheme="minorHAnsi"/>
                <w:b/>
                <w:color w:val="000000"/>
                <w:sz w:val="16"/>
                <w:szCs w:val="16"/>
              </w:rPr>
              <w:t>Unsatisfactory</w:t>
            </w:r>
            <w:r w:rsidRPr="00D0767D">
              <w:rPr>
                <w:rFonts w:asciiTheme="minorHAnsi" w:eastAsia="Tahoma" w:hAnsiTheme="minorHAnsi"/>
                <w:color w:val="000000"/>
                <w:sz w:val="16"/>
                <w:szCs w:val="16"/>
              </w:rPr>
              <w:t>, needs major improvements</w:t>
            </w:r>
          </w:p>
        </w:tc>
        <w:tc>
          <w:tcPr>
            <w:tcW w:w="0" w:type="auto"/>
            <w:tcBorders>
              <w:top w:val="single" w:sz="7" w:space="0" w:color="D3D3D3"/>
              <w:left w:val="single" w:sz="7" w:space="0" w:color="D3D3D3"/>
              <w:bottom w:val="single" w:sz="7" w:space="0" w:color="D3D3D3"/>
              <w:right w:val="single" w:sz="7" w:space="0" w:color="D3D3D3"/>
            </w:tcBorders>
            <w:shd w:val="clear" w:color="auto" w:fill="FF0000"/>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color w:val="000000"/>
                <w:sz w:val="16"/>
                <w:szCs w:val="16"/>
              </w:rPr>
              <w:t xml:space="preserve">Red = </w:t>
            </w:r>
            <w:r w:rsidRPr="00D0767D">
              <w:rPr>
                <w:rFonts w:asciiTheme="minorHAnsi" w:eastAsia="Tahoma" w:hAnsiTheme="minorHAnsi"/>
                <w:b/>
                <w:color w:val="000000"/>
                <w:sz w:val="16"/>
                <w:szCs w:val="16"/>
              </w:rPr>
              <w:t>Weak</w:t>
            </w:r>
          </w:p>
        </w:tc>
      </w:tr>
      <w:tr w:rsidR="004B72CA" w:rsidRPr="00D0767D" w:rsidTr="004B72CA">
        <w:trPr>
          <w:trHeight w:val="262"/>
        </w:trPr>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b/>
                <w:color w:val="000000"/>
                <w:sz w:val="16"/>
                <w:szCs w:val="16"/>
              </w:rPr>
              <w:t>1.Supporting service delivery</w:t>
            </w:r>
          </w:p>
        </w:tc>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r>
      <w:tr w:rsidR="004B72CA" w:rsidRPr="00D0767D" w:rsidTr="004B72CA">
        <w:trPr>
          <w:trHeight w:val="323"/>
        </w:trPr>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ind w:left="720" w:hanging="360"/>
              <w:rPr>
                <w:rFonts w:asciiTheme="minorHAnsi" w:hAnsiTheme="minorHAnsi"/>
                <w:sz w:val="16"/>
                <w:szCs w:val="16"/>
              </w:rPr>
            </w:pPr>
            <w:r w:rsidRPr="00D0767D">
              <w:rPr>
                <w:rFonts w:asciiTheme="minorHAnsi" w:eastAsia="Tahoma" w:hAnsiTheme="minorHAnsi"/>
                <w:color w:val="000000"/>
                <w:sz w:val="16"/>
                <w:szCs w:val="16"/>
              </w:rPr>
              <w:t>1.1 Provide a platform to ensure that service delivery is driven by the agreed strategic priorities</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i/>
                <w:color w:val="000000"/>
                <w:sz w:val="16"/>
                <w:szCs w:val="16"/>
              </w:rPr>
              <w:t xml:space="preserve">Established, relevant coordination mechanism </w:t>
            </w:r>
            <w:proofErr w:type="spellStart"/>
            <w:r w:rsidRPr="00D0767D">
              <w:rPr>
                <w:rFonts w:asciiTheme="minorHAnsi" w:eastAsia="Tahoma" w:hAnsiTheme="minorHAnsi"/>
                <w:i/>
                <w:color w:val="000000"/>
                <w:sz w:val="16"/>
                <w:szCs w:val="16"/>
              </w:rPr>
              <w:t>recognising</w:t>
            </w:r>
            <w:proofErr w:type="spellEnd"/>
            <w:r w:rsidRPr="00D0767D">
              <w:rPr>
                <w:rFonts w:asciiTheme="minorHAnsi" w:eastAsia="Tahoma" w:hAnsiTheme="minorHAnsi"/>
                <w:i/>
                <w:color w:val="000000"/>
                <w:sz w:val="16"/>
                <w:szCs w:val="16"/>
              </w:rPr>
              <w:t xml:space="preserve"> national systems, subnational and co-lead aspects; stakeholders participating</w:t>
            </w:r>
          </w:p>
          <w:p w:rsidR="004B72CA" w:rsidRPr="00D0767D" w:rsidRDefault="004B72CA" w:rsidP="005D6E20">
            <w:pPr>
              <w:spacing w:after="0" w:line="240" w:lineRule="auto"/>
              <w:rPr>
                <w:rFonts w:asciiTheme="minorHAnsi" w:hAnsiTheme="minorHAnsi"/>
                <w:sz w:val="16"/>
                <w:szCs w:val="16"/>
              </w:rPr>
            </w:pPr>
            <w:proofErr w:type="gramStart"/>
            <w:r w:rsidRPr="00D0767D">
              <w:rPr>
                <w:rFonts w:asciiTheme="minorHAnsi" w:eastAsia="Tahoma" w:hAnsiTheme="minorHAnsi"/>
                <w:i/>
                <w:color w:val="000000"/>
                <w:sz w:val="16"/>
                <w:szCs w:val="16"/>
              </w:rPr>
              <w:t>regularly</w:t>
            </w:r>
            <w:proofErr w:type="gramEnd"/>
            <w:r w:rsidRPr="00D0767D">
              <w:rPr>
                <w:rFonts w:asciiTheme="minorHAnsi" w:eastAsia="Tahoma" w:hAnsiTheme="minorHAnsi"/>
                <w:i/>
                <w:color w:val="000000"/>
                <w:sz w:val="16"/>
                <w:szCs w:val="16"/>
              </w:rPr>
              <w:t xml:space="preserve"> and effectively; cluster coordinator active in inter-cluster and related meetings.</w:t>
            </w:r>
          </w:p>
        </w:tc>
        <w:tc>
          <w:tcPr>
            <w:tcW w:w="0" w:type="auto"/>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4B72CA" w:rsidRPr="00D0767D" w:rsidRDefault="004B72CA" w:rsidP="005D6E20">
            <w:pPr>
              <w:spacing w:after="0" w:line="240" w:lineRule="auto"/>
              <w:jc w:val="center"/>
              <w:rPr>
                <w:rFonts w:asciiTheme="minorHAnsi" w:hAnsiTheme="minorHAnsi"/>
                <w:sz w:val="16"/>
                <w:szCs w:val="16"/>
              </w:rPr>
            </w:pPr>
            <w:r w:rsidRPr="00D0767D">
              <w:rPr>
                <w:rFonts w:asciiTheme="minorHAnsi" w:eastAsia="Tahoma" w:hAnsiTheme="minorHAnsi"/>
                <w:color w:val="000000"/>
                <w:sz w:val="16"/>
                <w:szCs w:val="16"/>
              </w:rPr>
              <w:t>Good to Satisfactory</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Regular cluster meetings with schedules set in advance organized. The meetings are well attended especially by INGOs, notice of meetings sent on time</w:t>
            </w:r>
          </w:p>
          <w:p w:rsidR="004B72CA" w:rsidRPr="00D0767D" w:rsidRDefault="004B72CA" w:rsidP="005D6E20">
            <w:pPr>
              <w:spacing w:after="0" w:line="240" w:lineRule="auto"/>
              <w:rPr>
                <w:rFonts w:asciiTheme="minorHAnsi" w:hAnsiTheme="minorHAnsi"/>
                <w:sz w:val="16"/>
                <w:szCs w:val="16"/>
              </w:rPr>
            </w:pPr>
          </w:p>
          <w:p w:rsidR="004B72CA" w:rsidRPr="00D0767D"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Designation of IMOs, creation of yahoo group, uploading of documents including highlights of meetings to the website for info sharing is good.</w:t>
            </w:r>
          </w:p>
          <w:p w:rsidR="004B72CA" w:rsidRPr="00D0767D" w:rsidRDefault="004B72CA" w:rsidP="005D6E20">
            <w:pPr>
              <w:spacing w:after="0" w:line="240" w:lineRule="auto"/>
              <w:rPr>
                <w:rFonts w:asciiTheme="minorHAnsi" w:hAnsiTheme="minorHAnsi"/>
                <w:sz w:val="16"/>
                <w:szCs w:val="16"/>
              </w:rPr>
            </w:pPr>
          </w:p>
          <w:p w:rsidR="004B72CA" w:rsidRPr="00D04E38" w:rsidRDefault="004B72CA" w:rsidP="005D6E20">
            <w:pPr>
              <w:spacing w:after="0" w:line="240" w:lineRule="auto"/>
              <w:rPr>
                <w:rFonts w:asciiTheme="minorHAnsi" w:hAnsiTheme="minorHAnsi"/>
                <w:sz w:val="16"/>
                <w:szCs w:val="16"/>
              </w:rPr>
            </w:pPr>
            <w:r w:rsidRPr="00D04E38">
              <w:rPr>
                <w:rFonts w:asciiTheme="minorHAnsi" w:hAnsiTheme="minorHAnsi"/>
                <w:sz w:val="16"/>
                <w:szCs w:val="16"/>
              </w:rPr>
              <w:t xml:space="preserve">Constraints/issues: </w:t>
            </w:r>
          </w:p>
          <w:p w:rsidR="004B72CA" w:rsidRPr="00D0767D"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Poor attendance in cluster meetings of some partners especially from government</w:t>
            </w:r>
          </w:p>
          <w:p w:rsidR="004B72CA" w:rsidRPr="00D0767D" w:rsidRDefault="004B72CA" w:rsidP="005D6E20">
            <w:pPr>
              <w:spacing w:after="0" w:line="240" w:lineRule="auto"/>
              <w:rPr>
                <w:rFonts w:asciiTheme="minorHAnsi" w:hAnsiTheme="minorHAnsi"/>
                <w:sz w:val="16"/>
                <w:szCs w:val="16"/>
              </w:rPr>
            </w:pPr>
          </w:p>
          <w:p w:rsidR="004B72CA" w:rsidRPr="00D0767D"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Rationalization plan which affected government agencies sending representatives to the meetings</w:t>
            </w:r>
          </w:p>
          <w:p w:rsidR="004B72CA" w:rsidRPr="00D0767D" w:rsidRDefault="004B72CA" w:rsidP="005D6E20">
            <w:pPr>
              <w:spacing w:after="0" w:line="240" w:lineRule="auto"/>
              <w:rPr>
                <w:rFonts w:asciiTheme="minorHAnsi" w:hAnsiTheme="minorHAnsi"/>
                <w:sz w:val="16"/>
                <w:szCs w:val="16"/>
              </w:rPr>
            </w:pPr>
          </w:p>
          <w:p w:rsidR="004B72CA" w:rsidRPr="00D0767D"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Fast turnover of expats.</w:t>
            </w:r>
          </w:p>
          <w:p w:rsidR="004B72CA" w:rsidRPr="00D0767D" w:rsidRDefault="004B72CA" w:rsidP="005D6E20">
            <w:pPr>
              <w:spacing w:after="0" w:line="240" w:lineRule="auto"/>
              <w:rPr>
                <w:rFonts w:asciiTheme="minorHAnsi" w:hAnsiTheme="minorHAnsi"/>
                <w:sz w:val="16"/>
                <w:szCs w:val="16"/>
              </w:rPr>
            </w:pPr>
          </w:p>
          <w:p w:rsidR="004B72CA" w:rsidRPr="00D0767D"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 xml:space="preserve">In terms of decision-making, some partners who attended cannot fully commit or share information pending clearance </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Cluster partners to furnish names of agency permanent focal points for the Nutrition Cluster and permanent alternate focal points to attend cluster meetings – by August 2014. If agenda calls for decisions, representative</w:t>
            </w:r>
            <w:r w:rsidR="006D12D6">
              <w:rPr>
                <w:rFonts w:asciiTheme="minorHAnsi" w:hAnsiTheme="minorHAnsi"/>
                <w:sz w:val="16"/>
                <w:szCs w:val="16"/>
              </w:rPr>
              <w:t xml:space="preserve"> of partner agencies</w:t>
            </w:r>
            <w:r w:rsidRPr="00D0767D">
              <w:rPr>
                <w:rFonts w:asciiTheme="minorHAnsi" w:hAnsiTheme="minorHAnsi"/>
                <w:sz w:val="16"/>
                <w:szCs w:val="16"/>
              </w:rPr>
              <w:t xml:space="preserve"> should be able consult within his/her organization prior to the meeting.</w:t>
            </w:r>
          </w:p>
          <w:p w:rsidR="004B72CA" w:rsidRPr="00D0767D" w:rsidRDefault="004B72CA" w:rsidP="005D6E20">
            <w:pPr>
              <w:spacing w:after="0" w:line="240" w:lineRule="auto"/>
              <w:rPr>
                <w:rFonts w:asciiTheme="minorHAnsi" w:hAnsiTheme="minorHAnsi"/>
                <w:sz w:val="16"/>
                <w:szCs w:val="16"/>
              </w:rPr>
            </w:pPr>
          </w:p>
          <w:p w:rsidR="004B72CA" w:rsidRPr="00D0767D"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 xml:space="preserve">NNC </w:t>
            </w:r>
            <w:r w:rsidR="006D12D6">
              <w:rPr>
                <w:rFonts w:asciiTheme="minorHAnsi" w:hAnsiTheme="minorHAnsi"/>
                <w:sz w:val="16"/>
                <w:szCs w:val="16"/>
              </w:rPr>
              <w:t xml:space="preserve">and UNICE </w:t>
            </w:r>
            <w:r w:rsidRPr="00D0767D">
              <w:rPr>
                <w:rFonts w:asciiTheme="minorHAnsi" w:hAnsiTheme="minorHAnsi"/>
                <w:sz w:val="16"/>
                <w:szCs w:val="16"/>
              </w:rPr>
              <w:t xml:space="preserve">to initiate dialogue with OCHA for better </w:t>
            </w:r>
            <w:r w:rsidR="006D12D6">
              <w:rPr>
                <w:rFonts w:asciiTheme="minorHAnsi" w:hAnsiTheme="minorHAnsi"/>
                <w:sz w:val="16"/>
                <w:szCs w:val="16"/>
              </w:rPr>
              <w:t>representation of the cluster</w:t>
            </w:r>
            <w:r w:rsidRPr="00D0767D">
              <w:rPr>
                <w:rFonts w:asciiTheme="minorHAnsi" w:hAnsiTheme="minorHAnsi"/>
                <w:sz w:val="16"/>
                <w:szCs w:val="16"/>
              </w:rPr>
              <w:t xml:space="preserve"> in HCT-ICC – July 2014.</w:t>
            </w:r>
          </w:p>
          <w:p w:rsidR="004B72CA" w:rsidRPr="00D0767D" w:rsidRDefault="004B72CA" w:rsidP="005D6E20">
            <w:pPr>
              <w:spacing w:after="0" w:line="240" w:lineRule="auto"/>
              <w:rPr>
                <w:rFonts w:asciiTheme="minorHAnsi" w:hAnsiTheme="minorHAnsi"/>
                <w:sz w:val="16"/>
                <w:szCs w:val="16"/>
              </w:rPr>
            </w:pPr>
          </w:p>
          <w:p w:rsidR="004B72CA" w:rsidRPr="00D0767D"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IMOs and NNC to look at the HEARS Report to ensure that efforts of cluster are captured (July 2014); NNC to regularly share updates with the cluster (onward).</w:t>
            </w:r>
          </w:p>
          <w:p w:rsidR="004B72CA" w:rsidRPr="00D0767D" w:rsidRDefault="004B72CA" w:rsidP="005D6E20">
            <w:pPr>
              <w:spacing w:after="0" w:line="240" w:lineRule="auto"/>
              <w:rPr>
                <w:rFonts w:asciiTheme="minorHAnsi" w:hAnsiTheme="minorHAnsi"/>
                <w:sz w:val="16"/>
                <w:szCs w:val="16"/>
              </w:rPr>
            </w:pPr>
          </w:p>
          <w:p w:rsidR="004B72CA" w:rsidRPr="00D0767D"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DOH-NNC to appoint a liaison officer for outreach work to the non-participating INGOs - ASAP.</w:t>
            </w:r>
          </w:p>
        </w:tc>
      </w:tr>
      <w:tr w:rsidR="004B72CA" w:rsidRPr="00D0767D" w:rsidTr="004B72CA">
        <w:trPr>
          <w:trHeight w:val="262"/>
        </w:trPr>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ind w:left="720" w:hanging="360"/>
              <w:rPr>
                <w:rFonts w:asciiTheme="minorHAnsi" w:hAnsiTheme="minorHAnsi"/>
                <w:sz w:val="16"/>
                <w:szCs w:val="16"/>
              </w:rPr>
            </w:pPr>
            <w:r w:rsidRPr="00D0767D">
              <w:rPr>
                <w:rFonts w:asciiTheme="minorHAnsi" w:eastAsia="Tahoma" w:hAnsiTheme="minorHAnsi"/>
                <w:color w:val="000000"/>
                <w:sz w:val="16"/>
                <w:szCs w:val="16"/>
              </w:rPr>
              <w:t>1.2 Develop mechanisms to eliminate duplication of service delivery</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i/>
                <w:color w:val="000000"/>
                <w:sz w:val="16"/>
                <w:szCs w:val="16"/>
              </w:rPr>
              <w:t>Cluster partner engagement in dynamic mapping of presence and capacity (4W); information sharing across clusters in line with joint Strategic Objectives.</w:t>
            </w:r>
          </w:p>
        </w:tc>
        <w:tc>
          <w:tcPr>
            <w:tcW w:w="0" w:type="auto"/>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4B72CA" w:rsidRPr="00D0767D" w:rsidRDefault="004B72CA" w:rsidP="005D6E20">
            <w:pPr>
              <w:spacing w:after="0" w:line="240" w:lineRule="auto"/>
              <w:jc w:val="center"/>
              <w:rPr>
                <w:rFonts w:asciiTheme="minorHAnsi" w:hAnsiTheme="minorHAnsi"/>
                <w:sz w:val="16"/>
                <w:szCs w:val="16"/>
              </w:rPr>
            </w:pPr>
            <w:r w:rsidRPr="00D0767D">
              <w:rPr>
                <w:rFonts w:asciiTheme="minorHAnsi" w:eastAsia="Tahoma" w:hAnsiTheme="minorHAnsi"/>
                <w:color w:val="000000"/>
                <w:sz w:val="16"/>
                <w:szCs w:val="16"/>
              </w:rPr>
              <w:t>Good</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Generally good however some gaps occur. Information is regularly shared within the cluster.</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 xml:space="preserve">NNC to establish baseline information of nutrition situation, </w:t>
            </w:r>
            <w:proofErr w:type="spellStart"/>
            <w:r w:rsidRPr="00D0767D">
              <w:rPr>
                <w:rFonts w:asciiTheme="minorHAnsi" w:hAnsiTheme="minorHAnsi"/>
                <w:sz w:val="16"/>
                <w:szCs w:val="16"/>
              </w:rPr>
              <w:t>programmes</w:t>
            </w:r>
            <w:proofErr w:type="spellEnd"/>
            <w:r w:rsidRPr="00D0767D">
              <w:rPr>
                <w:rFonts w:asciiTheme="minorHAnsi" w:hAnsiTheme="minorHAnsi"/>
                <w:sz w:val="16"/>
                <w:szCs w:val="16"/>
              </w:rPr>
              <w:t xml:space="preserve"> and capacities – by December 2014</w:t>
            </w:r>
          </w:p>
          <w:p w:rsidR="004B72CA" w:rsidRPr="00D0767D" w:rsidRDefault="004B72CA" w:rsidP="005D6E20">
            <w:pPr>
              <w:spacing w:after="0" w:line="240" w:lineRule="auto"/>
              <w:rPr>
                <w:rFonts w:asciiTheme="minorHAnsi" w:hAnsiTheme="minorHAnsi"/>
                <w:sz w:val="16"/>
                <w:szCs w:val="16"/>
              </w:rPr>
            </w:pPr>
          </w:p>
          <w:p w:rsidR="004B72CA"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 xml:space="preserve">NNC (with support from UNICEF and </w:t>
            </w:r>
            <w:proofErr w:type="spellStart"/>
            <w:r w:rsidRPr="00D0767D">
              <w:rPr>
                <w:rFonts w:asciiTheme="minorHAnsi" w:hAnsiTheme="minorHAnsi"/>
                <w:sz w:val="16"/>
                <w:szCs w:val="16"/>
              </w:rPr>
              <w:t>PhilCAN</w:t>
            </w:r>
            <w:proofErr w:type="spellEnd"/>
            <w:r w:rsidRPr="00D0767D">
              <w:rPr>
                <w:rFonts w:asciiTheme="minorHAnsi" w:hAnsiTheme="minorHAnsi"/>
                <w:sz w:val="16"/>
                <w:szCs w:val="16"/>
              </w:rPr>
              <w:t>) to produce maps to show geographic and programmatic coverage of services – by September 2014.</w:t>
            </w:r>
          </w:p>
          <w:p w:rsidR="004B72CA" w:rsidRDefault="004B72CA" w:rsidP="005D6E20">
            <w:pPr>
              <w:spacing w:after="0" w:line="240" w:lineRule="auto"/>
              <w:rPr>
                <w:rFonts w:asciiTheme="minorHAnsi" w:hAnsiTheme="minorHAnsi"/>
                <w:sz w:val="16"/>
                <w:szCs w:val="16"/>
              </w:rPr>
            </w:pPr>
          </w:p>
          <w:p w:rsidR="004B72CA" w:rsidRDefault="004B72CA" w:rsidP="005D6E20">
            <w:pPr>
              <w:spacing w:after="0" w:line="240" w:lineRule="auto"/>
              <w:rPr>
                <w:rFonts w:asciiTheme="minorHAnsi" w:hAnsiTheme="minorHAnsi"/>
                <w:sz w:val="16"/>
                <w:szCs w:val="16"/>
              </w:rPr>
            </w:pPr>
          </w:p>
          <w:p w:rsidR="004B72CA" w:rsidRDefault="004B72CA" w:rsidP="005D6E20">
            <w:pPr>
              <w:spacing w:after="0" w:line="240" w:lineRule="auto"/>
              <w:rPr>
                <w:rFonts w:asciiTheme="minorHAnsi" w:hAnsiTheme="minorHAnsi"/>
                <w:sz w:val="16"/>
                <w:szCs w:val="16"/>
              </w:rPr>
            </w:pPr>
          </w:p>
          <w:p w:rsidR="004B72CA" w:rsidRPr="00D0767D" w:rsidRDefault="004B72CA" w:rsidP="005D6E20">
            <w:pPr>
              <w:spacing w:after="0" w:line="240" w:lineRule="auto"/>
              <w:rPr>
                <w:rFonts w:asciiTheme="minorHAnsi" w:hAnsiTheme="minorHAnsi"/>
                <w:sz w:val="16"/>
                <w:szCs w:val="16"/>
              </w:rPr>
            </w:pPr>
          </w:p>
        </w:tc>
      </w:tr>
      <w:tr w:rsidR="004B72CA" w:rsidRPr="00D0767D" w:rsidTr="004B72CA">
        <w:trPr>
          <w:trHeight w:val="502"/>
        </w:trPr>
        <w:tc>
          <w:tcPr>
            <w:tcW w:w="0" w:type="auto"/>
            <w:gridSpan w:val="5"/>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b/>
                <w:color w:val="000000"/>
                <w:sz w:val="16"/>
                <w:szCs w:val="16"/>
              </w:rPr>
              <w:t>2. Informing strategic decision-making of the HC/HCT for the humanitarian response</w:t>
            </w:r>
          </w:p>
        </w:tc>
      </w:tr>
      <w:tr w:rsidR="004B72CA" w:rsidRPr="00D0767D" w:rsidTr="004B72CA">
        <w:trPr>
          <w:trHeight w:val="502"/>
        </w:trPr>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ind w:left="720" w:hanging="360"/>
              <w:rPr>
                <w:rFonts w:asciiTheme="minorHAnsi" w:hAnsiTheme="minorHAnsi"/>
                <w:sz w:val="16"/>
                <w:szCs w:val="16"/>
              </w:rPr>
            </w:pPr>
            <w:r w:rsidRPr="00D0767D">
              <w:rPr>
                <w:rFonts w:asciiTheme="minorHAnsi" w:eastAsia="Tahoma" w:hAnsiTheme="minorHAnsi"/>
                <w:color w:val="000000"/>
                <w:sz w:val="16"/>
                <w:szCs w:val="16"/>
              </w:rPr>
              <w:t>2.1 Needs assessment and gap analysis (across other sectors and within the sector)</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i/>
                <w:color w:val="000000"/>
                <w:sz w:val="16"/>
                <w:szCs w:val="16"/>
              </w:rPr>
              <w:t>Use of assessment tools in accordance with agreed minimum standards, individual assessment / survey results shared and/or carried out jointly as appropriate.</w:t>
            </w:r>
          </w:p>
        </w:tc>
        <w:tc>
          <w:tcPr>
            <w:tcW w:w="0" w:type="auto"/>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4B72CA" w:rsidRPr="00D0767D" w:rsidRDefault="004B72CA" w:rsidP="005D6E20">
            <w:pPr>
              <w:spacing w:after="0" w:line="240" w:lineRule="auto"/>
              <w:jc w:val="center"/>
              <w:rPr>
                <w:rFonts w:asciiTheme="minorHAnsi" w:hAnsiTheme="minorHAnsi"/>
                <w:sz w:val="16"/>
                <w:szCs w:val="16"/>
              </w:rPr>
            </w:pPr>
            <w:r w:rsidRPr="00D0767D">
              <w:rPr>
                <w:rFonts w:asciiTheme="minorHAnsi" w:eastAsia="Tahoma" w:hAnsiTheme="minorHAnsi"/>
                <w:color w:val="000000"/>
                <w:sz w:val="16"/>
                <w:szCs w:val="16"/>
              </w:rPr>
              <w:t>Satisfactory</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Parallel structures of HCT and government with inadequate coordination</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NNC and UNICEF to dialogue with Social Services Cluster under OPARR to strengthen HCT and NDRRMC coordination - in July 2014.</w:t>
            </w:r>
          </w:p>
        </w:tc>
      </w:tr>
      <w:tr w:rsidR="004B72CA" w:rsidRPr="00D0767D" w:rsidTr="004B72CA">
        <w:trPr>
          <w:trHeight w:val="502"/>
        </w:trPr>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ind w:left="720" w:hanging="360"/>
              <w:rPr>
                <w:rFonts w:asciiTheme="minorHAnsi" w:hAnsiTheme="minorHAnsi"/>
                <w:sz w:val="16"/>
                <w:szCs w:val="16"/>
              </w:rPr>
            </w:pPr>
            <w:r w:rsidRPr="00D0767D">
              <w:rPr>
                <w:rFonts w:asciiTheme="minorHAnsi" w:eastAsia="Tahoma" w:hAnsiTheme="minorHAnsi"/>
                <w:color w:val="000000"/>
                <w:sz w:val="16"/>
                <w:szCs w:val="16"/>
              </w:rPr>
              <w:lastRenderedPageBreak/>
              <w:t>2.2 Analysis to identify and address (emerging) gaps, obstacles, duplication, and cross-cutting issues.</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i/>
                <w:color w:val="000000"/>
                <w:sz w:val="16"/>
                <w:szCs w:val="16"/>
              </w:rPr>
              <w:t>Joint analysis for current and anticipated risks, needs, gaps and constraints; cross cutting issues addressed from outset.</w:t>
            </w:r>
          </w:p>
        </w:tc>
        <w:tc>
          <w:tcPr>
            <w:tcW w:w="0" w:type="auto"/>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4B72CA" w:rsidRPr="00D0767D" w:rsidRDefault="004B72CA" w:rsidP="005D6E20">
            <w:pPr>
              <w:spacing w:after="0" w:line="240" w:lineRule="auto"/>
              <w:jc w:val="center"/>
              <w:rPr>
                <w:rFonts w:asciiTheme="minorHAnsi" w:hAnsiTheme="minorHAnsi"/>
                <w:sz w:val="16"/>
                <w:szCs w:val="16"/>
              </w:rPr>
            </w:pPr>
            <w:r w:rsidRPr="00D0767D">
              <w:rPr>
                <w:rFonts w:asciiTheme="minorHAnsi" w:eastAsia="Tahoma" w:hAnsiTheme="minorHAnsi"/>
                <w:color w:val="000000"/>
                <w:sz w:val="16"/>
                <w:szCs w:val="16"/>
              </w:rPr>
              <w:t>Good</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r>
      <w:tr w:rsidR="004B72CA" w:rsidRPr="00D0767D" w:rsidTr="004B72CA">
        <w:trPr>
          <w:trHeight w:val="262"/>
        </w:trPr>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ind w:left="720" w:hanging="360"/>
              <w:rPr>
                <w:rFonts w:asciiTheme="minorHAnsi" w:hAnsiTheme="minorHAnsi"/>
                <w:sz w:val="16"/>
                <w:szCs w:val="16"/>
              </w:rPr>
            </w:pPr>
            <w:r w:rsidRPr="00D0767D">
              <w:rPr>
                <w:rFonts w:asciiTheme="minorHAnsi" w:eastAsia="Tahoma" w:hAnsiTheme="minorHAnsi"/>
                <w:color w:val="000000"/>
                <w:sz w:val="16"/>
                <w:szCs w:val="16"/>
              </w:rPr>
              <w:t>2.3 Prioritization, grounded in response analysis</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i/>
                <w:color w:val="000000"/>
                <w:sz w:val="16"/>
                <w:szCs w:val="16"/>
              </w:rPr>
              <w:t xml:space="preserve">Joint analysis supporting response planning and </w:t>
            </w:r>
            <w:proofErr w:type="spellStart"/>
            <w:r w:rsidRPr="00D0767D">
              <w:rPr>
                <w:rFonts w:asciiTheme="minorHAnsi" w:eastAsia="Tahoma" w:hAnsiTheme="minorHAnsi"/>
                <w:i/>
                <w:color w:val="000000"/>
                <w:sz w:val="16"/>
                <w:szCs w:val="16"/>
              </w:rPr>
              <w:t>prioritisation</w:t>
            </w:r>
            <w:proofErr w:type="spellEnd"/>
            <w:r w:rsidRPr="00D0767D">
              <w:rPr>
                <w:rFonts w:asciiTheme="minorHAnsi" w:eastAsia="Tahoma" w:hAnsiTheme="minorHAnsi"/>
                <w:i/>
                <w:color w:val="000000"/>
                <w:sz w:val="16"/>
                <w:szCs w:val="16"/>
              </w:rPr>
              <w:t xml:space="preserve"> in short and medium term</w:t>
            </w:r>
          </w:p>
        </w:tc>
        <w:tc>
          <w:tcPr>
            <w:tcW w:w="0" w:type="auto"/>
            <w:tcBorders>
              <w:top w:val="single" w:sz="7" w:space="0" w:color="D3D3D3"/>
              <w:left w:val="single" w:sz="7" w:space="0" w:color="D3D3D3"/>
              <w:bottom w:val="single" w:sz="7" w:space="0" w:color="D3D3D3"/>
              <w:right w:val="single" w:sz="7" w:space="0" w:color="D3D3D3"/>
            </w:tcBorders>
            <w:shd w:val="clear" w:color="auto" w:fill="FF0000"/>
            <w:tcMar>
              <w:top w:w="39" w:type="dxa"/>
              <w:left w:w="39" w:type="dxa"/>
              <w:bottom w:w="39" w:type="dxa"/>
              <w:right w:w="39" w:type="dxa"/>
            </w:tcMar>
          </w:tcPr>
          <w:p w:rsidR="004B72CA" w:rsidRPr="00D0767D" w:rsidRDefault="004B72CA" w:rsidP="005D6E20">
            <w:pPr>
              <w:spacing w:after="0" w:line="240" w:lineRule="auto"/>
              <w:jc w:val="center"/>
              <w:rPr>
                <w:rFonts w:asciiTheme="minorHAnsi" w:hAnsiTheme="minorHAnsi"/>
                <w:sz w:val="16"/>
                <w:szCs w:val="16"/>
              </w:rPr>
            </w:pPr>
            <w:r w:rsidRPr="00D0767D">
              <w:rPr>
                <w:rFonts w:asciiTheme="minorHAnsi" w:eastAsia="Tahoma" w:hAnsiTheme="minorHAnsi"/>
                <w:color w:val="000000"/>
                <w:sz w:val="16"/>
                <w:szCs w:val="16"/>
              </w:rPr>
              <w:t>Weak</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Basis of prioritization of municipalities for Yolanda response is not clear. Limited consultation with regions due to time constraints.</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jc w:val="both"/>
              <w:rPr>
                <w:rFonts w:asciiTheme="minorHAnsi" w:hAnsiTheme="minorHAnsi"/>
                <w:sz w:val="16"/>
                <w:szCs w:val="16"/>
              </w:rPr>
            </w:pPr>
            <w:r w:rsidRPr="00D0767D">
              <w:rPr>
                <w:rFonts w:asciiTheme="minorHAnsi" w:hAnsiTheme="minorHAnsi"/>
                <w:sz w:val="16"/>
                <w:szCs w:val="16"/>
              </w:rPr>
              <w:t>NNC (with support from UNICEF) to strengthen analysis of mapping of resources to check any duplication or gaps in programming and anticipate issues on resource programming.</w:t>
            </w:r>
          </w:p>
          <w:p w:rsidR="004B72CA" w:rsidRPr="00D0767D" w:rsidRDefault="004B72CA" w:rsidP="005D6E20">
            <w:pPr>
              <w:spacing w:after="0" w:line="240" w:lineRule="auto"/>
              <w:jc w:val="both"/>
              <w:rPr>
                <w:rFonts w:asciiTheme="minorHAnsi" w:hAnsiTheme="minorHAnsi"/>
                <w:sz w:val="16"/>
                <w:szCs w:val="16"/>
              </w:rPr>
            </w:pPr>
          </w:p>
          <w:p w:rsidR="004B72CA" w:rsidRPr="00D0767D" w:rsidRDefault="004B72CA" w:rsidP="005D6E20">
            <w:pPr>
              <w:spacing w:after="0" w:line="240" w:lineRule="auto"/>
              <w:jc w:val="both"/>
              <w:rPr>
                <w:rFonts w:asciiTheme="minorHAnsi" w:hAnsiTheme="minorHAnsi"/>
                <w:sz w:val="16"/>
                <w:szCs w:val="16"/>
              </w:rPr>
            </w:pPr>
            <w:r w:rsidRPr="00D0767D">
              <w:rPr>
                <w:rFonts w:asciiTheme="minorHAnsi" w:hAnsiTheme="minorHAnsi"/>
                <w:sz w:val="16"/>
                <w:szCs w:val="16"/>
              </w:rPr>
              <w:t>NNC</w:t>
            </w:r>
            <w:r w:rsidR="006D12D6">
              <w:rPr>
                <w:rFonts w:asciiTheme="minorHAnsi" w:hAnsiTheme="minorHAnsi"/>
                <w:sz w:val="16"/>
                <w:szCs w:val="16"/>
              </w:rPr>
              <w:t xml:space="preserve"> toge</w:t>
            </w:r>
            <w:bookmarkStart w:id="0" w:name="_GoBack"/>
            <w:bookmarkEnd w:id="0"/>
            <w:r w:rsidR="006D12D6">
              <w:rPr>
                <w:rFonts w:asciiTheme="minorHAnsi" w:hAnsiTheme="minorHAnsi"/>
                <w:sz w:val="16"/>
                <w:szCs w:val="16"/>
              </w:rPr>
              <w:t>ther with cluster partners</w:t>
            </w:r>
            <w:r w:rsidRPr="00D0767D">
              <w:rPr>
                <w:rFonts w:asciiTheme="minorHAnsi" w:hAnsiTheme="minorHAnsi"/>
                <w:sz w:val="16"/>
                <w:szCs w:val="16"/>
              </w:rPr>
              <w:t xml:space="preserve"> to develop composite indicators </w:t>
            </w:r>
            <w:r w:rsidRPr="00D0767D">
              <w:rPr>
                <w:rFonts w:asciiTheme="minorHAnsi" w:hAnsiTheme="minorHAnsi"/>
                <w:sz w:val="16"/>
                <w:szCs w:val="16"/>
                <w:lang w:val="en-PH"/>
              </w:rPr>
              <w:t xml:space="preserve">to guide vulnerability analysis and </w:t>
            </w:r>
            <w:r w:rsidRPr="00D0767D">
              <w:rPr>
                <w:rFonts w:asciiTheme="minorHAnsi" w:hAnsiTheme="minorHAnsi"/>
                <w:sz w:val="16"/>
                <w:szCs w:val="16"/>
              </w:rPr>
              <w:t>prioritizing areas for interventions in a major event (including IPC classification) by September 2014.</w:t>
            </w:r>
          </w:p>
          <w:p w:rsidR="004B72CA" w:rsidRPr="00D0767D" w:rsidRDefault="004B72CA" w:rsidP="005D6E20">
            <w:pPr>
              <w:spacing w:after="0" w:line="240" w:lineRule="auto"/>
              <w:jc w:val="both"/>
              <w:rPr>
                <w:rFonts w:asciiTheme="minorHAnsi" w:hAnsiTheme="minorHAnsi"/>
                <w:sz w:val="16"/>
                <w:szCs w:val="16"/>
              </w:rPr>
            </w:pPr>
          </w:p>
          <w:p w:rsidR="004B72CA" w:rsidRPr="00D0767D" w:rsidRDefault="004B72CA" w:rsidP="005D6E20">
            <w:pPr>
              <w:spacing w:after="0" w:line="240" w:lineRule="auto"/>
              <w:jc w:val="both"/>
              <w:rPr>
                <w:rFonts w:asciiTheme="minorHAnsi" w:hAnsiTheme="minorHAnsi"/>
                <w:sz w:val="16"/>
                <w:szCs w:val="16"/>
              </w:rPr>
            </w:pPr>
            <w:r w:rsidRPr="00D0767D">
              <w:rPr>
                <w:rFonts w:asciiTheme="minorHAnsi" w:hAnsiTheme="minorHAnsi"/>
                <w:sz w:val="16"/>
                <w:szCs w:val="16"/>
              </w:rPr>
              <w:t xml:space="preserve">All partners to agree on indicators for </w:t>
            </w:r>
            <w:proofErr w:type="spellStart"/>
            <w:r w:rsidRPr="00D0767D">
              <w:rPr>
                <w:rFonts w:asciiTheme="minorHAnsi" w:hAnsiTheme="minorHAnsi"/>
                <w:sz w:val="16"/>
                <w:szCs w:val="16"/>
              </w:rPr>
              <w:t>prioritisation</w:t>
            </w:r>
            <w:proofErr w:type="spellEnd"/>
            <w:r w:rsidRPr="00D0767D">
              <w:rPr>
                <w:rFonts w:asciiTheme="minorHAnsi" w:hAnsiTheme="minorHAnsi"/>
                <w:sz w:val="16"/>
                <w:szCs w:val="16"/>
              </w:rPr>
              <w:t xml:space="preserve"> – September 2014.</w:t>
            </w:r>
          </w:p>
          <w:p w:rsidR="004B72CA" w:rsidRPr="00D0767D" w:rsidRDefault="004B72CA" w:rsidP="005D6E20">
            <w:pPr>
              <w:spacing w:after="0" w:line="240" w:lineRule="auto"/>
              <w:jc w:val="both"/>
              <w:rPr>
                <w:rFonts w:asciiTheme="minorHAnsi" w:hAnsiTheme="minorHAnsi"/>
                <w:sz w:val="16"/>
                <w:szCs w:val="16"/>
              </w:rPr>
            </w:pPr>
          </w:p>
          <w:p w:rsidR="004B72CA" w:rsidRPr="00D0767D" w:rsidRDefault="004B72CA" w:rsidP="005D6E20">
            <w:pPr>
              <w:jc w:val="both"/>
              <w:rPr>
                <w:rFonts w:asciiTheme="minorHAnsi" w:hAnsiTheme="minorHAnsi"/>
                <w:sz w:val="16"/>
                <w:szCs w:val="16"/>
              </w:rPr>
            </w:pPr>
            <w:r w:rsidRPr="00D0767D">
              <w:rPr>
                <w:rFonts w:asciiTheme="minorHAnsi" w:hAnsiTheme="minorHAnsi"/>
                <w:sz w:val="16"/>
                <w:szCs w:val="16"/>
              </w:rPr>
              <w:t xml:space="preserve">CMAM WG to develop exit strategies for CMAM </w:t>
            </w:r>
            <w:proofErr w:type="spellStart"/>
            <w:r w:rsidRPr="00D0767D">
              <w:rPr>
                <w:rFonts w:asciiTheme="minorHAnsi" w:hAnsiTheme="minorHAnsi"/>
                <w:sz w:val="16"/>
                <w:szCs w:val="16"/>
              </w:rPr>
              <w:t>programmes</w:t>
            </w:r>
            <w:proofErr w:type="spellEnd"/>
            <w:r w:rsidRPr="00D0767D">
              <w:rPr>
                <w:rFonts w:asciiTheme="minorHAnsi" w:hAnsiTheme="minorHAnsi"/>
                <w:sz w:val="16"/>
                <w:szCs w:val="16"/>
              </w:rPr>
              <w:t xml:space="preserve"> to prevent commodity gaps – by August 2014.</w:t>
            </w:r>
          </w:p>
          <w:p w:rsidR="004B72CA" w:rsidRPr="00D0767D" w:rsidRDefault="004B72CA" w:rsidP="005D6E20">
            <w:pPr>
              <w:jc w:val="both"/>
              <w:rPr>
                <w:rFonts w:asciiTheme="minorHAnsi" w:hAnsiTheme="minorHAnsi"/>
                <w:sz w:val="16"/>
                <w:szCs w:val="16"/>
              </w:rPr>
            </w:pPr>
            <w:r w:rsidRPr="00D0767D">
              <w:rPr>
                <w:rFonts w:asciiTheme="minorHAnsi" w:hAnsiTheme="minorHAnsi"/>
                <w:sz w:val="16"/>
                <w:szCs w:val="16"/>
              </w:rPr>
              <w:t xml:space="preserve">IYCF WG to develop exit strategies for IYCF-E </w:t>
            </w:r>
            <w:proofErr w:type="spellStart"/>
            <w:r w:rsidRPr="00D0767D">
              <w:rPr>
                <w:rFonts w:asciiTheme="minorHAnsi" w:hAnsiTheme="minorHAnsi"/>
                <w:sz w:val="16"/>
                <w:szCs w:val="16"/>
              </w:rPr>
              <w:t>programmes</w:t>
            </w:r>
            <w:proofErr w:type="spellEnd"/>
            <w:r w:rsidRPr="00D0767D">
              <w:rPr>
                <w:rFonts w:asciiTheme="minorHAnsi" w:hAnsiTheme="minorHAnsi"/>
                <w:sz w:val="16"/>
                <w:szCs w:val="16"/>
              </w:rPr>
              <w:t xml:space="preserve"> – by August 2014.</w:t>
            </w:r>
          </w:p>
        </w:tc>
      </w:tr>
      <w:tr w:rsidR="004B72CA" w:rsidRPr="00D0767D" w:rsidTr="004B72CA">
        <w:trPr>
          <w:trHeight w:val="262"/>
        </w:trPr>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b/>
                <w:color w:val="000000"/>
                <w:sz w:val="16"/>
                <w:szCs w:val="16"/>
              </w:rPr>
              <w:t>3. Planning and strategy development</w:t>
            </w:r>
          </w:p>
        </w:tc>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r>
      <w:tr w:rsidR="004B72CA" w:rsidRPr="00D0767D" w:rsidTr="004B72CA">
        <w:trPr>
          <w:trHeight w:val="487"/>
        </w:trPr>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ind w:left="720" w:hanging="360"/>
              <w:rPr>
                <w:rFonts w:asciiTheme="minorHAnsi" w:hAnsiTheme="minorHAnsi"/>
                <w:sz w:val="16"/>
                <w:szCs w:val="16"/>
              </w:rPr>
            </w:pPr>
            <w:r w:rsidRPr="00D0767D">
              <w:rPr>
                <w:rFonts w:asciiTheme="minorHAnsi" w:eastAsia="Tahoma" w:hAnsiTheme="minorHAnsi"/>
                <w:color w:val="000000"/>
                <w:sz w:val="16"/>
                <w:szCs w:val="16"/>
              </w:rPr>
              <w:t xml:space="preserve">3.1 Develop </w:t>
            </w:r>
            <w:proofErr w:type="spellStart"/>
            <w:r w:rsidRPr="00D0767D">
              <w:rPr>
                <w:rFonts w:asciiTheme="minorHAnsi" w:eastAsia="Tahoma" w:hAnsiTheme="minorHAnsi"/>
                <w:color w:val="000000"/>
                <w:sz w:val="16"/>
                <w:szCs w:val="16"/>
              </w:rPr>
              <w:t>sectoral</w:t>
            </w:r>
            <w:proofErr w:type="spellEnd"/>
            <w:r w:rsidRPr="00D0767D">
              <w:rPr>
                <w:rFonts w:asciiTheme="minorHAnsi" w:eastAsia="Tahoma" w:hAnsiTheme="minorHAnsi"/>
                <w:color w:val="000000"/>
                <w:sz w:val="16"/>
                <w:szCs w:val="16"/>
              </w:rPr>
              <w:t xml:space="preserve"> plans, objectives and indicators directly supporting realization of the HC/HCT strategic priorities</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i/>
                <w:color w:val="000000"/>
                <w:sz w:val="16"/>
                <w:szCs w:val="16"/>
              </w:rPr>
              <w:t>Strategic plan based on identified priorities, shows synergies with other sectors against strategic objectives, addresses cross cutting issues, incorporates exit strategy discussion and is developed jointly with partners. Plan is updated regularly and guides response.</w:t>
            </w:r>
          </w:p>
        </w:tc>
        <w:tc>
          <w:tcPr>
            <w:tcW w:w="0" w:type="auto"/>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4B72CA" w:rsidRPr="00D0767D" w:rsidRDefault="004B72CA" w:rsidP="005D6E20">
            <w:pPr>
              <w:spacing w:after="0" w:line="240" w:lineRule="auto"/>
              <w:jc w:val="center"/>
              <w:rPr>
                <w:rFonts w:asciiTheme="minorHAnsi" w:hAnsiTheme="minorHAnsi"/>
                <w:sz w:val="16"/>
                <w:szCs w:val="16"/>
              </w:rPr>
            </w:pPr>
            <w:r w:rsidRPr="00D0767D">
              <w:rPr>
                <w:rFonts w:asciiTheme="minorHAnsi" w:eastAsia="Tahoma" w:hAnsiTheme="minorHAnsi"/>
                <w:color w:val="000000"/>
                <w:sz w:val="16"/>
                <w:szCs w:val="16"/>
              </w:rPr>
              <w:t>Good at national level but week to satisfactory at regional level</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pStyle w:val="NoSpacing"/>
              <w:rPr>
                <w:sz w:val="16"/>
                <w:szCs w:val="16"/>
              </w:rPr>
            </w:pPr>
            <w:r w:rsidRPr="00D0767D">
              <w:rPr>
                <w:sz w:val="16"/>
                <w:szCs w:val="16"/>
              </w:rPr>
              <w:t>SRP Centrally-prepared, regional consultation was minimal (i.e. draft document already done when shared)</w:t>
            </w:r>
          </w:p>
          <w:p w:rsidR="004B72CA" w:rsidRPr="00D0767D" w:rsidRDefault="004B72CA" w:rsidP="005D6E20">
            <w:pPr>
              <w:pStyle w:val="NoSpacing"/>
              <w:rPr>
                <w:sz w:val="16"/>
                <w:szCs w:val="16"/>
              </w:rPr>
            </w:pPr>
          </w:p>
          <w:p w:rsidR="004B72CA" w:rsidRPr="00D0767D" w:rsidRDefault="004B72CA" w:rsidP="005D6E20">
            <w:pPr>
              <w:pStyle w:val="NoSpacing"/>
              <w:rPr>
                <w:sz w:val="16"/>
                <w:szCs w:val="16"/>
              </w:rPr>
            </w:pPr>
            <w:r w:rsidRPr="00D0767D">
              <w:rPr>
                <w:sz w:val="16"/>
                <w:szCs w:val="16"/>
              </w:rPr>
              <w:t>Some questions had no time to be addressed (e.g. exclusion of target municipalities)</w:t>
            </w:r>
          </w:p>
          <w:p w:rsidR="004B72CA" w:rsidRPr="00D0767D" w:rsidRDefault="004B72CA" w:rsidP="005D6E20">
            <w:pPr>
              <w:pStyle w:val="NoSpacing"/>
              <w:rPr>
                <w:sz w:val="16"/>
                <w:szCs w:val="16"/>
              </w:rPr>
            </w:pPr>
          </w:p>
          <w:p w:rsidR="004B72CA" w:rsidRPr="00D0767D" w:rsidRDefault="004B72CA" w:rsidP="005D6E20">
            <w:pPr>
              <w:pStyle w:val="NoSpacing"/>
              <w:rPr>
                <w:sz w:val="16"/>
                <w:szCs w:val="16"/>
              </w:rPr>
            </w:pPr>
            <w:r w:rsidRPr="00D0767D">
              <w:rPr>
                <w:sz w:val="16"/>
                <w:szCs w:val="16"/>
              </w:rPr>
              <w:t>Not all agencies and communities were aware of how the needs were prioritized (e.g. which will be covered by SRP, government. Etc.)</w:t>
            </w:r>
          </w:p>
          <w:p w:rsidR="004B72CA" w:rsidRPr="00D0767D" w:rsidRDefault="004B72CA" w:rsidP="005D6E20">
            <w:pPr>
              <w:pStyle w:val="NoSpacing"/>
              <w:rPr>
                <w:sz w:val="16"/>
                <w:szCs w:val="16"/>
              </w:rPr>
            </w:pPr>
          </w:p>
          <w:p w:rsidR="004B72CA" w:rsidRPr="00D0767D" w:rsidRDefault="004B72CA" w:rsidP="005D6E20">
            <w:pPr>
              <w:pStyle w:val="NoSpacing"/>
              <w:rPr>
                <w:sz w:val="16"/>
                <w:szCs w:val="16"/>
              </w:rPr>
            </w:pPr>
            <w:r w:rsidRPr="00D0767D">
              <w:rPr>
                <w:sz w:val="16"/>
                <w:szCs w:val="16"/>
              </w:rPr>
              <w:t>Inter-cluster communication minimal</w:t>
            </w:r>
          </w:p>
          <w:p w:rsidR="004B72CA" w:rsidRPr="00D0767D" w:rsidRDefault="004B72CA" w:rsidP="005D6E20">
            <w:pPr>
              <w:pStyle w:val="NoSpacing"/>
              <w:rPr>
                <w:sz w:val="16"/>
                <w:szCs w:val="16"/>
              </w:rPr>
            </w:pPr>
          </w:p>
          <w:p w:rsidR="004B72CA" w:rsidRPr="00D0767D" w:rsidRDefault="004B72CA" w:rsidP="005D6E20">
            <w:pPr>
              <w:pStyle w:val="NoSpacing"/>
              <w:rPr>
                <w:sz w:val="16"/>
                <w:szCs w:val="16"/>
              </w:rPr>
            </w:pPr>
            <w:r w:rsidRPr="00D0767D">
              <w:rPr>
                <w:sz w:val="16"/>
                <w:szCs w:val="16"/>
              </w:rPr>
              <w:t xml:space="preserve">Participation in planning of other clusters was minimal </w:t>
            </w:r>
          </w:p>
          <w:p w:rsidR="004B72CA" w:rsidRPr="00D0767D" w:rsidRDefault="004B72CA" w:rsidP="005D6E20">
            <w:pPr>
              <w:pStyle w:val="NoSpacing"/>
              <w:rPr>
                <w:sz w:val="16"/>
                <w:szCs w:val="16"/>
              </w:rPr>
            </w:pPr>
          </w:p>
          <w:p w:rsidR="004B72CA" w:rsidRPr="00D0767D" w:rsidRDefault="004B72CA" w:rsidP="005D6E20">
            <w:pPr>
              <w:pStyle w:val="NoSpacing"/>
              <w:rPr>
                <w:sz w:val="16"/>
                <w:szCs w:val="16"/>
              </w:rPr>
            </w:pPr>
            <w:r w:rsidRPr="00D0767D">
              <w:rPr>
                <w:sz w:val="16"/>
                <w:szCs w:val="16"/>
              </w:rPr>
              <w:t>Even at regional level, input is “centralized” to specific focal points – and subject to frequent rotation of expats</w:t>
            </w:r>
          </w:p>
          <w:p w:rsidR="004B72CA" w:rsidRPr="00D0767D" w:rsidRDefault="004B72CA" w:rsidP="005D6E20">
            <w:pPr>
              <w:pStyle w:val="NoSpacing"/>
              <w:rPr>
                <w:sz w:val="16"/>
                <w:szCs w:val="16"/>
              </w:rPr>
            </w:pPr>
          </w:p>
          <w:p w:rsidR="004B72CA" w:rsidRPr="00D0767D" w:rsidRDefault="004B72CA" w:rsidP="005D6E20">
            <w:pPr>
              <w:pStyle w:val="NoSpacing"/>
              <w:rPr>
                <w:sz w:val="16"/>
                <w:szCs w:val="16"/>
              </w:rPr>
            </w:pPr>
            <w:r w:rsidRPr="00D0767D">
              <w:rPr>
                <w:sz w:val="16"/>
                <w:szCs w:val="16"/>
              </w:rPr>
              <w:lastRenderedPageBreak/>
              <w:t>Main constraints: Time, HR turnover, communication. E.g. tight deadlines vs field work.</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lang w:val="en-PH"/>
              </w:rPr>
            </w:pPr>
            <w:r w:rsidRPr="00D0767D">
              <w:rPr>
                <w:rFonts w:asciiTheme="minorHAnsi" w:hAnsiTheme="minorHAnsi"/>
                <w:sz w:val="16"/>
                <w:szCs w:val="16"/>
                <w:lang w:val="en-PH"/>
              </w:rPr>
              <w:lastRenderedPageBreak/>
              <w:t>NNC to ensure representation and participation of Regional Cluster focal points in planning meetings by National Nutrition Cluster – ASAP. In case impossibility to attend the meeting, regional focal points should be consulted prior each such meeting.</w:t>
            </w:r>
          </w:p>
        </w:tc>
      </w:tr>
      <w:tr w:rsidR="004B72CA" w:rsidRPr="00D0767D" w:rsidTr="004B72CA">
        <w:trPr>
          <w:trHeight w:val="262"/>
        </w:trPr>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ind w:left="720" w:hanging="360"/>
              <w:rPr>
                <w:rFonts w:asciiTheme="minorHAnsi" w:hAnsiTheme="minorHAnsi"/>
                <w:sz w:val="16"/>
                <w:szCs w:val="16"/>
              </w:rPr>
            </w:pPr>
            <w:r w:rsidRPr="00D0767D">
              <w:rPr>
                <w:rFonts w:asciiTheme="minorHAnsi" w:eastAsia="Tahoma" w:hAnsiTheme="minorHAnsi"/>
                <w:color w:val="000000"/>
                <w:sz w:val="16"/>
                <w:szCs w:val="16"/>
              </w:rPr>
              <w:lastRenderedPageBreak/>
              <w:t>3.2 Application and adherence to existing standards and guidelines</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i/>
                <w:color w:val="000000"/>
                <w:sz w:val="16"/>
                <w:szCs w:val="16"/>
              </w:rPr>
              <w:t>Use of existing national standards and guidelines where possible. Standards and guidance are agreed to, adhered to and reported against.</w:t>
            </w:r>
          </w:p>
        </w:tc>
        <w:tc>
          <w:tcPr>
            <w:tcW w:w="0" w:type="auto"/>
            <w:tcBorders>
              <w:top w:val="single" w:sz="7" w:space="0" w:color="D3D3D3"/>
              <w:left w:val="single" w:sz="7" w:space="0" w:color="D3D3D3"/>
              <w:bottom w:val="single" w:sz="7" w:space="0" w:color="D3D3D3"/>
              <w:right w:val="single" w:sz="7" w:space="0" w:color="D3D3D3"/>
            </w:tcBorders>
            <w:shd w:val="clear" w:color="auto" w:fill="66FF66"/>
            <w:tcMar>
              <w:top w:w="39" w:type="dxa"/>
              <w:left w:w="39" w:type="dxa"/>
              <w:bottom w:w="39" w:type="dxa"/>
              <w:right w:w="39" w:type="dxa"/>
            </w:tcMar>
          </w:tcPr>
          <w:p w:rsidR="004B72CA" w:rsidRPr="00D0767D" w:rsidRDefault="004B72CA" w:rsidP="005D6E20">
            <w:pPr>
              <w:spacing w:after="0" w:line="240" w:lineRule="auto"/>
              <w:jc w:val="center"/>
              <w:rPr>
                <w:rFonts w:asciiTheme="minorHAnsi" w:hAnsiTheme="minorHAnsi"/>
                <w:sz w:val="16"/>
                <w:szCs w:val="16"/>
              </w:rPr>
            </w:pPr>
            <w:r w:rsidRPr="00D0767D">
              <w:rPr>
                <w:rFonts w:asciiTheme="minorHAnsi" w:eastAsia="Tahoma" w:hAnsiTheme="minorHAnsi"/>
                <w:color w:val="000000"/>
                <w:sz w:val="16"/>
                <w:szCs w:val="16"/>
              </w:rPr>
              <w:t>Good</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Existing guidelines were already adhered to (e.g. NiE “package”, caseload calculation, coverage targets)</w:t>
            </w:r>
          </w:p>
          <w:p w:rsidR="004B72CA" w:rsidRPr="00D0767D" w:rsidRDefault="004B72CA" w:rsidP="005D6E20">
            <w:pPr>
              <w:spacing w:after="0" w:line="240" w:lineRule="auto"/>
              <w:rPr>
                <w:rFonts w:asciiTheme="minorHAnsi" w:hAnsiTheme="minorHAnsi"/>
                <w:sz w:val="16"/>
                <w:szCs w:val="16"/>
              </w:rPr>
            </w:pPr>
          </w:p>
          <w:p w:rsidR="004B72CA" w:rsidRPr="00D0767D"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Indicators based on standards (e.g. Cure rate, etc.)</w:t>
            </w:r>
          </w:p>
          <w:p w:rsidR="004B72CA" w:rsidRPr="00D0767D" w:rsidRDefault="004B72CA" w:rsidP="005D6E20">
            <w:pPr>
              <w:spacing w:after="0" w:line="240" w:lineRule="auto"/>
              <w:rPr>
                <w:rFonts w:asciiTheme="minorHAnsi" w:hAnsiTheme="minorHAnsi"/>
                <w:sz w:val="16"/>
                <w:szCs w:val="16"/>
              </w:rPr>
            </w:pPr>
          </w:p>
          <w:p w:rsidR="004B72CA" w:rsidRPr="00D0767D"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National Cluster was able to provide guidance based on existing standards and guidelines that were not yet fully rolled-out sub-nationally at the time of Yolanda</w:t>
            </w:r>
          </w:p>
          <w:p w:rsidR="004B72CA" w:rsidRPr="00D0767D" w:rsidRDefault="004B72CA" w:rsidP="005D6E20">
            <w:pPr>
              <w:spacing w:after="0" w:line="240" w:lineRule="auto"/>
              <w:rPr>
                <w:rFonts w:asciiTheme="minorHAnsi" w:hAnsiTheme="minorHAnsi"/>
                <w:sz w:val="16"/>
                <w:szCs w:val="16"/>
              </w:rPr>
            </w:pPr>
          </w:p>
          <w:p w:rsidR="004B72CA" w:rsidRPr="00D0767D"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Main constraint: Planning process (broader) will  tend to disregard Nutrition interventions</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jc w:val="both"/>
              <w:rPr>
                <w:rFonts w:asciiTheme="minorHAnsi" w:hAnsiTheme="minorHAnsi"/>
                <w:sz w:val="16"/>
                <w:szCs w:val="16"/>
                <w:lang w:val="en-PH"/>
              </w:rPr>
            </w:pPr>
            <w:r w:rsidRPr="00D0767D">
              <w:rPr>
                <w:rFonts w:asciiTheme="minorHAnsi" w:hAnsiTheme="minorHAnsi"/>
                <w:sz w:val="16"/>
                <w:szCs w:val="16"/>
                <w:lang w:val="en-PH"/>
              </w:rPr>
              <w:t xml:space="preserve">Nutrition Cluster to update, approve, and endorse PIMAM guidelines (ensure integration with IYCF, etc.) by first quarter of 2015. </w:t>
            </w:r>
          </w:p>
          <w:p w:rsidR="004B72CA" w:rsidRPr="00D0767D" w:rsidRDefault="004B72CA" w:rsidP="004B72CA">
            <w:pPr>
              <w:pStyle w:val="ListParagraph"/>
              <w:numPr>
                <w:ilvl w:val="0"/>
                <w:numId w:val="1"/>
              </w:numPr>
              <w:jc w:val="both"/>
              <w:rPr>
                <w:sz w:val="16"/>
                <w:szCs w:val="16"/>
                <w:lang w:val="en-PH"/>
              </w:rPr>
            </w:pPr>
            <w:r w:rsidRPr="00D0767D">
              <w:rPr>
                <w:sz w:val="16"/>
                <w:szCs w:val="16"/>
                <w:lang w:val="en-PH"/>
              </w:rPr>
              <w:t>Consider other vulnerable groups (e.g. children with congenital problems, people living with HIV, other cross-cutting)</w:t>
            </w:r>
          </w:p>
          <w:p w:rsidR="004B72CA" w:rsidRPr="00D0767D" w:rsidRDefault="004B72CA" w:rsidP="004B72CA">
            <w:pPr>
              <w:pStyle w:val="ListParagraph"/>
              <w:numPr>
                <w:ilvl w:val="0"/>
                <w:numId w:val="1"/>
              </w:numPr>
              <w:jc w:val="both"/>
              <w:rPr>
                <w:sz w:val="16"/>
                <w:szCs w:val="16"/>
                <w:lang w:val="en-PH"/>
              </w:rPr>
            </w:pPr>
            <w:r w:rsidRPr="00D0767D">
              <w:rPr>
                <w:sz w:val="16"/>
                <w:szCs w:val="16"/>
                <w:lang w:val="en-PH"/>
              </w:rPr>
              <w:t>CMAM working group to update current draft guidelines (review on 24-26 July 2014 to be confirmed)</w:t>
            </w:r>
          </w:p>
          <w:p w:rsidR="004B72CA" w:rsidRPr="00D0767D" w:rsidRDefault="004B72CA" w:rsidP="004B72CA">
            <w:pPr>
              <w:pStyle w:val="ListParagraph"/>
              <w:numPr>
                <w:ilvl w:val="0"/>
                <w:numId w:val="1"/>
              </w:numPr>
              <w:jc w:val="both"/>
              <w:rPr>
                <w:sz w:val="16"/>
                <w:szCs w:val="16"/>
                <w:lang w:val="en-PH"/>
              </w:rPr>
            </w:pPr>
            <w:r w:rsidRPr="00D0767D">
              <w:rPr>
                <w:sz w:val="16"/>
                <w:szCs w:val="16"/>
                <w:lang w:val="en-PH"/>
              </w:rPr>
              <w:t>MAM guidelines workshop 28-29 July 2014</w:t>
            </w:r>
          </w:p>
          <w:p w:rsidR="004B72CA" w:rsidRPr="00D0767D" w:rsidRDefault="004B72CA" w:rsidP="004B72CA">
            <w:pPr>
              <w:pStyle w:val="ListParagraph"/>
              <w:numPr>
                <w:ilvl w:val="0"/>
                <w:numId w:val="1"/>
              </w:numPr>
              <w:jc w:val="both"/>
              <w:rPr>
                <w:sz w:val="16"/>
                <w:szCs w:val="16"/>
                <w:lang w:val="en-PH"/>
              </w:rPr>
            </w:pPr>
            <w:r w:rsidRPr="00D0767D">
              <w:rPr>
                <w:sz w:val="16"/>
                <w:szCs w:val="16"/>
                <w:lang w:val="en-PH"/>
              </w:rPr>
              <w:t>First draft document to be submitted early December</w:t>
            </w:r>
          </w:p>
          <w:p w:rsidR="004B72CA" w:rsidRPr="00D0767D" w:rsidRDefault="004B72CA" w:rsidP="004B72CA">
            <w:pPr>
              <w:pStyle w:val="ListParagraph"/>
              <w:numPr>
                <w:ilvl w:val="0"/>
                <w:numId w:val="1"/>
              </w:numPr>
              <w:jc w:val="both"/>
              <w:rPr>
                <w:sz w:val="16"/>
                <w:szCs w:val="16"/>
                <w:lang w:val="en-PH"/>
              </w:rPr>
            </w:pPr>
            <w:r w:rsidRPr="00D0767D">
              <w:rPr>
                <w:sz w:val="16"/>
                <w:szCs w:val="16"/>
                <w:lang w:val="en-PH"/>
              </w:rPr>
              <w:t>NNC to push for official endorsement of DOH before the end of the year</w:t>
            </w:r>
          </w:p>
          <w:p w:rsidR="004B72CA" w:rsidRPr="00D0767D" w:rsidRDefault="004B72CA" w:rsidP="005D6E20">
            <w:pPr>
              <w:spacing w:after="0" w:line="240" w:lineRule="auto"/>
              <w:rPr>
                <w:rFonts w:asciiTheme="minorHAnsi" w:hAnsiTheme="minorHAnsi"/>
                <w:sz w:val="16"/>
                <w:szCs w:val="16"/>
                <w:lang w:val="en-PH"/>
              </w:rPr>
            </w:pPr>
          </w:p>
        </w:tc>
      </w:tr>
      <w:tr w:rsidR="004B72CA" w:rsidRPr="00D0767D" w:rsidTr="004B72CA">
        <w:trPr>
          <w:trHeight w:val="562"/>
        </w:trPr>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ind w:left="720" w:hanging="360"/>
              <w:rPr>
                <w:rFonts w:asciiTheme="minorHAnsi" w:hAnsiTheme="minorHAnsi"/>
                <w:sz w:val="16"/>
                <w:szCs w:val="16"/>
              </w:rPr>
            </w:pPr>
            <w:r w:rsidRPr="00D0767D">
              <w:rPr>
                <w:rFonts w:asciiTheme="minorHAnsi" w:eastAsia="Tahoma" w:hAnsiTheme="minorHAnsi"/>
                <w:color w:val="000000"/>
                <w:sz w:val="16"/>
                <w:szCs w:val="16"/>
              </w:rPr>
              <w:t>3.3 Clarify funding requirements, prioritization, and cluster contributions to HC’s overall humanitarian funding considerations</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i/>
                <w:color w:val="000000"/>
                <w:sz w:val="16"/>
                <w:szCs w:val="16"/>
              </w:rPr>
              <w:t xml:space="preserve">Funding requirements determined with partners, allocation under jointly agreed criteria and </w:t>
            </w:r>
            <w:proofErr w:type="spellStart"/>
            <w:r w:rsidRPr="00D0767D">
              <w:rPr>
                <w:rFonts w:asciiTheme="minorHAnsi" w:eastAsia="Tahoma" w:hAnsiTheme="minorHAnsi"/>
                <w:i/>
                <w:color w:val="000000"/>
                <w:sz w:val="16"/>
                <w:szCs w:val="16"/>
              </w:rPr>
              <w:t>prioritisation</w:t>
            </w:r>
            <w:proofErr w:type="spellEnd"/>
            <w:r w:rsidRPr="00D0767D">
              <w:rPr>
                <w:rFonts w:asciiTheme="minorHAnsi" w:eastAsia="Tahoma" w:hAnsiTheme="minorHAnsi"/>
                <w:i/>
                <w:color w:val="000000"/>
                <w:sz w:val="16"/>
                <w:szCs w:val="16"/>
              </w:rPr>
              <w:t>, status tracked and information shared.</w:t>
            </w:r>
          </w:p>
        </w:tc>
        <w:tc>
          <w:tcPr>
            <w:tcW w:w="0" w:type="auto"/>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4B72CA" w:rsidRPr="00D0767D" w:rsidRDefault="004B72CA" w:rsidP="005D6E20">
            <w:pPr>
              <w:spacing w:after="0" w:line="240" w:lineRule="auto"/>
              <w:jc w:val="center"/>
              <w:rPr>
                <w:rFonts w:asciiTheme="minorHAnsi" w:hAnsiTheme="minorHAnsi"/>
                <w:sz w:val="16"/>
                <w:szCs w:val="16"/>
              </w:rPr>
            </w:pPr>
            <w:r w:rsidRPr="00D0767D">
              <w:rPr>
                <w:rFonts w:asciiTheme="minorHAnsi" w:eastAsia="Tahoma" w:hAnsiTheme="minorHAnsi"/>
                <w:color w:val="000000"/>
                <w:sz w:val="16"/>
                <w:szCs w:val="16"/>
              </w:rPr>
              <w:t>Satisfactory</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pStyle w:val="NoSpacing"/>
              <w:rPr>
                <w:sz w:val="16"/>
                <w:szCs w:val="16"/>
              </w:rPr>
            </w:pPr>
            <w:r w:rsidRPr="00D0767D">
              <w:rPr>
                <w:sz w:val="16"/>
                <w:szCs w:val="16"/>
              </w:rPr>
              <w:t>At central level, the process was clear and transparent</w:t>
            </w:r>
          </w:p>
          <w:p w:rsidR="004B72CA" w:rsidRPr="00D0767D" w:rsidRDefault="004B72CA" w:rsidP="005D6E20">
            <w:pPr>
              <w:pStyle w:val="NoSpacing"/>
              <w:rPr>
                <w:sz w:val="16"/>
                <w:szCs w:val="16"/>
              </w:rPr>
            </w:pPr>
          </w:p>
          <w:p w:rsidR="004B72CA" w:rsidRPr="00D0767D" w:rsidRDefault="004B72CA" w:rsidP="005D6E20">
            <w:pPr>
              <w:pStyle w:val="NoSpacing"/>
              <w:rPr>
                <w:sz w:val="16"/>
                <w:szCs w:val="16"/>
              </w:rPr>
            </w:pPr>
            <w:r w:rsidRPr="00D0767D">
              <w:rPr>
                <w:sz w:val="16"/>
                <w:szCs w:val="16"/>
              </w:rPr>
              <w:t>Information on requirements and prioritization is available and accessible</w:t>
            </w:r>
          </w:p>
          <w:p w:rsidR="004B72CA" w:rsidRPr="00D0767D" w:rsidRDefault="004B72CA" w:rsidP="005D6E20">
            <w:pPr>
              <w:pStyle w:val="NoSpacing"/>
              <w:rPr>
                <w:sz w:val="16"/>
                <w:szCs w:val="16"/>
              </w:rPr>
            </w:pPr>
          </w:p>
          <w:p w:rsidR="004B72CA" w:rsidRPr="00D0767D" w:rsidRDefault="004B72CA" w:rsidP="005D6E20">
            <w:pPr>
              <w:pStyle w:val="NoSpacing"/>
              <w:rPr>
                <w:sz w:val="16"/>
                <w:szCs w:val="16"/>
              </w:rPr>
            </w:pPr>
            <w:r w:rsidRPr="00D0767D">
              <w:rPr>
                <w:sz w:val="16"/>
                <w:szCs w:val="16"/>
              </w:rPr>
              <w:t>At sub-national level, questions are raised on distribution of funds (e.g. Region VI and VIII, specific municipalities)</w:t>
            </w:r>
          </w:p>
          <w:p w:rsidR="004B72CA" w:rsidRPr="00D0767D" w:rsidRDefault="004B72CA" w:rsidP="005D6E20">
            <w:pPr>
              <w:pStyle w:val="NoSpacing"/>
              <w:rPr>
                <w:sz w:val="16"/>
                <w:szCs w:val="16"/>
              </w:rPr>
            </w:pPr>
          </w:p>
          <w:p w:rsidR="004B72CA" w:rsidRPr="00D0767D" w:rsidRDefault="004B72CA" w:rsidP="005D6E20">
            <w:pPr>
              <w:pStyle w:val="NoSpacing"/>
              <w:rPr>
                <w:sz w:val="16"/>
                <w:szCs w:val="16"/>
              </w:rPr>
            </w:pPr>
            <w:r w:rsidRPr="00D0767D">
              <w:rPr>
                <w:sz w:val="16"/>
                <w:szCs w:val="16"/>
              </w:rPr>
              <w:t>Questions were raised on municipal selection which influenced funding needs</w:t>
            </w:r>
          </w:p>
          <w:p w:rsidR="004B72CA" w:rsidRPr="00D0767D" w:rsidRDefault="004B72CA" w:rsidP="005D6E20">
            <w:pPr>
              <w:pStyle w:val="NoSpacing"/>
              <w:rPr>
                <w:sz w:val="16"/>
                <w:szCs w:val="16"/>
              </w:rPr>
            </w:pPr>
          </w:p>
          <w:p w:rsidR="004B72CA" w:rsidRPr="00D0767D" w:rsidRDefault="004B72CA" w:rsidP="005D6E20">
            <w:pPr>
              <w:pStyle w:val="NoSpacing"/>
              <w:rPr>
                <w:sz w:val="16"/>
                <w:szCs w:val="16"/>
              </w:rPr>
            </w:pPr>
            <w:r w:rsidRPr="00D0767D">
              <w:rPr>
                <w:sz w:val="16"/>
                <w:szCs w:val="16"/>
              </w:rPr>
              <w:t>Area selection did not accurately reflect needs (e.g. selection of 81 municipalities)</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hAnsiTheme="minorHAnsi"/>
                <w:sz w:val="16"/>
                <w:szCs w:val="16"/>
              </w:rPr>
              <w:t>See other functions (1.2 and 2.3)</w:t>
            </w:r>
          </w:p>
        </w:tc>
      </w:tr>
      <w:tr w:rsidR="004B72CA" w:rsidRPr="00D0767D" w:rsidTr="004B72CA">
        <w:trPr>
          <w:trHeight w:val="262"/>
        </w:trPr>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b/>
                <w:color w:val="000000"/>
                <w:sz w:val="16"/>
                <w:szCs w:val="16"/>
              </w:rPr>
              <w:t>4. Advocacy</w:t>
            </w:r>
          </w:p>
        </w:tc>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r>
      <w:tr w:rsidR="004B72CA" w:rsidRPr="00D0767D" w:rsidTr="004B72CA">
        <w:trPr>
          <w:trHeight w:val="487"/>
        </w:trPr>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ind w:left="720" w:hanging="360"/>
              <w:rPr>
                <w:rFonts w:asciiTheme="minorHAnsi" w:hAnsiTheme="minorHAnsi"/>
                <w:sz w:val="16"/>
                <w:szCs w:val="16"/>
              </w:rPr>
            </w:pPr>
            <w:r w:rsidRPr="00D0767D">
              <w:rPr>
                <w:rFonts w:asciiTheme="minorHAnsi" w:eastAsia="Tahoma" w:hAnsiTheme="minorHAnsi"/>
                <w:color w:val="000000"/>
                <w:sz w:val="16"/>
                <w:szCs w:val="16"/>
              </w:rPr>
              <w:t>4.1 Identify advocacy concerns to contribute to HC and HCT messaging and action</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i/>
                <w:color w:val="000000"/>
                <w:sz w:val="16"/>
                <w:szCs w:val="16"/>
              </w:rPr>
              <w:t xml:space="preserve">Concerns for advocacy </w:t>
            </w:r>
            <w:proofErr w:type="spellStart"/>
            <w:r w:rsidRPr="00D0767D">
              <w:rPr>
                <w:rFonts w:asciiTheme="minorHAnsi" w:eastAsia="Tahoma" w:hAnsiTheme="minorHAnsi"/>
                <w:i/>
                <w:color w:val="000000"/>
                <w:sz w:val="16"/>
                <w:szCs w:val="16"/>
              </w:rPr>
              <w:t>identied</w:t>
            </w:r>
            <w:proofErr w:type="spellEnd"/>
            <w:r w:rsidRPr="00D0767D">
              <w:rPr>
                <w:rFonts w:asciiTheme="minorHAnsi" w:eastAsia="Tahoma" w:hAnsiTheme="minorHAnsi"/>
                <w:i/>
                <w:color w:val="000000"/>
                <w:sz w:val="16"/>
                <w:szCs w:val="16"/>
              </w:rPr>
              <w:t xml:space="preserve"> with partners, including gaps, access, resource needs.</w:t>
            </w:r>
          </w:p>
        </w:tc>
        <w:tc>
          <w:tcPr>
            <w:tcW w:w="0" w:type="auto"/>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4B72CA" w:rsidRPr="00D0767D" w:rsidRDefault="004B72CA" w:rsidP="005D6E20">
            <w:pPr>
              <w:spacing w:after="0" w:line="240" w:lineRule="auto"/>
              <w:jc w:val="center"/>
              <w:rPr>
                <w:rFonts w:asciiTheme="minorHAnsi" w:hAnsiTheme="minorHAnsi"/>
                <w:sz w:val="16"/>
                <w:szCs w:val="16"/>
              </w:rPr>
            </w:pPr>
            <w:r w:rsidRPr="00D0767D">
              <w:rPr>
                <w:rFonts w:asciiTheme="minorHAnsi" w:eastAsia="Tahoma" w:hAnsiTheme="minorHAnsi"/>
                <w:color w:val="000000"/>
                <w:sz w:val="16"/>
                <w:szCs w:val="16"/>
              </w:rPr>
              <w:t>Good</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E2614D" w:rsidRDefault="004B72CA" w:rsidP="005D6E20">
            <w:pPr>
              <w:spacing w:after="0" w:line="240" w:lineRule="auto"/>
              <w:rPr>
                <w:rFonts w:asciiTheme="minorHAnsi" w:hAnsiTheme="minorHAnsi"/>
                <w:sz w:val="16"/>
                <w:szCs w:val="16"/>
                <w:lang w:val="en-PH"/>
              </w:rPr>
            </w:pPr>
            <w:r w:rsidRPr="00E2614D">
              <w:rPr>
                <w:rFonts w:asciiTheme="minorHAnsi" w:hAnsiTheme="minorHAnsi"/>
                <w:sz w:val="16"/>
                <w:szCs w:val="16"/>
                <w:lang w:val="en-PH"/>
              </w:rPr>
              <w:t>Unified inter-agency support of E.O. 51 (non-amendment)</w:t>
            </w:r>
          </w:p>
          <w:p w:rsidR="004B72CA" w:rsidRDefault="004B72CA" w:rsidP="005D6E20">
            <w:pPr>
              <w:spacing w:after="0" w:line="240" w:lineRule="auto"/>
              <w:rPr>
                <w:rFonts w:asciiTheme="minorHAnsi" w:hAnsiTheme="minorHAnsi"/>
                <w:sz w:val="16"/>
                <w:szCs w:val="16"/>
                <w:lang w:val="en-PH"/>
              </w:rPr>
            </w:pPr>
          </w:p>
          <w:p w:rsidR="004B72CA" w:rsidRPr="00E2614D" w:rsidRDefault="004B72CA" w:rsidP="005D6E20">
            <w:pPr>
              <w:spacing w:after="0" w:line="240" w:lineRule="auto"/>
              <w:rPr>
                <w:rFonts w:asciiTheme="minorHAnsi" w:hAnsiTheme="minorHAnsi"/>
                <w:sz w:val="16"/>
                <w:szCs w:val="16"/>
                <w:lang w:val="en-PH"/>
              </w:rPr>
            </w:pPr>
            <w:r w:rsidRPr="00E2614D">
              <w:rPr>
                <w:rFonts w:asciiTheme="minorHAnsi" w:hAnsiTheme="minorHAnsi"/>
                <w:sz w:val="16"/>
                <w:szCs w:val="16"/>
                <w:lang w:val="en-PH"/>
              </w:rPr>
              <w:t>Advocacy grounded on existing legislation</w:t>
            </w:r>
          </w:p>
          <w:p w:rsidR="004B72CA" w:rsidRDefault="004B72CA" w:rsidP="005D6E20">
            <w:pPr>
              <w:spacing w:after="0" w:line="240" w:lineRule="auto"/>
              <w:rPr>
                <w:rFonts w:asciiTheme="minorHAnsi" w:hAnsiTheme="minorHAnsi"/>
                <w:sz w:val="16"/>
                <w:szCs w:val="16"/>
                <w:lang w:val="en-PH"/>
              </w:rPr>
            </w:pPr>
          </w:p>
          <w:p w:rsidR="004B72CA" w:rsidRPr="00E2614D" w:rsidRDefault="004B72CA" w:rsidP="005D6E20">
            <w:pPr>
              <w:spacing w:after="0" w:line="240" w:lineRule="auto"/>
              <w:rPr>
                <w:rFonts w:asciiTheme="minorHAnsi" w:hAnsiTheme="minorHAnsi"/>
                <w:sz w:val="16"/>
                <w:szCs w:val="16"/>
                <w:lang w:val="en-PH"/>
              </w:rPr>
            </w:pPr>
            <w:r w:rsidRPr="00E2614D">
              <w:rPr>
                <w:rFonts w:asciiTheme="minorHAnsi" w:hAnsiTheme="minorHAnsi"/>
                <w:sz w:val="16"/>
                <w:szCs w:val="16"/>
                <w:lang w:val="en-PH"/>
              </w:rPr>
              <w:t>Constraint: Limited understanding of Nutrition in general (not just Milk Code) of general public and government line agencies</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Default="004B72CA" w:rsidP="005D6E20">
            <w:pPr>
              <w:spacing w:after="0" w:line="240" w:lineRule="auto"/>
              <w:rPr>
                <w:rFonts w:asciiTheme="minorHAnsi" w:hAnsiTheme="minorHAnsi"/>
                <w:sz w:val="16"/>
                <w:szCs w:val="16"/>
                <w:lang w:val="en-PH"/>
              </w:rPr>
            </w:pPr>
            <w:r w:rsidRPr="00E2614D">
              <w:rPr>
                <w:rFonts w:asciiTheme="minorHAnsi" w:hAnsiTheme="minorHAnsi"/>
                <w:sz w:val="16"/>
                <w:szCs w:val="16"/>
                <w:lang w:val="en-PH"/>
              </w:rPr>
              <w:t xml:space="preserve">The Nutrition Cluster to identify guidelines and standards which require stronger </w:t>
            </w:r>
            <w:r>
              <w:rPr>
                <w:rFonts w:asciiTheme="minorHAnsi" w:hAnsiTheme="minorHAnsi"/>
                <w:sz w:val="16"/>
                <w:szCs w:val="16"/>
                <w:lang w:val="en-PH"/>
              </w:rPr>
              <w:t>policy support within the year.</w:t>
            </w:r>
          </w:p>
          <w:p w:rsidR="004B72CA" w:rsidRPr="00E2614D" w:rsidRDefault="004B72CA" w:rsidP="005D6E20">
            <w:pPr>
              <w:spacing w:after="0" w:line="240" w:lineRule="auto"/>
              <w:rPr>
                <w:rFonts w:asciiTheme="minorHAnsi" w:hAnsiTheme="minorHAnsi"/>
                <w:sz w:val="16"/>
                <w:szCs w:val="16"/>
                <w:lang w:val="en-PH"/>
              </w:rPr>
            </w:pPr>
          </w:p>
          <w:p w:rsidR="004B72CA" w:rsidRPr="00E2614D" w:rsidRDefault="004B72CA" w:rsidP="005D6E20">
            <w:pPr>
              <w:spacing w:after="0" w:line="240" w:lineRule="auto"/>
              <w:rPr>
                <w:rFonts w:asciiTheme="minorHAnsi" w:hAnsiTheme="minorHAnsi"/>
                <w:sz w:val="16"/>
                <w:szCs w:val="16"/>
                <w:lang w:val="en-PH"/>
              </w:rPr>
            </w:pPr>
            <w:r w:rsidRPr="00E2614D">
              <w:rPr>
                <w:rFonts w:asciiTheme="minorHAnsi" w:hAnsiTheme="minorHAnsi"/>
                <w:sz w:val="16"/>
                <w:szCs w:val="16"/>
                <w:lang w:val="en-PH"/>
              </w:rPr>
              <w:t>The Nutrition Cluster to conduct NiE orientation to other line agencies (e.g. DSWD, DILG) and UN agencies (e.g. UN-OCHA) - before the end of the year.</w:t>
            </w:r>
          </w:p>
        </w:tc>
      </w:tr>
      <w:tr w:rsidR="004B72CA" w:rsidRPr="00D0767D" w:rsidTr="004B72CA">
        <w:trPr>
          <w:trHeight w:val="502"/>
        </w:trPr>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ind w:left="720" w:hanging="360"/>
              <w:rPr>
                <w:rFonts w:asciiTheme="minorHAnsi" w:hAnsiTheme="minorHAnsi"/>
                <w:sz w:val="16"/>
                <w:szCs w:val="16"/>
              </w:rPr>
            </w:pPr>
            <w:r w:rsidRPr="00D0767D">
              <w:rPr>
                <w:rFonts w:asciiTheme="minorHAnsi" w:eastAsia="Tahoma" w:hAnsiTheme="minorHAnsi"/>
                <w:color w:val="000000"/>
                <w:sz w:val="16"/>
                <w:szCs w:val="16"/>
              </w:rPr>
              <w:lastRenderedPageBreak/>
              <w:t>4.2 Undertaking advocacy activities on behalf of cluster participants and the affected population</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i/>
                <w:color w:val="000000"/>
                <w:sz w:val="16"/>
                <w:szCs w:val="16"/>
              </w:rPr>
              <w:t>Common advocacy campaign agreed and delivered across partners.</w:t>
            </w:r>
          </w:p>
        </w:tc>
        <w:tc>
          <w:tcPr>
            <w:tcW w:w="0" w:type="auto"/>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4B72CA" w:rsidRPr="00D0767D" w:rsidRDefault="004B72CA" w:rsidP="005D6E20">
            <w:pPr>
              <w:spacing w:after="0" w:line="240" w:lineRule="auto"/>
              <w:jc w:val="center"/>
              <w:rPr>
                <w:rFonts w:asciiTheme="minorHAnsi" w:hAnsiTheme="minorHAnsi"/>
                <w:sz w:val="16"/>
                <w:szCs w:val="16"/>
              </w:rPr>
            </w:pPr>
            <w:r w:rsidRPr="00D0767D">
              <w:rPr>
                <w:rFonts w:asciiTheme="minorHAnsi" w:eastAsia="Tahoma" w:hAnsiTheme="minorHAnsi"/>
                <w:color w:val="000000"/>
                <w:sz w:val="16"/>
                <w:szCs w:val="16"/>
              </w:rPr>
              <w:t>Good</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Default="004B72CA" w:rsidP="005D6E20">
            <w:pPr>
              <w:pStyle w:val="NoSpacing"/>
              <w:rPr>
                <w:sz w:val="16"/>
                <w:szCs w:val="16"/>
              </w:rPr>
            </w:pPr>
            <w:r>
              <w:rPr>
                <w:sz w:val="16"/>
                <w:szCs w:val="16"/>
              </w:rPr>
              <w:t>Existing advocacy initiatives were applied to emergency context. E.g. Nutrition month advocacy activities</w:t>
            </w:r>
          </w:p>
          <w:p w:rsidR="004B72CA" w:rsidRPr="00E2614D" w:rsidRDefault="004B72CA" w:rsidP="005D6E20">
            <w:pPr>
              <w:spacing w:after="0" w:line="240" w:lineRule="auto"/>
              <w:rPr>
                <w:rFonts w:asciiTheme="minorHAnsi" w:hAnsiTheme="minorHAnsi"/>
                <w:sz w:val="16"/>
                <w:szCs w:val="16"/>
                <w:lang w:val="en-PH"/>
              </w:rPr>
            </w:pP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Default="004B72CA" w:rsidP="005D6E20">
            <w:pPr>
              <w:spacing w:after="0" w:line="240" w:lineRule="auto"/>
              <w:rPr>
                <w:rFonts w:asciiTheme="minorHAnsi" w:hAnsiTheme="minorHAnsi"/>
                <w:sz w:val="16"/>
                <w:szCs w:val="16"/>
                <w:lang w:val="en-PH"/>
              </w:rPr>
            </w:pPr>
            <w:r w:rsidRPr="00E2614D">
              <w:rPr>
                <w:rFonts w:asciiTheme="minorHAnsi" w:hAnsiTheme="minorHAnsi"/>
                <w:sz w:val="16"/>
                <w:szCs w:val="16"/>
                <w:lang w:val="en-PH"/>
              </w:rPr>
              <w:t>NNC to revive advocacy and communication working group (e.g. finalize TORs, review membership, etc.)</w:t>
            </w:r>
            <w:r>
              <w:rPr>
                <w:rFonts w:asciiTheme="minorHAnsi" w:hAnsiTheme="minorHAnsi"/>
                <w:sz w:val="16"/>
                <w:szCs w:val="16"/>
                <w:lang w:val="en-PH"/>
              </w:rPr>
              <w:t xml:space="preserve"> – by August 2104</w:t>
            </w:r>
          </w:p>
          <w:p w:rsidR="004B72CA" w:rsidRPr="00E2614D" w:rsidRDefault="004B72CA" w:rsidP="005D6E20">
            <w:pPr>
              <w:spacing w:after="0" w:line="240" w:lineRule="auto"/>
              <w:rPr>
                <w:rFonts w:asciiTheme="minorHAnsi" w:hAnsiTheme="minorHAnsi"/>
                <w:sz w:val="16"/>
                <w:szCs w:val="16"/>
                <w:lang w:val="en-PH"/>
              </w:rPr>
            </w:pPr>
          </w:p>
          <w:p w:rsidR="004B72CA" w:rsidRDefault="004B72CA" w:rsidP="005D6E20">
            <w:pPr>
              <w:spacing w:after="0" w:line="240" w:lineRule="auto"/>
              <w:rPr>
                <w:rFonts w:asciiTheme="minorHAnsi" w:hAnsiTheme="minorHAnsi"/>
                <w:sz w:val="16"/>
                <w:szCs w:val="16"/>
                <w:lang w:val="en-PH"/>
              </w:rPr>
            </w:pPr>
            <w:r w:rsidRPr="00E2614D">
              <w:rPr>
                <w:rFonts w:asciiTheme="minorHAnsi" w:hAnsiTheme="minorHAnsi"/>
                <w:sz w:val="16"/>
                <w:szCs w:val="16"/>
                <w:lang w:val="en-PH"/>
              </w:rPr>
              <w:t>Advocacy and communication working group to develop set of recommendations to guide NNC strategic planning</w:t>
            </w:r>
            <w:r>
              <w:rPr>
                <w:rFonts w:asciiTheme="minorHAnsi" w:hAnsiTheme="minorHAnsi"/>
                <w:sz w:val="16"/>
                <w:szCs w:val="16"/>
                <w:lang w:val="en-PH"/>
              </w:rPr>
              <w:t xml:space="preserve"> – by September 2014</w:t>
            </w:r>
          </w:p>
          <w:p w:rsidR="004B72CA" w:rsidRPr="00E2614D" w:rsidRDefault="004B72CA" w:rsidP="005D6E20">
            <w:pPr>
              <w:spacing w:after="0" w:line="240" w:lineRule="auto"/>
              <w:rPr>
                <w:rFonts w:asciiTheme="minorHAnsi" w:hAnsiTheme="minorHAnsi"/>
                <w:sz w:val="16"/>
                <w:szCs w:val="16"/>
                <w:lang w:val="en-PH"/>
              </w:rPr>
            </w:pPr>
          </w:p>
          <w:p w:rsidR="004B72CA" w:rsidRDefault="004B72CA" w:rsidP="005D6E20">
            <w:pPr>
              <w:spacing w:after="0" w:line="240" w:lineRule="auto"/>
              <w:rPr>
                <w:rFonts w:asciiTheme="minorHAnsi" w:hAnsiTheme="minorHAnsi"/>
                <w:sz w:val="16"/>
                <w:szCs w:val="16"/>
                <w:lang w:val="en-PH"/>
              </w:rPr>
            </w:pPr>
            <w:r w:rsidRPr="00E2614D">
              <w:rPr>
                <w:rFonts w:asciiTheme="minorHAnsi" w:hAnsiTheme="minorHAnsi"/>
                <w:sz w:val="16"/>
                <w:szCs w:val="16"/>
                <w:lang w:val="en-PH"/>
              </w:rPr>
              <w:t>Advocacy and Communication Working Group to pool key messages and materials, preposition, and support reproduction and distribution as needed – before the end of the year</w:t>
            </w:r>
            <w:r>
              <w:rPr>
                <w:rFonts w:asciiTheme="minorHAnsi" w:hAnsiTheme="minorHAnsi"/>
                <w:sz w:val="16"/>
                <w:szCs w:val="16"/>
                <w:lang w:val="en-PH"/>
              </w:rPr>
              <w:t>.</w:t>
            </w:r>
          </w:p>
          <w:p w:rsidR="004B72CA" w:rsidRPr="00E2614D" w:rsidRDefault="004B72CA" w:rsidP="005D6E20">
            <w:pPr>
              <w:spacing w:after="0" w:line="240" w:lineRule="auto"/>
              <w:rPr>
                <w:rFonts w:asciiTheme="minorHAnsi" w:hAnsiTheme="minorHAnsi"/>
                <w:sz w:val="16"/>
                <w:szCs w:val="16"/>
                <w:lang w:val="en-PH"/>
              </w:rPr>
            </w:pPr>
          </w:p>
          <w:p w:rsidR="004B72CA" w:rsidRDefault="004B72CA" w:rsidP="005D6E20">
            <w:pPr>
              <w:spacing w:after="0" w:line="240" w:lineRule="auto"/>
              <w:rPr>
                <w:rFonts w:asciiTheme="minorHAnsi" w:hAnsiTheme="minorHAnsi"/>
                <w:sz w:val="16"/>
                <w:szCs w:val="16"/>
                <w:lang w:val="en-PH"/>
              </w:rPr>
            </w:pPr>
            <w:r w:rsidRPr="00E2614D">
              <w:rPr>
                <w:rFonts w:asciiTheme="minorHAnsi" w:hAnsiTheme="minorHAnsi"/>
                <w:sz w:val="16"/>
                <w:szCs w:val="16"/>
                <w:lang w:val="en-PH"/>
              </w:rPr>
              <w:t xml:space="preserve">Advocacy and Communication Working Group to develop advocacy and communication materials (e.g. bulletins) </w:t>
            </w:r>
          </w:p>
          <w:p w:rsidR="004B72CA" w:rsidRPr="00E2614D" w:rsidRDefault="004B72CA" w:rsidP="005D6E20">
            <w:pPr>
              <w:spacing w:after="0" w:line="240" w:lineRule="auto"/>
              <w:rPr>
                <w:rFonts w:asciiTheme="minorHAnsi" w:hAnsiTheme="minorHAnsi"/>
                <w:sz w:val="16"/>
                <w:szCs w:val="16"/>
                <w:lang w:val="en-PH"/>
              </w:rPr>
            </w:pPr>
          </w:p>
          <w:p w:rsidR="004B72CA" w:rsidRPr="00E2614D" w:rsidRDefault="004B72CA" w:rsidP="005D6E20">
            <w:pPr>
              <w:spacing w:after="0" w:line="240" w:lineRule="auto"/>
              <w:rPr>
                <w:rFonts w:asciiTheme="minorHAnsi" w:hAnsiTheme="minorHAnsi"/>
                <w:sz w:val="16"/>
                <w:szCs w:val="16"/>
                <w:lang w:val="en-PH"/>
              </w:rPr>
            </w:pPr>
            <w:r w:rsidRPr="00E2614D">
              <w:rPr>
                <w:rFonts w:asciiTheme="minorHAnsi" w:hAnsiTheme="minorHAnsi"/>
                <w:sz w:val="16"/>
                <w:szCs w:val="16"/>
                <w:lang w:val="en-PH"/>
              </w:rPr>
              <w:t>NNC to develop dedicated Nutrition Custer webpage in NNC website.</w:t>
            </w:r>
          </w:p>
        </w:tc>
      </w:tr>
      <w:tr w:rsidR="004B72CA" w:rsidRPr="00D0767D" w:rsidTr="004B72CA">
        <w:trPr>
          <w:trHeight w:val="262"/>
        </w:trPr>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b/>
                <w:color w:val="000000"/>
                <w:sz w:val="16"/>
                <w:szCs w:val="16"/>
              </w:rPr>
              <w:t>5. Monitoring and reporting</w:t>
            </w:r>
          </w:p>
        </w:tc>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r>
      <w:tr w:rsidR="004B72CA" w:rsidRPr="00D0767D" w:rsidTr="004B72CA">
        <w:trPr>
          <w:trHeight w:val="262"/>
        </w:trPr>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color w:val="000000"/>
                <w:sz w:val="16"/>
                <w:szCs w:val="16"/>
              </w:rPr>
              <w:t>Monitoring and reporting the implementation of the cluster strategy and results; recommending corrective action where necessary</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i/>
                <w:color w:val="000000"/>
                <w:sz w:val="16"/>
                <w:szCs w:val="16"/>
              </w:rPr>
              <w:t>Use of monitoring tools in accordance with agreed minimum standards, regular report sharing, progress mapped against agreed strategic plan, any necessary corrections identified.</w:t>
            </w:r>
          </w:p>
        </w:tc>
        <w:tc>
          <w:tcPr>
            <w:tcW w:w="0" w:type="auto"/>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4B72CA" w:rsidRPr="00D0767D" w:rsidRDefault="004B72CA" w:rsidP="005D6E20">
            <w:pPr>
              <w:spacing w:after="0" w:line="240" w:lineRule="auto"/>
              <w:jc w:val="center"/>
              <w:rPr>
                <w:rFonts w:asciiTheme="minorHAnsi" w:hAnsiTheme="minorHAnsi"/>
                <w:sz w:val="16"/>
                <w:szCs w:val="16"/>
              </w:rPr>
            </w:pPr>
            <w:r w:rsidRPr="00D0767D">
              <w:rPr>
                <w:rFonts w:asciiTheme="minorHAnsi" w:eastAsia="Tahoma" w:hAnsiTheme="minorHAnsi"/>
                <w:color w:val="000000"/>
                <w:sz w:val="16"/>
                <w:szCs w:val="16"/>
              </w:rPr>
              <w:t>Good</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Default="004B72CA" w:rsidP="005D6E20">
            <w:pPr>
              <w:spacing w:after="0" w:line="240" w:lineRule="auto"/>
              <w:rPr>
                <w:rFonts w:asciiTheme="minorHAnsi" w:hAnsiTheme="minorHAnsi"/>
                <w:sz w:val="16"/>
                <w:szCs w:val="16"/>
              </w:rPr>
            </w:pPr>
            <w:r>
              <w:rPr>
                <w:rFonts w:asciiTheme="minorHAnsi" w:hAnsiTheme="minorHAnsi"/>
                <w:sz w:val="16"/>
                <w:szCs w:val="16"/>
              </w:rPr>
              <w:t>The monitoring and reporting is good but due to cluster transition the function should be handed over from the UNICEF to NNC.</w:t>
            </w:r>
          </w:p>
          <w:p w:rsidR="004B72CA" w:rsidRDefault="004B72CA" w:rsidP="005D6E20">
            <w:pPr>
              <w:spacing w:after="0" w:line="240" w:lineRule="auto"/>
              <w:rPr>
                <w:rFonts w:asciiTheme="minorHAnsi" w:hAnsiTheme="minorHAnsi"/>
                <w:sz w:val="16"/>
                <w:szCs w:val="16"/>
              </w:rPr>
            </w:pPr>
          </w:p>
          <w:p w:rsidR="004B72CA" w:rsidRDefault="004B72CA" w:rsidP="005D6E20">
            <w:pPr>
              <w:spacing w:after="0" w:line="240" w:lineRule="auto"/>
              <w:rPr>
                <w:rFonts w:asciiTheme="minorHAnsi" w:hAnsiTheme="minorHAnsi"/>
                <w:sz w:val="16"/>
                <w:szCs w:val="16"/>
              </w:rPr>
            </w:pPr>
            <w:r>
              <w:rPr>
                <w:rFonts w:asciiTheme="minorHAnsi" w:hAnsiTheme="minorHAnsi"/>
                <w:sz w:val="16"/>
                <w:szCs w:val="16"/>
              </w:rPr>
              <w:t>Community templates were developed to complement municipality level reporting, however they were implemented in one region only. For their scale up more information on the process and their effectiveness is needed.</w:t>
            </w:r>
          </w:p>
          <w:p w:rsidR="004B72CA" w:rsidRDefault="004B72CA" w:rsidP="005D6E20">
            <w:pPr>
              <w:spacing w:after="0" w:line="240" w:lineRule="auto"/>
              <w:rPr>
                <w:rFonts w:asciiTheme="minorHAnsi" w:hAnsiTheme="minorHAnsi"/>
                <w:sz w:val="16"/>
                <w:szCs w:val="16"/>
              </w:rPr>
            </w:pPr>
          </w:p>
          <w:p w:rsidR="004B72CA" w:rsidRPr="00D0767D" w:rsidRDefault="004B72CA" w:rsidP="005D6E20">
            <w:pPr>
              <w:spacing w:after="0" w:line="240" w:lineRule="auto"/>
              <w:rPr>
                <w:rFonts w:asciiTheme="minorHAnsi" w:hAnsiTheme="minorHAnsi"/>
                <w:sz w:val="16"/>
                <w:szCs w:val="16"/>
              </w:rPr>
            </w:pPr>
            <w:r>
              <w:rPr>
                <w:rFonts w:asciiTheme="minorHAnsi" w:hAnsiTheme="minorHAnsi"/>
                <w:sz w:val="16"/>
                <w:szCs w:val="16"/>
              </w:rPr>
              <w:t>Lessons learned from Typhoon Yolanda response are not documented and not used for programming and decision making.</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4E38" w:rsidRDefault="004B72CA" w:rsidP="005D6E20">
            <w:pPr>
              <w:spacing w:after="0" w:line="240" w:lineRule="auto"/>
              <w:rPr>
                <w:rFonts w:asciiTheme="minorHAnsi" w:hAnsiTheme="minorHAnsi"/>
                <w:sz w:val="16"/>
                <w:szCs w:val="16"/>
              </w:rPr>
            </w:pPr>
            <w:r w:rsidRPr="00D04E38">
              <w:rPr>
                <w:rFonts w:asciiTheme="minorHAnsi" w:hAnsiTheme="minorHAnsi"/>
                <w:sz w:val="16"/>
                <w:szCs w:val="16"/>
              </w:rPr>
              <w:t>AWG to discuss with the health cluster and to include nutrition indicators to the HIS by the end of the year.</w:t>
            </w:r>
          </w:p>
          <w:p w:rsidR="004B72CA" w:rsidRPr="00D04E38" w:rsidRDefault="004B72CA" w:rsidP="005D6E20">
            <w:pPr>
              <w:spacing w:after="0" w:line="240" w:lineRule="auto"/>
              <w:rPr>
                <w:rFonts w:asciiTheme="minorHAnsi" w:hAnsiTheme="minorHAnsi"/>
                <w:sz w:val="16"/>
                <w:szCs w:val="16"/>
              </w:rPr>
            </w:pPr>
          </w:p>
          <w:p w:rsidR="004B72CA" w:rsidRPr="00D04E38" w:rsidRDefault="004B72CA" w:rsidP="005D6E20">
            <w:pPr>
              <w:spacing w:after="0" w:line="240" w:lineRule="auto"/>
              <w:rPr>
                <w:rFonts w:asciiTheme="minorHAnsi" w:hAnsiTheme="minorHAnsi"/>
                <w:sz w:val="16"/>
                <w:szCs w:val="16"/>
              </w:rPr>
            </w:pPr>
            <w:r w:rsidRPr="00D04E38">
              <w:rPr>
                <w:rFonts w:asciiTheme="minorHAnsi" w:hAnsiTheme="minorHAnsi"/>
                <w:sz w:val="16"/>
                <w:szCs w:val="16"/>
              </w:rPr>
              <w:t>Nutrition cluster to prepare a case study and lessons learned on the utilization of community-based reporting forms in order to document experience and use it for decision making on implementation in all other regions by the end of August. (By who and how – to discuss during next cluster meeting or bilaterally with UNICEF)</w:t>
            </w:r>
          </w:p>
          <w:p w:rsidR="004B72CA" w:rsidRPr="00D04E38" w:rsidRDefault="004B72CA" w:rsidP="005D6E20">
            <w:pPr>
              <w:spacing w:after="0" w:line="240" w:lineRule="auto"/>
              <w:rPr>
                <w:rFonts w:asciiTheme="minorHAnsi" w:hAnsiTheme="minorHAnsi"/>
                <w:sz w:val="16"/>
                <w:szCs w:val="16"/>
              </w:rPr>
            </w:pPr>
          </w:p>
          <w:p w:rsidR="004B72CA" w:rsidRPr="00D04E38" w:rsidRDefault="004B72CA" w:rsidP="005D6E20">
            <w:pPr>
              <w:spacing w:after="0" w:line="240" w:lineRule="auto"/>
              <w:rPr>
                <w:rFonts w:asciiTheme="minorHAnsi" w:hAnsiTheme="minorHAnsi"/>
                <w:sz w:val="16"/>
                <w:szCs w:val="16"/>
              </w:rPr>
            </w:pPr>
            <w:r w:rsidRPr="00D04E38">
              <w:rPr>
                <w:rFonts w:asciiTheme="minorHAnsi" w:hAnsiTheme="minorHAnsi"/>
                <w:sz w:val="16"/>
                <w:szCs w:val="16"/>
              </w:rPr>
              <w:t>Based on the case study AWG to review and discuss effectiveness of the community-based reporting calls and if approved, prepare a plan for their nation wide scale up (in this case to be scaled up by the end of the year) – by the end of October.</w:t>
            </w:r>
          </w:p>
          <w:p w:rsidR="004B72CA" w:rsidRPr="00D04E38" w:rsidRDefault="004B72CA" w:rsidP="005D6E20">
            <w:pPr>
              <w:spacing w:after="0" w:line="240" w:lineRule="auto"/>
              <w:rPr>
                <w:rFonts w:asciiTheme="minorHAnsi" w:hAnsiTheme="minorHAnsi"/>
                <w:sz w:val="16"/>
                <w:szCs w:val="16"/>
              </w:rPr>
            </w:pPr>
          </w:p>
          <w:p w:rsidR="004B72CA" w:rsidRPr="00D04E38" w:rsidRDefault="004B72CA" w:rsidP="005D6E20">
            <w:pPr>
              <w:spacing w:after="0" w:line="240" w:lineRule="auto"/>
              <w:rPr>
                <w:rFonts w:asciiTheme="minorHAnsi" w:hAnsiTheme="minorHAnsi"/>
                <w:sz w:val="16"/>
                <w:szCs w:val="16"/>
              </w:rPr>
            </w:pPr>
            <w:r w:rsidRPr="00D04E38">
              <w:rPr>
                <w:rFonts w:asciiTheme="minorHAnsi" w:hAnsiTheme="minorHAnsi"/>
                <w:sz w:val="16"/>
                <w:szCs w:val="16"/>
              </w:rPr>
              <w:t>NNC to attend all OPARR meetings and advocate for nutrition issues – starting ASAP.</w:t>
            </w:r>
          </w:p>
          <w:p w:rsidR="004B72CA" w:rsidRPr="00D04E38" w:rsidRDefault="004B72CA" w:rsidP="005D6E20">
            <w:pPr>
              <w:spacing w:after="0" w:line="240" w:lineRule="auto"/>
              <w:rPr>
                <w:rFonts w:asciiTheme="minorHAnsi" w:hAnsiTheme="minorHAnsi"/>
                <w:sz w:val="16"/>
                <w:szCs w:val="16"/>
              </w:rPr>
            </w:pPr>
          </w:p>
          <w:p w:rsidR="004B72CA" w:rsidRPr="00D04E38" w:rsidRDefault="004B72CA" w:rsidP="005D6E20">
            <w:pPr>
              <w:spacing w:after="0" w:line="240" w:lineRule="auto"/>
              <w:rPr>
                <w:rFonts w:asciiTheme="minorHAnsi" w:hAnsiTheme="minorHAnsi"/>
                <w:sz w:val="16"/>
                <w:szCs w:val="16"/>
              </w:rPr>
            </w:pPr>
            <w:r w:rsidRPr="00D04E38">
              <w:rPr>
                <w:rFonts w:asciiTheme="minorHAnsi" w:hAnsiTheme="minorHAnsi"/>
                <w:sz w:val="16"/>
                <w:szCs w:val="16"/>
              </w:rPr>
              <w:t>NC and WGs to identify technical NiE areas to conduct case studies and lessons learned and agree with partners on a plan for conducting tem – by August 2014.</w:t>
            </w:r>
          </w:p>
          <w:p w:rsidR="004B72CA" w:rsidRPr="00D04E38" w:rsidRDefault="004B72CA" w:rsidP="005D6E20">
            <w:pPr>
              <w:spacing w:after="0" w:line="240" w:lineRule="auto"/>
              <w:rPr>
                <w:rFonts w:asciiTheme="minorHAnsi" w:hAnsiTheme="minorHAnsi"/>
                <w:sz w:val="16"/>
                <w:szCs w:val="16"/>
              </w:rPr>
            </w:pPr>
          </w:p>
          <w:p w:rsidR="004B72CA" w:rsidRPr="00D04E38" w:rsidRDefault="004B72CA" w:rsidP="005D6E20">
            <w:pPr>
              <w:spacing w:after="0" w:line="240" w:lineRule="auto"/>
              <w:rPr>
                <w:rFonts w:asciiTheme="minorHAnsi" w:hAnsiTheme="minorHAnsi"/>
                <w:sz w:val="16"/>
                <w:szCs w:val="16"/>
              </w:rPr>
            </w:pPr>
            <w:r w:rsidRPr="00D04E38">
              <w:rPr>
                <w:rFonts w:asciiTheme="minorHAnsi" w:hAnsiTheme="minorHAnsi"/>
                <w:sz w:val="16"/>
                <w:szCs w:val="16"/>
              </w:rPr>
              <w:t xml:space="preserve">IYCF WG to share outputs of the 2-day workshop on IYCF-E response – July 2014. </w:t>
            </w:r>
          </w:p>
          <w:p w:rsidR="004B72CA" w:rsidRPr="00D04E38" w:rsidRDefault="004B72CA" w:rsidP="005D6E20">
            <w:pPr>
              <w:spacing w:after="0" w:line="240" w:lineRule="auto"/>
              <w:rPr>
                <w:rFonts w:asciiTheme="minorHAnsi" w:hAnsiTheme="minorHAnsi"/>
                <w:sz w:val="16"/>
                <w:szCs w:val="16"/>
              </w:rPr>
            </w:pPr>
          </w:p>
          <w:p w:rsidR="004B72CA" w:rsidRPr="00D0767D" w:rsidRDefault="004B72CA" w:rsidP="005D6E20">
            <w:pPr>
              <w:spacing w:after="0" w:line="240" w:lineRule="auto"/>
              <w:rPr>
                <w:rFonts w:asciiTheme="minorHAnsi" w:hAnsiTheme="minorHAnsi"/>
                <w:sz w:val="16"/>
                <w:szCs w:val="16"/>
              </w:rPr>
            </w:pPr>
            <w:r w:rsidRPr="00D04E38">
              <w:rPr>
                <w:rFonts w:asciiTheme="minorHAnsi" w:hAnsiTheme="minorHAnsi"/>
                <w:sz w:val="16"/>
                <w:szCs w:val="16"/>
              </w:rPr>
              <w:t>Regions VI and VIII to conduct Cluster Performance Monitoring discussions based on preliminary results of the survey – July 2014.</w:t>
            </w:r>
          </w:p>
        </w:tc>
      </w:tr>
      <w:tr w:rsidR="004B72CA" w:rsidRPr="00D0767D" w:rsidTr="004B72CA">
        <w:trPr>
          <w:trHeight w:val="262"/>
        </w:trPr>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b/>
                <w:color w:val="000000"/>
                <w:sz w:val="16"/>
                <w:szCs w:val="16"/>
              </w:rPr>
              <w:lastRenderedPageBreak/>
              <w:t>6. Contingency planning/preparedness</w:t>
            </w:r>
          </w:p>
        </w:tc>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c>
          <w:tcPr>
            <w:tcW w:w="0" w:type="auto"/>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r>
      <w:tr w:rsidR="004B72CA" w:rsidRPr="00D0767D" w:rsidTr="004B72CA">
        <w:trPr>
          <w:trHeight w:val="262"/>
        </w:trPr>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color w:val="000000"/>
                <w:sz w:val="16"/>
                <w:szCs w:val="16"/>
              </w:rPr>
              <w:t>Contingency planning/preparedness for recurrent disasters whenever feasible and relevant.</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i/>
                <w:color w:val="000000"/>
                <w:sz w:val="16"/>
                <w:szCs w:val="16"/>
              </w:rPr>
              <w:t xml:space="preserve">National contingency plans identified and share; risk assessment and analysis carried out, </w:t>
            </w:r>
            <w:proofErr w:type="spellStart"/>
            <w:r w:rsidRPr="00D0767D">
              <w:rPr>
                <w:rFonts w:asciiTheme="minorHAnsi" w:eastAsia="Tahoma" w:hAnsiTheme="minorHAnsi"/>
                <w:i/>
                <w:color w:val="000000"/>
                <w:sz w:val="16"/>
                <w:szCs w:val="16"/>
              </w:rPr>
              <w:t>multisectoral</w:t>
            </w:r>
            <w:proofErr w:type="spellEnd"/>
            <w:r w:rsidRPr="00D0767D">
              <w:rPr>
                <w:rFonts w:asciiTheme="minorHAnsi" w:eastAsia="Tahoma" w:hAnsiTheme="minorHAnsi"/>
                <w:i/>
                <w:color w:val="000000"/>
                <w:sz w:val="16"/>
                <w:szCs w:val="16"/>
              </w:rPr>
              <w:t xml:space="preserve"> where appropriate; readiness status enhanced; regular distribution of early warning reports.</w:t>
            </w:r>
          </w:p>
        </w:tc>
        <w:tc>
          <w:tcPr>
            <w:tcW w:w="0" w:type="auto"/>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tcPr>
          <w:p w:rsidR="004B72CA" w:rsidRPr="00D0767D" w:rsidRDefault="004B72CA" w:rsidP="005D6E20">
            <w:pPr>
              <w:spacing w:after="0" w:line="240" w:lineRule="auto"/>
              <w:jc w:val="center"/>
              <w:rPr>
                <w:rFonts w:asciiTheme="minorHAnsi" w:hAnsiTheme="minorHAnsi"/>
                <w:sz w:val="16"/>
                <w:szCs w:val="16"/>
              </w:rPr>
            </w:pPr>
            <w:r w:rsidRPr="00D0767D">
              <w:rPr>
                <w:rFonts w:asciiTheme="minorHAnsi" w:eastAsia="Tahoma" w:hAnsiTheme="minorHAnsi"/>
                <w:color w:val="000000"/>
                <w:sz w:val="16"/>
                <w:szCs w:val="16"/>
              </w:rPr>
              <w:t>Good</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Default="004B72CA" w:rsidP="005D6E20">
            <w:pPr>
              <w:spacing w:after="0" w:line="240" w:lineRule="auto"/>
              <w:rPr>
                <w:rFonts w:asciiTheme="minorHAnsi" w:hAnsiTheme="minorHAnsi"/>
                <w:sz w:val="16"/>
                <w:szCs w:val="16"/>
              </w:rPr>
            </w:pPr>
            <w:r>
              <w:rPr>
                <w:rFonts w:asciiTheme="minorHAnsi" w:hAnsiTheme="minorHAnsi"/>
                <w:sz w:val="16"/>
                <w:szCs w:val="16"/>
              </w:rPr>
              <w:t>Several preparedness plans exists however they are outdated and are in need of urgent review.</w:t>
            </w:r>
          </w:p>
          <w:p w:rsidR="004B72CA" w:rsidRDefault="004B72CA" w:rsidP="005D6E20">
            <w:pPr>
              <w:spacing w:after="0" w:line="240" w:lineRule="auto"/>
              <w:rPr>
                <w:rFonts w:asciiTheme="minorHAnsi" w:hAnsiTheme="minorHAnsi"/>
                <w:sz w:val="16"/>
                <w:szCs w:val="16"/>
              </w:rPr>
            </w:pPr>
          </w:p>
          <w:p w:rsidR="004B72CA" w:rsidRDefault="004B72CA" w:rsidP="005D6E20">
            <w:pPr>
              <w:spacing w:after="0" w:line="240" w:lineRule="auto"/>
              <w:rPr>
                <w:rFonts w:asciiTheme="minorHAnsi" w:hAnsiTheme="minorHAnsi"/>
                <w:sz w:val="16"/>
                <w:szCs w:val="16"/>
              </w:rPr>
            </w:pPr>
            <w:r>
              <w:rPr>
                <w:rFonts w:asciiTheme="minorHAnsi" w:hAnsiTheme="minorHAnsi"/>
                <w:sz w:val="16"/>
                <w:szCs w:val="16"/>
              </w:rPr>
              <w:t>HR capacity is week at national and sub-national levels.</w:t>
            </w:r>
          </w:p>
          <w:p w:rsidR="004B72CA" w:rsidRDefault="004B72CA" w:rsidP="005D6E20">
            <w:pPr>
              <w:spacing w:after="0" w:line="240" w:lineRule="auto"/>
              <w:rPr>
                <w:rFonts w:asciiTheme="minorHAnsi" w:hAnsiTheme="minorHAnsi"/>
                <w:sz w:val="16"/>
                <w:szCs w:val="16"/>
              </w:rPr>
            </w:pPr>
          </w:p>
          <w:p w:rsidR="004B72CA" w:rsidRPr="00D0767D" w:rsidRDefault="004B72CA" w:rsidP="005D6E20">
            <w:pPr>
              <w:spacing w:after="0" w:line="240" w:lineRule="auto"/>
              <w:rPr>
                <w:rFonts w:asciiTheme="minorHAnsi" w:hAnsiTheme="minorHAnsi"/>
                <w:sz w:val="16"/>
                <w:szCs w:val="16"/>
              </w:rPr>
            </w:pPr>
            <w:r>
              <w:rPr>
                <w:rFonts w:asciiTheme="minorHAnsi" w:hAnsiTheme="minorHAnsi"/>
                <w:sz w:val="16"/>
                <w:szCs w:val="16"/>
              </w:rPr>
              <w:t>Early warning systems needs scale up.</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C16CE2" w:rsidRDefault="004B72CA" w:rsidP="005D6E20">
            <w:pPr>
              <w:spacing w:after="0" w:line="240" w:lineRule="auto"/>
              <w:rPr>
                <w:rFonts w:asciiTheme="minorHAnsi" w:hAnsiTheme="minorHAnsi"/>
                <w:sz w:val="16"/>
                <w:szCs w:val="16"/>
              </w:rPr>
            </w:pPr>
            <w:r w:rsidRPr="00C16CE2">
              <w:rPr>
                <w:rFonts w:asciiTheme="minorHAnsi" w:hAnsiTheme="minorHAnsi"/>
                <w:sz w:val="16"/>
                <w:szCs w:val="16"/>
              </w:rPr>
              <w:t xml:space="preserve">National Cluster to establish capacity development for preparedness working group including preparation of </w:t>
            </w:r>
            <w:proofErr w:type="spellStart"/>
            <w:r w:rsidRPr="00C16CE2">
              <w:rPr>
                <w:rFonts w:asciiTheme="minorHAnsi" w:hAnsiTheme="minorHAnsi"/>
                <w:sz w:val="16"/>
                <w:szCs w:val="16"/>
              </w:rPr>
              <w:t>ToR</w:t>
            </w:r>
            <w:proofErr w:type="spellEnd"/>
            <w:r w:rsidRPr="00C16CE2">
              <w:rPr>
                <w:rFonts w:asciiTheme="minorHAnsi" w:hAnsiTheme="minorHAnsi"/>
                <w:sz w:val="16"/>
                <w:szCs w:val="16"/>
              </w:rPr>
              <w:t xml:space="preserve"> and appointment of members by August 2014. </w:t>
            </w:r>
          </w:p>
          <w:p w:rsidR="004B72CA" w:rsidRPr="00C16CE2" w:rsidRDefault="004B72CA" w:rsidP="005D6E20">
            <w:pPr>
              <w:spacing w:after="0" w:line="240" w:lineRule="auto"/>
              <w:rPr>
                <w:rFonts w:asciiTheme="minorHAnsi" w:hAnsiTheme="minorHAnsi"/>
                <w:sz w:val="16"/>
                <w:szCs w:val="16"/>
              </w:rPr>
            </w:pPr>
          </w:p>
          <w:p w:rsidR="004B72CA" w:rsidRPr="00C16CE2" w:rsidRDefault="004B72CA" w:rsidP="005D6E20">
            <w:pPr>
              <w:spacing w:after="0" w:line="240" w:lineRule="auto"/>
              <w:rPr>
                <w:rFonts w:asciiTheme="minorHAnsi" w:hAnsiTheme="minorHAnsi"/>
                <w:sz w:val="16"/>
                <w:szCs w:val="16"/>
              </w:rPr>
            </w:pPr>
            <w:r w:rsidRPr="00C16CE2">
              <w:rPr>
                <w:rFonts w:asciiTheme="minorHAnsi" w:hAnsiTheme="minorHAnsi"/>
                <w:sz w:val="16"/>
                <w:szCs w:val="16"/>
              </w:rPr>
              <w:t>Capacity development for preparedness working group (to be formed) to develop capacity development plan focusing on NiE, Cluster Coordination and information management trainings by October 2014.</w:t>
            </w:r>
          </w:p>
          <w:p w:rsidR="004B72CA" w:rsidRPr="00C16CE2" w:rsidRDefault="004B72CA" w:rsidP="005D6E20">
            <w:pPr>
              <w:spacing w:after="0" w:line="240" w:lineRule="auto"/>
              <w:rPr>
                <w:rFonts w:asciiTheme="minorHAnsi" w:hAnsiTheme="minorHAnsi"/>
                <w:sz w:val="16"/>
                <w:szCs w:val="16"/>
              </w:rPr>
            </w:pPr>
          </w:p>
          <w:p w:rsidR="004B72CA" w:rsidRPr="00C16CE2" w:rsidRDefault="004B72CA" w:rsidP="005D6E20">
            <w:pPr>
              <w:spacing w:after="0" w:line="240" w:lineRule="auto"/>
              <w:rPr>
                <w:rFonts w:asciiTheme="minorHAnsi" w:hAnsiTheme="minorHAnsi"/>
                <w:sz w:val="16"/>
                <w:szCs w:val="16"/>
              </w:rPr>
            </w:pPr>
            <w:r w:rsidRPr="00C16CE2">
              <w:rPr>
                <w:rFonts w:asciiTheme="minorHAnsi" w:hAnsiTheme="minorHAnsi"/>
                <w:sz w:val="16"/>
                <w:szCs w:val="16"/>
              </w:rPr>
              <w:t>UNICEF, FAO, WFP, NNC to report to the cluster on the plan and its progress on expansion of EWS – starting ASAP.</w:t>
            </w:r>
          </w:p>
          <w:p w:rsidR="004B72CA" w:rsidRPr="00C16CE2" w:rsidRDefault="004B72CA" w:rsidP="005D6E20">
            <w:pPr>
              <w:spacing w:after="0" w:line="240" w:lineRule="auto"/>
              <w:rPr>
                <w:rFonts w:asciiTheme="minorHAnsi" w:hAnsiTheme="minorHAnsi"/>
                <w:sz w:val="16"/>
                <w:szCs w:val="16"/>
              </w:rPr>
            </w:pPr>
          </w:p>
          <w:p w:rsidR="004B72CA" w:rsidRPr="00C16CE2" w:rsidRDefault="004B72CA" w:rsidP="005D6E20">
            <w:pPr>
              <w:spacing w:after="0" w:line="240" w:lineRule="auto"/>
              <w:rPr>
                <w:rFonts w:asciiTheme="minorHAnsi" w:hAnsiTheme="minorHAnsi"/>
                <w:sz w:val="16"/>
                <w:szCs w:val="16"/>
              </w:rPr>
            </w:pPr>
            <w:r w:rsidRPr="00C16CE2">
              <w:rPr>
                <w:rFonts w:asciiTheme="minorHAnsi" w:hAnsiTheme="minorHAnsi"/>
                <w:sz w:val="16"/>
                <w:szCs w:val="16"/>
              </w:rPr>
              <w:t>UNICEF to facilitate documentation of lessons learned on Cluster Coordination Yolanda response and reflect lessons learned on the preparedness and contingency action plans.</w:t>
            </w:r>
          </w:p>
          <w:p w:rsidR="004B72CA" w:rsidRPr="00C16CE2" w:rsidRDefault="004B72CA" w:rsidP="005D6E20">
            <w:pPr>
              <w:spacing w:after="0" w:line="240" w:lineRule="auto"/>
              <w:rPr>
                <w:rFonts w:asciiTheme="minorHAnsi" w:hAnsiTheme="minorHAnsi"/>
                <w:sz w:val="16"/>
                <w:szCs w:val="16"/>
              </w:rPr>
            </w:pPr>
          </w:p>
          <w:p w:rsidR="004B72CA" w:rsidRPr="00C16CE2" w:rsidRDefault="004B72CA" w:rsidP="005D6E20">
            <w:pPr>
              <w:spacing w:after="0" w:line="240" w:lineRule="auto"/>
              <w:rPr>
                <w:rFonts w:asciiTheme="minorHAnsi" w:hAnsiTheme="minorHAnsi"/>
                <w:sz w:val="16"/>
                <w:szCs w:val="16"/>
                <w:lang w:val="en-PH"/>
              </w:rPr>
            </w:pPr>
            <w:r w:rsidRPr="00C16CE2">
              <w:rPr>
                <w:rFonts w:asciiTheme="minorHAnsi" w:hAnsiTheme="minorHAnsi"/>
                <w:sz w:val="16"/>
                <w:szCs w:val="16"/>
              </w:rPr>
              <w:t>External consultant with NPPD in consultation with DOH-HEMS, NNC governing board and regional focal points to review 2007 preparedness plan for DOH-HEMs; MSP; regional contingency plans; PPAN as pre-disaster preparedness plan and to draft a preparedn</w:t>
            </w:r>
            <w:r>
              <w:rPr>
                <w:rFonts w:asciiTheme="minorHAnsi" w:hAnsiTheme="minorHAnsi"/>
                <w:sz w:val="16"/>
                <w:szCs w:val="16"/>
              </w:rPr>
              <w:t>ess plan – by end October 2014.</w:t>
            </w:r>
          </w:p>
        </w:tc>
      </w:tr>
      <w:tr w:rsidR="004B72CA" w:rsidRPr="00D0767D" w:rsidTr="00AB732B">
        <w:trPr>
          <w:trHeight w:val="262"/>
        </w:trPr>
        <w:tc>
          <w:tcPr>
            <w:tcW w:w="0" w:type="auto"/>
            <w:gridSpan w:val="5"/>
            <w:tcBorders>
              <w:top w:val="single" w:sz="7" w:space="0" w:color="D3D3D3"/>
              <w:left w:val="single" w:sz="7" w:space="0" w:color="D3D3D3"/>
              <w:bottom w:val="single" w:sz="7" w:space="0" w:color="D3D3D3"/>
              <w:right w:val="single" w:sz="7" w:space="0" w:color="D3D3D3"/>
            </w:tcBorders>
            <w:shd w:val="clear" w:color="auto" w:fill="B0C4DE"/>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b/>
                <w:color w:val="000000"/>
                <w:sz w:val="16"/>
                <w:szCs w:val="16"/>
              </w:rPr>
              <w:t>7. Accountability to affected population</w:t>
            </w:r>
          </w:p>
        </w:tc>
      </w:tr>
      <w:tr w:rsidR="004B72CA" w:rsidRPr="00D0767D" w:rsidTr="004B72CA">
        <w:trPr>
          <w:trHeight w:val="262"/>
        </w:trPr>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Pr="00D0767D" w:rsidRDefault="004B72CA" w:rsidP="005D6E20">
            <w:pPr>
              <w:spacing w:after="0" w:line="240" w:lineRule="auto"/>
              <w:rPr>
                <w:rFonts w:asciiTheme="minorHAnsi" w:hAnsiTheme="minorHAnsi"/>
                <w:sz w:val="16"/>
                <w:szCs w:val="16"/>
              </w:rPr>
            </w:pPr>
            <w:r w:rsidRPr="00D0767D">
              <w:rPr>
                <w:rFonts w:asciiTheme="minorHAnsi" w:eastAsia="Tahoma" w:hAnsiTheme="minorHAnsi"/>
                <w:i/>
                <w:color w:val="000000"/>
                <w:sz w:val="16"/>
                <w:szCs w:val="16"/>
              </w:rPr>
              <w:t xml:space="preserve">Disaster-affected people conduct or actively participate in regular meetings on how to </w:t>
            </w:r>
            <w:proofErr w:type="spellStart"/>
            <w:r w:rsidRPr="00D0767D">
              <w:rPr>
                <w:rFonts w:asciiTheme="minorHAnsi" w:eastAsia="Tahoma" w:hAnsiTheme="minorHAnsi"/>
                <w:i/>
                <w:color w:val="000000"/>
                <w:sz w:val="16"/>
                <w:szCs w:val="16"/>
              </w:rPr>
              <w:t>organise</w:t>
            </w:r>
            <w:proofErr w:type="spellEnd"/>
            <w:r w:rsidRPr="00D0767D">
              <w:rPr>
                <w:rFonts w:asciiTheme="minorHAnsi" w:eastAsia="Tahoma" w:hAnsiTheme="minorHAnsi"/>
                <w:i/>
                <w:color w:val="000000"/>
                <w:sz w:val="16"/>
                <w:szCs w:val="16"/>
              </w:rPr>
              <w:t xml:space="preserve"> and implement the response; agencies have investigated and, as appropriate, acted upon feedback received about the assistance provided</w:t>
            </w:r>
          </w:p>
        </w:tc>
        <w:tc>
          <w:tcPr>
            <w:tcW w:w="0" w:type="auto"/>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tcPr>
          <w:p w:rsidR="004B72CA" w:rsidRPr="00D0767D" w:rsidRDefault="004B72CA" w:rsidP="005D6E20">
            <w:pPr>
              <w:spacing w:after="0" w:line="240" w:lineRule="auto"/>
              <w:jc w:val="center"/>
              <w:rPr>
                <w:rFonts w:asciiTheme="minorHAnsi" w:hAnsiTheme="minorHAnsi"/>
                <w:sz w:val="16"/>
                <w:szCs w:val="16"/>
              </w:rPr>
            </w:pPr>
            <w:r w:rsidRPr="00D0767D">
              <w:rPr>
                <w:rFonts w:asciiTheme="minorHAnsi" w:eastAsia="Tahoma" w:hAnsiTheme="minorHAnsi"/>
                <w:color w:val="000000"/>
                <w:sz w:val="16"/>
                <w:szCs w:val="16"/>
              </w:rPr>
              <w:t>Satisfactory</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Default="004B72CA" w:rsidP="005D6E20">
            <w:pPr>
              <w:spacing w:after="0" w:line="240" w:lineRule="auto"/>
              <w:rPr>
                <w:rFonts w:asciiTheme="minorHAnsi" w:hAnsiTheme="minorHAnsi"/>
                <w:sz w:val="16"/>
                <w:szCs w:val="16"/>
              </w:rPr>
            </w:pPr>
            <w:r>
              <w:rPr>
                <w:rFonts w:asciiTheme="minorHAnsi" w:hAnsiTheme="minorHAnsi"/>
                <w:sz w:val="16"/>
                <w:szCs w:val="16"/>
              </w:rPr>
              <w:t xml:space="preserve">Some partners incorporate accountability to affected population in their programming. </w:t>
            </w:r>
          </w:p>
          <w:p w:rsidR="004B72CA" w:rsidRDefault="004B72CA" w:rsidP="005D6E20">
            <w:pPr>
              <w:spacing w:after="0" w:line="240" w:lineRule="auto"/>
              <w:rPr>
                <w:rFonts w:asciiTheme="minorHAnsi" w:hAnsiTheme="minorHAnsi"/>
                <w:sz w:val="16"/>
                <w:szCs w:val="16"/>
              </w:rPr>
            </w:pPr>
          </w:p>
          <w:p w:rsidR="004B72CA" w:rsidRDefault="004B72CA" w:rsidP="005D6E20">
            <w:pPr>
              <w:spacing w:after="0" w:line="240" w:lineRule="auto"/>
              <w:rPr>
                <w:rFonts w:asciiTheme="minorHAnsi" w:hAnsiTheme="minorHAnsi"/>
                <w:sz w:val="16"/>
                <w:szCs w:val="16"/>
              </w:rPr>
            </w:pPr>
            <w:r w:rsidRPr="00A81E4D">
              <w:rPr>
                <w:rFonts w:asciiTheme="minorHAnsi" w:hAnsiTheme="minorHAnsi"/>
                <w:sz w:val="16"/>
                <w:szCs w:val="16"/>
              </w:rPr>
              <w:t xml:space="preserve">There was a brief introduction to AAP but it was very briefly done </w:t>
            </w:r>
            <w:r>
              <w:rPr>
                <w:rFonts w:asciiTheme="minorHAnsi" w:hAnsiTheme="minorHAnsi"/>
                <w:sz w:val="16"/>
                <w:szCs w:val="16"/>
              </w:rPr>
              <w:t>and</w:t>
            </w:r>
            <w:r w:rsidRPr="00A81E4D">
              <w:rPr>
                <w:rFonts w:asciiTheme="minorHAnsi" w:hAnsiTheme="minorHAnsi"/>
                <w:sz w:val="16"/>
                <w:szCs w:val="16"/>
              </w:rPr>
              <w:t xml:space="preserve"> wasn’t followed up in terms of how to actually implement it, or what AAP mechanisms exist. </w:t>
            </w:r>
          </w:p>
          <w:p w:rsidR="004B72CA" w:rsidRPr="00A81E4D" w:rsidRDefault="004B72CA" w:rsidP="005D6E20">
            <w:pPr>
              <w:spacing w:after="0" w:line="240" w:lineRule="auto"/>
              <w:rPr>
                <w:rFonts w:asciiTheme="minorHAnsi" w:hAnsiTheme="minorHAnsi"/>
                <w:sz w:val="16"/>
                <w:szCs w:val="16"/>
              </w:rPr>
            </w:pPr>
          </w:p>
          <w:p w:rsidR="004B72CA" w:rsidRDefault="004B72CA" w:rsidP="005D6E20">
            <w:pPr>
              <w:spacing w:after="0" w:line="240" w:lineRule="auto"/>
              <w:rPr>
                <w:rFonts w:asciiTheme="minorHAnsi" w:hAnsiTheme="minorHAnsi"/>
                <w:sz w:val="16"/>
                <w:szCs w:val="16"/>
              </w:rPr>
            </w:pPr>
            <w:r w:rsidRPr="00A81E4D">
              <w:rPr>
                <w:rFonts w:asciiTheme="minorHAnsi" w:hAnsiTheme="minorHAnsi"/>
                <w:sz w:val="16"/>
                <w:szCs w:val="16"/>
              </w:rPr>
              <w:t xml:space="preserve">Feedback mechanisms do exist in most organizations but it is not necessarily contextualized, and the mechanisms supported. </w:t>
            </w:r>
          </w:p>
          <w:p w:rsidR="004B72CA" w:rsidRPr="00A81E4D" w:rsidRDefault="004B72CA" w:rsidP="005D6E20">
            <w:pPr>
              <w:spacing w:after="0" w:line="240" w:lineRule="auto"/>
              <w:rPr>
                <w:rFonts w:asciiTheme="minorHAnsi" w:hAnsiTheme="minorHAnsi"/>
                <w:sz w:val="16"/>
                <w:szCs w:val="16"/>
              </w:rPr>
            </w:pPr>
          </w:p>
          <w:p w:rsidR="004B72CA" w:rsidRPr="00A81E4D" w:rsidRDefault="004B72CA" w:rsidP="005D6E20">
            <w:pPr>
              <w:spacing w:after="0" w:line="240" w:lineRule="auto"/>
              <w:rPr>
                <w:rFonts w:asciiTheme="minorHAnsi" w:hAnsiTheme="minorHAnsi"/>
                <w:sz w:val="16"/>
                <w:szCs w:val="16"/>
              </w:rPr>
            </w:pPr>
            <w:r w:rsidRPr="00A81E4D">
              <w:rPr>
                <w:rFonts w:asciiTheme="minorHAnsi" w:hAnsiTheme="minorHAnsi"/>
                <w:sz w:val="16"/>
                <w:szCs w:val="16"/>
              </w:rPr>
              <w:t xml:space="preserve">No consultation with communities about need for breastfeeding </w:t>
            </w:r>
            <w:proofErr w:type="spellStart"/>
            <w:r w:rsidRPr="00A81E4D">
              <w:rPr>
                <w:rFonts w:asciiTheme="minorHAnsi" w:hAnsiTheme="minorHAnsi"/>
                <w:sz w:val="16"/>
                <w:szCs w:val="16"/>
              </w:rPr>
              <w:t>centres</w:t>
            </w:r>
            <w:proofErr w:type="spellEnd"/>
            <w:r w:rsidRPr="00A81E4D">
              <w:rPr>
                <w:rFonts w:asciiTheme="minorHAnsi" w:hAnsiTheme="minorHAnsi"/>
                <w:sz w:val="16"/>
                <w:szCs w:val="16"/>
              </w:rPr>
              <w:t xml:space="preserve">, no communication of where to put it, </w:t>
            </w:r>
            <w:proofErr w:type="gramStart"/>
            <w:r w:rsidRPr="00A81E4D">
              <w:rPr>
                <w:rFonts w:asciiTheme="minorHAnsi" w:hAnsiTheme="minorHAnsi"/>
                <w:sz w:val="16"/>
                <w:szCs w:val="16"/>
              </w:rPr>
              <w:t>or  -</w:t>
            </w:r>
            <w:proofErr w:type="gramEnd"/>
            <w:r w:rsidRPr="00A81E4D">
              <w:rPr>
                <w:rFonts w:asciiTheme="minorHAnsi" w:hAnsiTheme="minorHAnsi"/>
                <w:sz w:val="16"/>
                <w:szCs w:val="16"/>
              </w:rPr>
              <w:t xml:space="preserve"> child friendly spaces appropriateness.  </w:t>
            </w:r>
          </w:p>
          <w:p w:rsidR="004B72CA" w:rsidRPr="00A81E4D" w:rsidRDefault="004B72CA" w:rsidP="005D6E20">
            <w:pPr>
              <w:spacing w:after="0" w:line="240" w:lineRule="auto"/>
              <w:rPr>
                <w:rFonts w:asciiTheme="minorHAnsi" w:hAnsiTheme="minorHAnsi"/>
                <w:sz w:val="16"/>
                <w:szCs w:val="16"/>
              </w:rPr>
            </w:pPr>
            <w:r w:rsidRPr="00A81E4D">
              <w:rPr>
                <w:rFonts w:asciiTheme="minorHAnsi" w:hAnsiTheme="minorHAnsi"/>
                <w:sz w:val="16"/>
                <w:szCs w:val="16"/>
              </w:rPr>
              <w:t>Need opportunities to integrate nutrition into the onset – through others.</w:t>
            </w:r>
            <w:r>
              <w:rPr>
                <w:rFonts w:asciiTheme="minorHAnsi" w:hAnsiTheme="minorHAnsi"/>
                <w:sz w:val="16"/>
                <w:szCs w:val="16"/>
              </w:rPr>
              <w:t xml:space="preserve"> </w:t>
            </w:r>
            <w:r w:rsidRPr="00A81E4D">
              <w:rPr>
                <w:rFonts w:asciiTheme="minorHAnsi" w:hAnsiTheme="minorHAnsi"/>
                <w:sz w:val="16"/>
                <w:szCs w:val="16"/>
              </w:rPr>
              <w:t>Focus Group Discussion occurring but ad hoc</w:t>
            </w:r>
            <w:r>
              <w:rPr>
                <w:rFonts w:asciiTheme="minorHAnsi" w:hAnsiTheme="minorHAnsi"/>
                <w:sz w:val="16"/>
                <w:szCs w:val="16"/>
              </w:rPr>
              <w:t>.</w:t>
            </w:r>
          </w:p>
          <w:p w:rsidR="004B72CA" w:rsidRPr="00A81E4D" w:rsidRDefault="004B72CA" w:rsidP="005D6E20">
            <w:pPr>
              <w:spacing w:after="0" w:line="240" w:lineRule="auto"/>
              <w:rPr>
                <w:rFonts w:asciiTheme="minorHAnsi" w:hAnsiTheme="minorHAnsi"/>
                <w:sz w:val="16"/>
                <w:szCs w:val="16"/>
              </w:rPr>
            </w:pPr>
          </w:p>
          <w:p w:rsidR="004B72CA" w:rsidRPr="00D0767D" w:rsidRDefault="004B72CA" w:rsidP="004B72CA">
            <w:pPr>
              <w:spacing w:after="0" w:line="240" w:lineRule="auto"/>
              <w:rPr>
                <w:rFonts w:asciiTheme="minorHAnsi" w:hAnsiTheme="minorHAnsi"/>
                <w:sz w:val="16"/>
                <w:szCs w:val="16"/>
              </w:rPr>
            </w:pPr>
            <w:r w:rsidRPr="00A81E4D">
              <w:rPr>
                <w:rFonts w:asciiTheme="minorHAnsi" w:hAnsiTheme="minorHAnsi"/>
                <w:sz w:val="16"/>
                <w:szCs w:val="16"/>
              </w:rPr>
              <w:t xml:space="preserve">Capacity building with local partners </w:t>
            </w:r>
            <w:r>
              <w:rPr>
                <w:rFonts w:asciiTheme="minorHAnsi" w:hAnsiTheme="minorHAnsi"/>
                <w:sz w:val="16"/>
                <w:szCs w:val="16"/>
              </w:rPr>
              <w:t>should be done</w:t>
            </w:r>
            <w:r w:rsidRPr="00A81E4D">
              <w:rPr>
                <w:rFonts w:asciiTheme="minorHAnsi" w:hAnsiTheme="minorHAnsi"/>
                <w:sz w:val="16"/>
                <w:szCs w:val="16"/>
              </w:rPr>
              <w:t xml:space="preserve"> before the emergency.  </w:t>
            </w:r>
          </w:p>
        </w:tc>
        <w:tc>
          <w:tcPr>
            <w:tcW w:w="0" w:type="auto"/>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4B72CA" w:rsidRDefault="004B72CA" w:rsidP="005D6E20">
            <w:pPr>
              <w:spacing w:after="0" w:line="240" w:lineRule="auto"/>
              <w:rPr>
                <w:rFonts w:asciiTheme="minorHAnsi" w:hAnsiTheme="minorHAnsi"/>
                <w:sz w:val="16"/>
                <w:szCs w:val="16"/>
                <w:lang w:val="en-PH"/>
              </w:rPr>
            </w:pPr>
            <w:r w:rsidRPr="00C16CE2">
              <w:rPr>
                <w:rFonts w:asciiTheme="minorHAnsi" w:hAnsiTheme="minorHAnsi"/>
                <w:sz w:val="16"/>
                <w:szCs w:val="16"/>
                <w:lang w:val="en-PH"/>
              </w:rPr>
              <w:t>Nutrition Cluster in consultation with OCHA to tailor generic accountability to affected population toolkit to Nutrition response – by September 2014.</w:t>
            </w:r>
          </w:p>
          <w:p w:rsidR="004B72CA" w:rsidRDefault="004B72CA" w:rsidP="005D6E20">
            <w:pPr>
              <w:spacing w:after="0" w:line="240" w:lineRule="auto"/>
              <w:rPr>
                <w:rFonts w:asciiTheme="minorHAnsi" w:hAnsiTheme="minorHAnsi"/>
                <w:sz w:val="16"/>
                <w:szCs w:val="16"/>
                <w:lang w:val="en-PH"/>
              </w:rPr>
            </w:pPr>
          </w:p>
          <w:p w:rsidR="004B72CA" w:rsidRPr="00C16CE2" w:rsidRDefault="004B72CA" w:rsidP="005D6E20">
            <w:pPr>
              <w:spacing w:after="0" w:line="240" w:lineRule="auto"/>
              <w:rPr>
                <w:rFonts w:asciiTheme="minorHAnsi" w:hAnsiTheme="minorHAnsi"/>
                <w:sz w:val="16"/>
                <w:szCs w:val="16"/>
                <w:lang w:val="en-PH"/>
              </w:rPr>
            </w:pPr>
            <w:r>
              <w:rPr>
                <w:rFonts w:asciiTheme="minorHAnsi" w:hAnsiTheme="minorHAnsi"/>
                <w:sz w:val="16"/>
                <w:szCs w:val="16"/>
                <w:lang w:val="en-PH"/>
              </w:rPr>
              <w:t>Include capacity building in AAP in the capacity development plan (see function 6).</w:t>
            </w:r>
            <w:r w:rsidRPr="003F1E5C">
              <w:rPr>
                <w:rFonts w:asciiTheme="minorHAnsi" w:hAnsiTheme="minorHAnsi"/>
                <w:sz w:val="16"/>
                <w:szCs w:val="16"/>
                <w:lang w:val="en-PH"/>
              </w:rPr>
              <w:t xml:space="preserve"> </w:t>
            </w:r>
          </w:p>
        </w:tc>
      </w:tr>
    </w:tbl>
    <w:p w:rsidR="00B964E0" w:rsidRPr="00B964E0" w:rsidRDefault="00B964E0" w:rsidP="004B72CA">
      <w:pPr>
        <w:rPr>
          <w:sz w:val="24"/>
          <w:szCs w:val="24"/>
        </w:rPr>
      </w:pPr>
    </w:p>
    <w:sectPr w:rsidR="00B964E0" w:rsidRPr="00B964E0" w:rsidSect="004B72CA">
      <w:pgSz w:w="16838" w:h="11906" w:orient="landscape"/>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F65A94"/>
    <w:multiLevelType w:val="hybridMultilevel"/>
    <w:tmpl w:val="46CE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CA"/>
    <w:rsid w:val="003E28BC"/>
    <w:rsid w:val="004B72CA"/>
    <w:rsid w:val="006D12D6"/>
    <w:rsid w:val="00967A20"/>
    <w:rsid w:val="00A256B5"/>
    <w:rsid w:val="00B96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3E960-4433-4AC5-A381-1DC45926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CA"/>
    <w:pPr>
      <w:spacing w:after="160" w:line="259"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72CA"/>
    <w:pPr>
      <w:spacing w:after="0" w:line="240" w:lineRule="auto"/>
    </w:pPr>
    <w:rPr>
      <w:lang w:val="en-PH"/>
    </w:rPr>
  </w:style>
  <w:style w:type="paragraph" w:styleId="ListParagraph">
    <w:name w:val="List Paragraph"/>
    <w:basedOn w:val="Normal"/>
    <w:uiPriority w:val="34"/>
    <w:qFormat/>
    <w:rsid w:val="004B72CA"/>
    <w:pPr>
      <w:spacing w:after="200" w:line="276" w:lineRule="auto"/>
      <w:ind w:left="720"/>
      <w:contextualSpacing/>
    </w:pPr>
    <w:rPr>
      <w:rFonts w:asciiTheme="minorHAnsi" w:eastAsiaTheme="minorHAnsi" w:hAnsiTheme="minorHAnsi" w:cstheme="minorBidi"/>
      <w:sz w:val="22"/>
      <w:szCs w:val="22"/>
      <w:lang w:val="en-GB"/>
    </w:rPr>
  </w:style>
  <w:style w:type="paragraph" w:styleId="BalloonText">
    <w:name w:val="Balloon Text"/>
    <w:basedOn w:val="Normal"/>
    <w:link w:val="BalloonTextChar"/>
    <w:uiPriority w:val="99"/>
    <w:semiHidden/>
    <w:unhideWhenUsed/>
    <w:rsid w:val="004B7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C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Ziolkovska; Ayadil Saparbekov</dc:creator>
  <cp:keywords/>
  <dc:description/>
  <cp:lastModifiedBy>Ayadil Saparbekov</cp:lastModifiedBy>
  <cp:revision>3</cp:revision>
  <cp:lastPrinted>2014-07-08T10:24:00Z</cp:lastPrinted>
  <dcterms:created xsi:type="dcterms:W3CDTF">2014-07-08T16:57:00Z</dcterms:created>
  <dcterms:modified xsi:type="dcterms:W3CDTF">2014-07-08T17:04:00Z</dcterms:modified>
</cp:coreProperties>
</file>