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2CD1C" w14:textId="77777777" w:rsidR="00D715E4" w:rsidRPr="00702AC0" w:rsidRDefault="00D715E4" w:rsidP="00C02D53">
      <w:pPr>
        <w:ind w:left="5760" w:firstLine="720"/>
        <w:rPr>
          <w:rFonts w:cs="Times New Roman"/>
        </w:rPr>
      </w:pPr>
      <w:r w:rsidRPr="00702AC0">
        <w:rPr>
          <w:noProof/>
          <w:color w:val="0000FF"/>
          <w:lang w:val="en-US"/>
        </w:rPr>
        <w:drawing>
          <wp:anchor distT="0" distB="0" distL="114300" distR="114300" simplePos="0" relativeHeight="251658240" behindDoc="0" locked="0" layoutInCell="1" allowOverlap="1" wp14:anchorId="0CD77CE6" wp14:editId="41DF4091">
            <wp:simplePos x="0" y="0"/>
            <wp:positionH relativeFrom="column">
              <wp:posOffset>0</wp:posOffset>
            </wp:positionH>
            <wp:positionV relativeFrom="paragraph">
              <wp:posOffset>0</wp:posOffset>
            </wp:positionV>
            <wp:extent cx="1428750" cy="1266825"/>
            <wp:effectExtent l="0" t="0" r="0" b="9525"/>
            <wp:wrapThrough wrapText="bothSides">
              <wp:wrapPolygon edited="0">
                <wp:start x="0" y="0"/>
                <wp:lineTo x="0" y="21438"/>
                <wp:lineTo x="21312" y="21438"/>
                <wp:lineTo x="21312" y="0"/>
                <wp:lineTo x="0" y="0"/>
              </wp:wrapPolygon>
            </wp:wrapThrough>
            <wp:docPr id="3" name="Picture 3" descr="http://www.unicef.org/nutritioncluster/images/logo_european-commission.gif">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unicef.org/nutritioncluster/images/logo_european-commission.gif">
                      <a:hlinkClick r:id="rId4" tgtFrame="&quot;_blank&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0" cy="1266825"/>
                    </a:xfrm>
                    <a:prstGeom prst="rect">
                      <a:avLst/>
                    </a:prstGeom>
                    <a:noFill/>
                    <a:ln>
                      <a:noFill/>
                    </a:ln>
                  </pic:spPr>
                </pic:pic>
              </a:graphicData>
            </a:graphic>
          </wp:anchor>
        </w:drawing>
      </w:r>
      <w:r w:rsidR="00C02D53" w:rsidRPr="00702AC0">
        <w:rPr>
          <w:noProof/>
          <w:lang w:val="en-US"/>
        </w:rPr>
        <w:drawing>
          <wp:inline distT="0" distB="0" distL="0" distR="0" wp14:anchorId="2CBCC71F" wp14:editId="0850F2D0">
            <wp:extent cx="2200275" cy="1181100"/>
            <wp:effectExtent l="0" t="0" r="0" b="0"/>
            <wp:docPr id="1" name="Picture 1" descr="Y:\Global Nutrition Cluster\NEW\13 Logos\GNC Logos\GNC_LOGO_FINAL.png"/>
            <wp:cNvGraphicFramePr/>
            <a:graphic xmlns:a="http://schemas.openxmlformats.org/drawingml/2006/main">
              <a:graphicData uri="http://schemas.openxmlformats.org/drawingml/2006/picture">
                <pic:pic xmlns:pic="http://schemas.openxmlformats.org/drawingml/2006/picture">
                  <pic:nvPicPr>
                    <pic:cNvPr id="5" name="Picture 5" descr="Y:\Global Nutrition Cluster\NEW\13 Logos\GNC Logos\GNC_LOGO_FINAL.pn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00275" cy="1181100"/>
                    </a:xfrm>
                    <a:prstGeom prst="rect">
                      <a:avLst/>
                    </a:prstGeom>
                    <a:noFill/>
                    <a:ln>
                      <a:noFill/>
                    </a:ln>
                  </pic:spPr>
                </pic:pic>
              </a:graphicData>
            </a:graphic>
          </wp:inline>
        </w:drawing>
      </w:r>
    </w:p>
    <w:p w14:paraId="3D238EE7" w14:textId="77777777" w:rsidR="00A51B3A" w:rsidRPr="00702AC0" w:rsidRDefault="00A51B3A" w:rsidP="00A51B3A">
      <w:pPr>
        <w:rPr>
          <w:rFonts w:cs="Times New Roman"/>
        </w:rPr>
      </w:pPr>
    </w:p>
    <w:p w14:paraId="182E04B2" w14:textId="77777777" w:rsidR="00C02D53" w:rsidRPr="00702AC0" w:rsidRDefault="00C02D53" w:rsidP="00C02D53">
      <w:pPr>
        <w:jc w:val="center"/>
        <w:rPr>
          <w:rFonts w:cs="Times New Roman"/>
          <w:b/>
        </w:rPr>
      </w:pPr>
      <w:r w:rsidRPr="00702AC0">
        <w:rPr>
          <w:rFonts w:cs="Times New Roman"/>
          <w:b/>
        </w:rPr>
        <w:t>Donor Profile</w:t>
      </w:r>
    </w:p>
    <w:tbl>
      <w:tblPr>
        <w:tblStyle w:val="TableGrid"/>
        <w:tblW w:w="9450" w:type="dxa"/>
        <w:tblInd w:w="-5" w:type="dxa"/>
        <w:tblLook w:val="04A0" w:firstRow="1" w:lastRow="0" w:firstColumn="1" w:lastColumn="0" w:noHBand="0" w:noVBand="1"/>
      </w:tblPr>
      <w:tblGrid>
        <w:gridCol w:w="3028"/>
        <w:gridCol w:w="6422"/>
      </w:tblGrid>
      <w:tr w:rsidR="00A51B3A" w:rsidRPr="00702AC0" w14:paraId="61144F2F" w14:textId="77777777" w:rsidTr="006E4BAB">
        <w:tc>
          <w:tcPr>
            <w:tcW w:w="3028" w:type="dxa"/>
          </w:tcPr>
          <w:p w14:paraId="3876CCCC" w14:textId="77777777" w:rsidR="00A51B3A" w:rsidRPr="00702AC0" w:rsidRDefault="00A51B3A" w:rsidP="00702AC0">
            <w:pPr>
              <w:jc w:val="both"/>
              <w:rPr>
                <w:rFonts w:asciiTheme="minorHAnsi" w:hAnsiTheme="minorHAnsi"/>
                <w:b/>
                <w:sz w:val="22"/>
                <w:szCs w:val="22"/>
              </w:rPr>
            </w:pPr>
            <w:r w:rsidRPr="00702AC0">
              <w:rPr>
                <w:rFonts w:asciiTheme="minorHAnsi" w:hAnsiTheme="minorHAnsi"/>
                <w:b/>
                <w:sz w:val="22"/>
                <w:szCs w:val="22"/>
              </w:rPr>
              <w:t>Donor Information</w:t>
            </w:r>
          </w:p>
        </w:tc>
        <w:tc>
          <w:tcPr>
            <w:tcW w:w="6422" w:type="dxa"/>
          </w:tcPr>
          <w:p w14:paraId="50BB2FA8" w14:textId="7D64DB3C" w:rsidR="00326F30" w:rsidRPr="00702AC0" w:rsidRDefault="00326F30" w:rsidP="00702AC0">
            <w:pPr>
              <w:jc w:val="both"/>
              <w:rPr>
                <w:rFonts w:asciiTheme="minorHAnsi" w:hAnsiTheme="minorHAnsi"/>
                <w:sz w:val="22"/>
                <w:szCs w:val="22"/>
                <w:lang w:val="en"/>
              </w:rPr>
            </w:pPr>
            <w:r w:rsidRPr="00702AC0">
              <w:rPr>
                <w:rFonts w:asciiTheme="minorHAnsi" w:hAnsiTheme="minorHAnsi"/>
                <w:sz w:val="22"/>
                <w:szCs w:val="22"/>
                <w:lang w:val="en"/>
              </w:rPr>
              <w:t>The European Union (EU</w:t>
            </w:r>
            <w:r w:rsidR="00702AC0" w:rsidRPr="00702AC0">
              <w:rPr>
                <w:rFonts w:asciiTheme="minorHAnsi" w:hAnsiTheme="minorHAnsi"/>
                <w:sz w:val="22"/>
                <w:szCs w:val="22"/>
                <w:lang w:val="en"/>
              </w:rPr>
              <w:t>) is</w:t>
            </w:r>
            <w:r w:rsidRPr="00702AC0">
              <w:rPr>
                <w:rFonts w:asciiTheme="minorHAnsi" w:hAnsiTheme="minorHAnsi"/>
                <w:sz w:val="22"/>
                <w:szCs w:val="22"/>
                <w:lang w:val="en"/>
              </w:rPr>
              <w:t xml:space="preserve"> the world's biggest donor of humanitarian aid, providing more than 50% of humanitarian aid worldwide. </w:t>
            </w:r>
          </w:p>
          <w:p w14:paraId="38202EA0" w14:textId="77777777" w:rsidR="00326F30" w:rsidRPr="00702AC0" w:rsidRDefault="00326F30" w:rsidP="00702AC0">
            <w:pPr>
              <w:jc w:val="both"/>
              <w:rPr>
                <w:rFonts w:asciiTheme="minorHAnsi" w:hAnsiTheme="minorHAnsi"/>
                <w:sz w:val="22"/>
                <w:szCs w:val="22"/>
                <w:lang w:val="en"/>
              </w:rPr>
            </w:pPr>
          </w:p>
          <w:p w14:paraId="45A98DDC" w14:textId="77777777" w:rsidR="00326F30" w:rsidRPr="00702AC0" w:rsidRDefault="00326F30" w:rsidP="00702AC0">
            <w:pPr>
              <w:jc w:val="both"/>
              <w:rPr>
                <w:rFonts w:asciiTheme="minorHAnsi" w:hAnsiTheme="minorHAnsi" w:cs="Times"/>
                <w:sz w:val="22"/>
                <w:szCs w:val="22"/>
              </w:rPr>
            </w:pPr>
            <w:r w:rsidRPr="00702AC0">
              <w:rPr>
                <w:rFonts w:asciiTheme="minorHAnsi" w:hAnsiTheme="minorHAnsi"/>
                <w:sz w:val="22"/>
                <w:szCs w:val="22"/>
              </w:rPr>
              <w:t xml:space="preserve">The EU has a Nutrition policy that </w:t>
            </w:r>
            <w:r w:rsidRPr="00702AC0">
              <w:rPr>
                <w:rStyle w:val="A2"/>
                <w:rFonts w:asciiTheme="minorHAnsi" w:hAnsiTheme="minorHAnsi"/>
                <w:color w:val="auto"/>
                <w:sz w:val="22"/>
                <w:szCs w:val="22"/>
              </w:rPr>
              <w:t xml:space="preserve">recognizes </w:t>
            </w:r>
            <w:r w:rsidRPr="00702AC0">
              <w:rPr>
                <w:rFonts w:asciiTheme="minorHAnsi" w:hAnsiTheme="minorHAnsi" w:cs="Times"/>
                <w:sz w:val="22"/>
                <w:szCs w:val="22"/>
              </w:rPr>
              <w:t>that Nutrition Security is more than just food security. It is the outcome of good health, a healthy environment, and good caring practices. They take an integrative approach and support multi-</w:t>
            </w:r>
            <w:proofErr w:type="spellStart"/>
            <w:r w:rsidRPr="00702AC0">
              <w:rPr>
                <w:rFonts w:asciiTheme="minorHAnsi" w:hAnsiTheme="minorHAnsi" w:cs="Times"/>
                <w:sz w:val="22"/>
                <w:szCs w:val="22"/>
              </w:rPr>
              <w:t>sectoral</w:t>
            </w:r>
            <w:proofErr w:type="spellEnd"/>
            <w:r w:rsidRPr="00702AC0">
              <w:rPr>
                <w:rFonts w:asciiTheme="minorHAnsi" w:hAnsiTheme="minorHAnsi" w:cs="Times"/>
                <w:sz w:val="22"/>
                <w:szCs w:val="22"/>
              </w:rPr>
              <w:t xml:space="preserve"> approaches to nutrition, recognizing the links between nutrition and agriculture, social protection, public health and education. </w:t>
            </w:r>
          </w:p>
          <w:p w14:paraId="14B413AE" w14:textId="77777777" w:rsidR="00326F30" w:rsidRPr="00702AC0" w:rsidRDefault="00326F30" w:rsidP="00702AC0">
            <w:pPr>
              <w:jc w:val="both"/>
              <w:rPr>
                <w:rStyle w:val="A2"/>
                <w:rFonts w:asciiTheme="minorHAnsi" w:hAnsiTheme="minorHAnsi"/>
                <w:color w:val="auto"/>
                <w:sz w:val="22"/>
                <w:szCs w:val="22"/>
              </w:rPr>
            </w:pPr>
          </w:p>
          <w:p w14:paraId="5B63BD1F" w14:textId="77777777" w:rsidR="00326F30" w:rsidRPr="00702AC0" w:rsidRDefault="00326F30" w:rsidP="00702AC0">
            <w:pPr>
              <w:jc w:val="both"/>
              <w:rPr>
                <w:rFonts w:asciiTheme="minorHAnsi" w:hAnsiTheme="minorHAnsi"/>
                <w:sz w:val="22"/>
                <w:szCs w:val="22"/>
              </w:rPr>
            </w:pPr>
            <w:r w:rsidRPr="00702AC0">
              <w:rPr>
                <w:rStyle w:val="A2"/>
                <w:rFonts w:asciiTheme="minorHAnsi" w:hAnsiTheme="minorHAnsi"/>
                <w:color w:val="auto"/>
                <w:sz w:val="22"/>
                <w:szCs w:val="22"/>
              </w:rPr>
              <w:t>The EU supports comprehensive life-saving nutrition strategies to address undernutrition in emergencies which may include:</w:t>
            </w:r>
          </w:p>
          <w:p w14:paraId="1C5B2FF9" w14:textId="77777777" w:rsidR="00326F30" w:rsidRPr="00702AC0" w:rsidRDefault="00326F30" w:rsidP="00702AC0">
            <w:pPr>
              <w:pStyle w:val="Pa1"/>
              <w:jc w:val="both"/>
              <w:rPr>
                <w:rFonts w:asciiTheme="minorHAnsi" w:hAnsiTheme="minorHAnsi"/>
                <w:sz w:val="22"/>
                <w:szCs w:val="22"/>
              </w:rPr>
            </w:pPr>
            <w:r w:rsidRPr="00702AC0">
              <w:rPr>
                <w:rStyle w:val="A3"/>
                <w:rFonts w:asciiTheme="minorHAnsi" w:hAnsiTheme="minorHAnsi" w:cs="Times New Roman"/>
                <w:color w:val="auto"/>
                <w:sz w:val="22"/>
                <w:szCs w:val="22"/>
              </w:rPr>
              <w:t xml:space="preserve">• </w:t>
            </w:r>
            <w:r w:rsidRPr="00702AC0">
              <w:rPr>
                <w:rStyle w:val="A2"/>
                <w:rFonts w:asciiTheme="minorHAnsi" w:hAnsiTheme="minorHAnsi"/>
                <w:color w:val="auto"/>
                <w:sz w:val="22"/>
                <w:szCs w:val="22"/>
              </w:rPr>
              <w:t>Management of moderate and severe acute undernutrition</w:t>
            </w:r>
          </w:p>
          <w:p w14:paraId="714C1189" w14:textId="77777777" w:rsidR="00326F30" w:rsidRPr="00702AC0" w:rsidRDefault="00326F30" w:rsidP="00702AC0">
            <w:pPr>
              <w:pStyle w:val="Pa1"/>
              <w:jc w:val="both"/>
              <w:rPr>
                <w:rFonts w:asciiTheme="minorHAnsi" w:hAnsiTheme="minorHAnsi"/>
                <w:sz w:val="22"/>
                <w:szCs w:val="22"/>
              </w:rPr>
            </w:pPr>
            <w:r w:rsidRPr="00702AC0">
              <w:rPr>
                <w:rStyle w:val="A3"/>
                <w:rFonts w:asciiTheme="minorHAnsi" w:hAnsiTheme="minorHAnsi" w:cs="Times New Roman"/>
                <w:color w:val="auto"/>
                <w:sz w:val="22"/>
                <w:szCs w:val="22"/>
              </w:rPr>
              <w:t xml:space="preserve">• </w:t>
            </w:r>
            <w:r w:rsidRPr="00702AC0">
              <w:rPr>
                <w:rStyle w:val="A2"/>
                <w:rFonts w:asciiTheme="minorHAnsi" w:hAnsiTheme="minorHAnsi"/>
                <w:color w:val="auto"/>
                <w:sz w:val="22"/>
                <w:szCs w:val="22"/>
              </w:rPr>
              <w:t>Infant and young child feeding in emergencies</w:t>
            </w:r>
          </w:p>
          <w:p w14:paraId="0E49A9D0" w14:textId="77777777" w:rsidR="00326F30" w:rsidRPr="00702AC0" w:rsidRDefault="00326F30" w:rsidP="00702AC0">
            <w:pPr>
              <w:pStyle w:val="Pa1"/>
              <w:jc w:val="both"/>
              <w:rPr>
                <w:rFonts w:asciiTheme="minorHAnsi" w:hAnsiTheme="minorHAnsi"/>
                <w:sz w:val="22"/>
                <w:szCs w:val="22"/>
              </w:rPr>
            </w:pPr>
            <w:r w:rsidRPr="00702AC0">
              <w:rPr>
                <w:rStyle w:val="A3"/>
                <w:rFonts w:asciiTheme="minorHAnsi" w:hAnsiTheme="minorHAnsi" w:cs="Times New Roman"/>
                <w:color w:val="auto"/>
                <w:sz w:val="22"/>
                <w:szCs w:val="22"/>
              </w:rPr>
              <w:t xml:space="preserve">• </w:t>
            </w:r>
            <w:r w:rsidRPr="00702AC0">
              <w:rPr>
                <w:rStyle w:val="A2"/>
                <w:rFonts w:asciiTheme="minorHAnsi" w:hAnsiTheme="minorHAnsi"/>
                <w:color w:val="auto"/>
                <w:sz w:val="22"/>
                <w:szCs w:val="22"/>
              </w:rPr>
              <w:t>Addressing acute undernutrition in adolescents and adults</w:t>
            </w:r>
          </w:p>
          <w:p w14:paraId="3B04398D" w14:textId="77777777" w:rsidR="00326F30" w:rsidRPr="00702AC0" w:rsidRDefault="00326F30" w:rsidP="00702AC0">
            <w:pPr>
              <w:pStyle w:val="Pa1"/>
              <w:jc w:val="both"/>
              <w:rPr>
                <w:rFonts w:asciiTheme="minorHAnsi" w:hAnsiTheme="minorHAnsi"/>
                <w:sz w:val="22"/>
                <w:szCs w:val="22"/>
              </w:rPr>
            </w:pPr>
            <w:r w:rsidRPr="00702AC0">
              <w:rPr>
                <w:rStyle w:val="A3"/>
                <w:rFonts w:asciiTheme="minorHAnsi" w:hAnsiTheme="minorHAnsi" w:cs="Times New Roman"/>
                <w:color w:val="auto"/>
                <w:sz w:val="22"/>
                <w:szCs w:val="22"/>
              </w:rPr>
              <w:t xml:space="preserve">• </w:t>
            </w:r>
            <w:r w:rsidRPr="00702AC0">
              <w:rPr>
                <w:rStyle w:val="A2"/>
                <w:rFonts w:asciiTheme="minorHAnsi" w:hAnsiTheme="minorHAnsi"/>
                <w:color w:val="auto"/>
                <w:sz w:val="22"/>
                <w:szCs w:val="22"/>
              </w:rPr>
              <w:t>Management of micronutrient deficiencies</w:t>
            </w:r>
          </w:p>
          <w:p w14:paraId="2C209769" w14:textId="77777777" w:rsidR="00326F30" w:rsidRPr="00702AC0" w:rsidRDefault="00326F30" w:rsidP="00702AC0">
            <w:pPr>
              <w:pStyle w:val="Pa1"/>
              <w:jc w:val="both"/>
              <w:rPr>
                <w:rFonts w:asciiTheme="minorHAnsi" w:hAnsiTheme="minorHAnsi"/>
                <w:sz w:val="22"/>
                <w:szCs w:val="22"/>
              </w:rPr>
            </w:pPr>
            <w:r w:rsidRPr="00702AC0">
              <w:rPr>
                <w:rStyle w:val="A3"/>
                <w:rFonts w:asciiTheme="minorHAnsi" w:hAnsiTheme="minorHAnsi" w:cs="Times New Roman"/>
                <w:color w:val="auto"/>
                <w:sz w:val="22"/>
                <w:szCs w:val="22"/>
              </w:rPr>
              <w:t xml:space="preserve">• </w:t>
            </w:r>
            <w:r w:rsidRPr="00702AC0">
              <w:rPr>
                <w:rStyle w:val="A2"/>
                <w:rFonts w:asciiTheme="minorHAnsi" w:hAnsiTheme="minorHAnsi"/>
                <w:color w:val="auto"/>
                <w:sz w:val="22"/>
                <w:szCs w:val="22"/>
              </w:rPr>
              <w:t>Prevention and treatment of diseases</w:t>
            </w:r>
          </w:p>
          <w:p w14:paraId="795D7208" w14:textId="77777777" w:rsidR="00326F30" w:rsidRPr="00702AC0" w:rsidRDefault="00326F30" w:rsidP="00702AC0">
            <w:pPr>
              <w:pStyle w:val="Pa1"/>
              <w:jc w:val="both"/>
              <w:rPr>
                <w:rFonts w:asciiTheme="minorHAnsi" w:hAnsiTheme="minorHAnsi"/>
                <w:sz w:val="22"/>
                <w:szCs w:val="22"/>
              </w:rPr>
            </w:pPr>
            <w:r w:rsidRPr="00702AC0">
              <w:rPr>
                <w:rStyle w:val="A3"/>
                <w:rFonts w:asciiTheme="minorHAnsi" w:hAnsiTheme="minorHAnsi" w:cs="Times New Roman"/>
                <w:color w:val="auto"/>
                <w:sz w:val="22"/>
                <w:szCs w:val="22"/>
              </w:rPr>
              <w:t xml:space="preserve">• </w:t>
            </w:r>
            <w:r w:rsidRPr="00702AC0">
              <w:rPr>
                <w:rStyle w:val="A2"/>
                <w:rFonts w:asciiTheme="minorHAnsi" w:hAnsiTheme="minorHAnsi"/>
                <w:color w:val="auto"/>
                <w:sz w:val="22"/>
                <w:szCs w:val="22"/>
              </w:rPr>
              <w:t>Humanitarian food assistance</w:t>
            </w:r>
          </w:p>
          <w:p w14:paraId="10EC8369" w14:textId="77777777" w:rsidR="00326F30" w:rsidRPr="00702AC0" w:rsidRDefault="00326F30" w:rsidP="00702AC0">
            <w:pPr>
              <w:pStyle w:val="Pa1"/>
              <w:jc w:val="both"/>
              <w:rPr>
                <w:rFonts w:asciiTheme="minorHAnsi" w:hAnsiTheme="minorHAnsi"/>
                <w:sz w:val="22"/>
                <w:szCs w:val="22"/>
              </w:rPr>
            </w:pPr>
            <w:r w:rsidRPr="00702AC0">
              <w:rPr>
                <w:rStyle w:val="A3"/>
                <w:rFonts w:asciiTheme="minorHAnsi" w:hAnsiTheme="minorHAnsi" w:cs="Times New Roman"/>
                <w:color w:val="auto"/>
                <w:sz w:val="22"/>
                <w:szCs w:val="22"/>
              </w:rPr>
              <w:t xml:space="preserve">• </w:t>
            </w:r>
            <w:r w:rsidRPr="00702AC0">
              <w:rPr>
                <w:rStyle w:val="A2"/>
                <w:rFonts w:asciiTheme="minorHAnsi" w:hAnsiTheme="minorHAnsi"/>
                <w:color w:val="auto"/>
                <w:sz w:val="22"/>
                <w:szCs w:val="22"/>
              </w:rPr>
              <w:t>WASH (Water, Sanitation, Hygiene)</w:t>
            </w:r>
          </w:p>
          <w:p w14:paraId="14B646FF" w14:textId="57CD4282" w:rsidR="00326F30" w:rsidRPr="00702AC0" w:rsidRDefault="00326F30" w:rsidP="00702AC0">
            <w:pPr>
              <w:jc w:val="both"/>
              <w:rPr>
                <w:rFonts w:asciiTheme="minorHAnsi" w:hAnsiTheme="minorHAnsi"/>
                <w:sz w:val="22"/>
                <w:szCs w:val="22"/>
                <w:lang w:val="en"/>
              </w:rPr>
            </w:pPr>
            <w:r w:rsidRPr="00702AC0">
              <w:rPr>
                <w:rStyle w:val="A3"/>
                <w:rFonts w:asciiTheme="minorHAnsi" w:hAnsiTheme="minorHAnsi" w:cs="Times New Roman"/>
                <w:color w:val="auto"/>
                <w:sz w:val="22"/>
                <w:szCs w:val="22"/>
              </w:rPr>
              <w:t xml:space="preserve">• </w:t>
            </w:r>
            <w:r w:rsidRPr="00702AC0">
              <w:rPr>
                <w:rStyle w:val="A2"/>
                <w:rFonts w:asciiTheme="minorHAnsi" w:hAnsiTheme="minorHAnsi"/>
                <w:color w:val="auto"/>
                <w:sz w:val="22"/>
                <w:szCs w:val="22"/>
              </w:rPr>
              <w:t>Information systems, capacity building, integration in the national systems, coor</w:t>
            </w:r>
            <w:r w:rsidRPr="00702AC0">
              <w:rPr>
                <w:rStyle w:val="A2"/>
                <w:rFonts w:asciiTheme="minorHAnsi" w:hAnsiTheme="minorHAnsi"/>
                <w:color w:val="auto"/>
                <w:sz w:val="22"/>
                <w:szCs w:val="22"/>
              </w:rPr>
              <w:softHyphen/>
              <w:t>dination, advocacy and operational research -while not entry points for intervention, depending on context may also be considered as priorities for support.</w:t>
            </w:r>
          </w:p>
          <w:p w14:paraId="2FCE5305" w14:textId="77777777" w:rsidR="00326F30" w:rsidRPr="00702AC0" w:rsidRDefault="00326F30" w:rsidP="00702AC0">
            <w:pPr>
              <w:jc w:val="both"/>
              <w:rPr>
                <w:rFonts w:asciiTheme="minorHAnsi" w:hAnsiTheme="minorHAnsi"/>
                <w:sz w:val="22"/>
                <w:szCs w:val="22"/>
                <w:lang w:val="en"/>
              </w:rPr>
            </w:pPr>
          </w:p>
          <w:p w14:paraId="1953AB01" w14:textId="77777777" w:rsidR="00326F30" w:rsidRPr="00702AC0" w:rsidRDefault="00326F30" w:rsidP="00702AC0">
            <w:pPr>
              <w:jc w:val="both"/>
              <w:rPr>
                <w:rFonts w:asciiTheme="minorHAnsi" w:hAnsiTheme="minorHAnsi"/>
                <w:sz w:val="22"/>
                <w:szCs w:val="22"/>
              </w:rPr>
            </w:pPr>
            <w:r w:rsidRPr="00702AC0">
              <w:rPr>
                <w:rFonts w:asciiTheme="minorHAnsi" w:hAnsiTheme="minorHAnsi"/>
                <w:sz w:val="22"/>
                <w:szCs w:val="22"/>
              </w:rPr>
              <w:t>The EC addresses nutrition through two separate organisations: the European Community Humanitarian Office (ECHO), which is responsible for humanitarian and emergency settings, and the Directorate-General for Development Cooperation (DEVCO), which is responsible for development activities. Currently, nutrition programming across these two organisations is unified through the concept of resilience to shocks that affect food security—humanitarian programming strengthens recovery from shocks, and development programming strengthens resistance to shocks. Under this strategy, nutrition is closely linked with the frameworks of food security and social protection, as well as the humanitarian approach of mitigating the impacts of undernutrition to avert deaths.</w:t>
            </w:r>
          </w:p>
          <w:p w14:paraId="39D40414" w14:textId="77777777" w:rsidR="00326F30" w:rsidRPr="00702AC0" w:rsidRDefault="00326F30" w:rsidP="00702AC0">
            <w:pPr>
              <w:jc w:val="both"/>
              <w:rPr>
                <w:rFonts w:asciiTheme="minorHAnsi" w:hAnsiTheme="minorHAnsi"/>
                <w:sz w:val="22"/>
                <w:szCs w:val="22"/>
              </w:rPr>
            </w:pPr>
          </w:p>
          <w:p w14:paraId="15AD4E62" w14:textId="049A2AF4" w:rsidR="00326F30" w:rsidRPr="00702AC0" w:rsidRDefault="00326F30" w:rsidP="00702AC0">
            <w:pPr>
              <w:jc w:val="both"/>
              <w:rPr>
                <w:rFonts w:asciiTheme="minorHAnsi" w:hAnsiTheme="minorHAnsi"/>
                <w:sz w:val="22"/>
                <w:szCs w:val="22"/>
              </w:rPr>
            </w:pPr>
            <w:r w:rsidRPr="00702AC0">
              <w:rPr>
                <w:rFonts w:asciiTheme="minorHAnsi" w:hAnsiTheme="minorHAnsi"/>
                <w:sz w:val="22"/>
                <w:szCs w:val="22"/>
              </w:rPr>
              <w:t xml:space="preserve">ECHO places nutrition under the focus area of humanitarian aid and civil protection. Additionally, DEVCO works to promote food security through strengthening the governance of global, regional and national food supply systems. DEVCO also </w:t>
            </w:r>
            <w:r w:rsidR="00702AC0" w:rsidRPr="00702AC0">
              <w:rPr>
                <w:rFonts w:asciiTheme="minorHAnsi" w:hAnsiTheme="minorHAnsi"/>
                <w:sz w:val="22"/>
                <w:szCs w:val="22"/>
              </w:rPr>
              <w:t>recognizes</w:t>
            </w:r>
            <w:r w:rsidRPr="00702AC0">
              <w:rPr>
                <w:rFonts w:asciiTheme="minorHAnsi" w:hAnsiTheme="minorHAnsi"/>
                <w:sz w:val="22"/>
                <w:szCs w:val="22"/>
              </w:rPr>
              <w:t xml:space="preserve"> the multisectoral nature of nutrition, and has scope to develop nutrition-sensitive interventions across multiple sectors, including rural development, public health and education.</w:t>
            </w:r>
          </w:p>
          <w:p w14:paraId="34A4B448" w14:textId="77777777" w:rsidR="00326F30" w:rsidRPr="00702AC0" w:rsidRDefault="00326F30" w:rsidP="00702AC0">
            <w:pPr>
              <w:jc w:val="both"/>
              <w:rPr>
                <w:rFonts w:asciiTheme="minorHAnsi" w:hAnsiTheme="minorHAnsi"/>
                <w:sz w:val="22"/>
                <w:szCs w:val="22"/>
              </w:rPr>
            </w:pPr>
          </w:p>
          <w:p w14:paraId="2DA50E37" w14:textId="77E4E9D5" w:rsidR="00326F30" w:rsidRPr="00702AC0" w:rsidRDefault="00326F30" w:rsidP="00702AC0">
            <w:pPr>
              <w:jc w:val="both"/>
              <w:rPr>
                <w:rFonts w:asciiTheme="minorHAnsi" w:hAnsiTheme="minorHAnsi"/>
                <w:sz w:val="22"/>
                <w:szCs w:val="22"/>
              </w:rPr>
            </w:pPr>
            <w:r w:rsidRPr="00702AC0">
              <w:rPr>
                <w:rFonts w:asciiTheme="minorHAnsi" w:hAnsiTheme="minorHAnsi"/>
                <w:sz w:val="22"/>
                <w:szCs w:val="22"/>
              </w:rPr>
              <w:lastRenderedPageBreak/>
              <w:t xml:space="preserve">EC support for research on nutrition is focused on agricultural research and technologies to support agricultural productivity and rural development, as a way to improve food security through strengthening the agricultural sector. Most EC nutrition research funding is </w:t>
            </w:r>
            <w:r w:rsidR="00702AC0" w:rsidRPr="00702AC0">
              <w:rPr>
                <w:rFonts w:asciiTheme="minorHAnsi" w:hAnsiTheme="minorHAnsi"/>
                <w:sz w:val="22"/>
                <w:szCs w:val="22"/>
              </w:rPr>
              <w:t>channeled</w:t>
            </w:r>
            <w:r w:rsidRPr="00702AC0">
              <w:rPr>
                <w:rFonts w:asciiTheme="minorHAnsi" w:hAnsiTheme="minorHAnsi"/>
                <w:sz w:val="22"/>
                <w:szCs w:val="22"/>
              </w:rPr>
              <w:t xml:space="preserve"> through CGIAR.</w:t>
            </w:r>
          </w:p>
          <w:p w14:paraId="301F2893" w14:textId="77777777" w:rsidR="00326F30" w:rsidRPr="00702AC0" w:rsidRDefault="00326F30" w:rsidP="00702AC0">
            <w:pPr>
              <w:jc w:val="both"/>
              <w:rPr>
                <w:rFonts w:asciiTheme="minorHAnsi" w:hAnsiTheme="minorHAnsi"/>
                <w:sz w:val="22"/>
                <w:szCs w:val="22"/>
              </w:rPr>
            </w:pPr>
          </w:p>
          <w:p w14:paraId="36646C04" w14:textId="38A25242" w:rsidR="00326F30" w:rsidRPr="00702AC0" w:rsidRDefault="00326F30" w:rsidP="00702AC0">
            <w:pPr>
              <w:jc w:val="both"/>
              <w:rPr>
                <w:rFonts w:asciiTheme="minorHAnsi" w:hAnsiTheme="minorHAnsi"/>
                <w:sz w:val="22"/>
                <w:szCs w:val="22"/>
              </w:rPr>
            </w:pPr>
            <w:r w:rsidRPr="00702AC0">
              <w:rPr>
                <w:rFonts w:asciiTheme="minorHAnsi" w:hAnsiTheme="minorHAnsi"/>
                <w:sz w:val="22"/>
                <w:szCs w:val="22"/>
              </w:rPr>
              <w:t>ECHO has been a strong supporter of the GNC since 2012</w:t>
            </w:r>
            <w:r w:rsidR="00197CA7">
              <w:rPr>
                <w:rFonts w:asciiTheme="minorHAnsi" w:hAnsiTheme="minorHAnsi"/>
                <w:sz w:val="22"/>
                <w:szCs w:val="22"/>
              </w:rPr>
              <w:t xml:space="preserve">, </w:t>
            </w:r>
            <w:r w:rsidR="00197CA7">
              <w:rPr>
                <w:rFonts w:asciiTheme="minorHAnsi" w:hAnsiTheme="minorHAnsi"/>
                <w:sz w:val="22"/>
                <w:szCs w:val="22"/>
              </w:rPr>
              <w:t>$</w:t>
            </w:r>
            <w:r w:rsidR="00197CA7" w:rsidRPr="00A32E91">
              <w:rPr>
                <w:b/>
                <w:bCs/>
                <w:color w:val="000000"/>
              </w:rPr>
              <w:t>5,229,864</w:t>
            </w:r>
            <w:r w:rsidR="00197CA7" w:rsidRPr="00702AC0">
              <w:rPr>
                <w:rFonts w:asciiTheme="minorHAnsi" w:hAnsiTheme="minorHAnsi"/>
                <w:sz w:val="22"/>
                <w:szCs w:val="22"/>
              </w:rPr>
              <w:t xml:space="preserve"> million</w:t>
            </w:r>
            <w:r w:rsidRPr="00702AC0">
              <w:rPr>
                <w:rFonts w:asciiTheme="minorHAnsi" w:hAnsiTheme="minorHAnsi"/>
                <w:sz w:val="22"/>
                <w:szCs w:val="22"/>
              </w:rPr>
              <w:t>.</w:t>
            </w:r>
          </w:p>
          <w:p w14:paraId="77745940" w14:textId="77777777" w:rsidR="006E39CA" w:rsidRPr="00702AC0" w:rsidRDefault="006E39CA" w:rsidP="00702AC0">
            <w:pPr>
              <w:jc w:val="both"/>
              <w:rPr>
                <w:rStyle w:val="A2"/>
                <w:rFonts w:asciiTheme="minorHAnsi" w:hAnsiTheme="minorHAnsi"/>
                <w:color w:val="auto"/>
                <w:sz w:val="22"/>
                <w:szCs w:val="22"/>
              </w:rPr>
            </w:pPr>
          </w:p>
          <w:p w14:paraId="4590DA52" w14:textId="77777777" w:rsidR="006E39CA" w:rsidRPr="00702AC0" w:rsidRDefault="006E39CA" w:rsidP="00702AC0">
            <w:pPr>
              <w:jc w:val="both"/>
              <w:rPr>
                <w:rFonts w:asciiTheme="minorHAnsi" w:hAnsiTheme="minorHAnsi"/>
                <w:sz w:val="22"/>
                <w:szCs w:val="22"/>
              </w:rPr>
            </w:pPr>
          </w:p>
        </w:tc>
      </w:tr>
      <w:tr w:rsidR="00A51B3A" w:rsidRPr="00702AC0" w14:paraId="2288BE4F" w14:textId="77777777" w:rsidTr="006E4BAB">
        <w:tc>
          <w:tcPr>
            <w:tcW w:w="3028" w:type="dxa"/>
          </w:tcPr>
          <w:p w14:paraId="632E9E48" w14:textId="77777777" w:rsidR="00A51B3A" w:rsidRPr="00702AC0" w:rsidRDefault="00A51B3A" w:rsidP="006E4BAB">
            <w:pPr>
              <w:rPr>
                <w:rFonts w:asciiTheme="minorHAnsi" w:hAnsiTheme="minorHAnsi"/>
                <w:b/>
                <w:sz w:val="22"/>
                <w:szCs w:val="22"/>
              </w:rPr>
            </w:pPr>
            <w:r w:rsidRPr="00702AC0">
              <w:rPr>
                <w:rFonts w:asciiTheme="minorHAnsi" w:hAnsiTheme="minorHAnsi"/>
                <w:b/>
                <w:sz w:val="22"/>
                <w:szCs w:val="22"/>
              </w:rPr>
              <w:lastRenderedPageBreak/>
              <w:t>Website</w:t>
            </w:r>
          </w:p>
        </w:tc>
        <w:tc>
          <w:tcPr>
            <w:tcW w:w="6422" w:type="dxa"/>
          </w:tcPr>
          <w:p w14:paraId="7F06D4D4" w14:textId="4D81D856" w:rsidR="00A51B3A" w:rsidRPr="00702AC0" w:rsidRDefault="00197CA7" w:rsidP="00A51B3A">
            <w:pPr>
              <w:rPr>
                <w:rFonts w:asciiTheme="minorHAnsi" w:hAnsiTheme="minorHAnsi"/>
                <w:sz w:val="22"/>
                <w:szCs w:val="22"/>
              </w:rPr>
            </w:pPr>
            <w:hyperlink r:id="rId7" w:history="1">
              <w:r w:rsidR="00C255D8" w:rsidRPr="00702AC0">
                <w:rPr>
                  <w:rStyle w:val="Hyperlink"/>
                  <w:sz w:val="22"/>
                  <w:szCs w:val="22"/>
                </w:rPr>
                <w:t>http://ec.europa.eu/echo/policies/nutrition_en.htm</w:t>
              </w:r>
            </w:hyperlink>
          </w:p>
          <w:p w14:paraId="0E7B12B1" w14:textId="1ABCD7FC" w:rsidR="00C255D8" w:rsidRPr="00702AC0" w:rsidRDefault="00197CA7" w:rsidP="00A51B3A">
            <w:pPr>
              <w:rPr>
                <w:rFonts w:asciiTheme="minorHAnsi" w:hAnsiTheme="minorHAnsi"/>
                <w:sz w:val="22"/>
                <w:szCs w:val="22"/>
              </w:rPr>
            </w:pPr>
            <w:hyperlink r:id="rId8" w:anchor="pid4091" w:history="1">
              <w:r w:rsidR="00C255D8" w:rsidRPr="00702AC0">
                <w:rPr>
                  <w:rStyle w:val="Hyperlink"/>
                  <w:sz w:val="22"/>
                  <w:szCs w:val="22"/>
                </w:rPr>
                <w:t>http://www.unicef.org/eu/devaid_nutrition.html#pid4091</w:t>
              </w:r>
            </w:hyperlink>
            <w:r w:rsidR="00C255D8" w:rsidRPr="00702AC0">
              <w:rPr>
                <w:rFonts w:asciiTheme="minorHAnsi" w:hAnsiTheme="minorHAnsi"/>
                <w:sz w:val="22"/>
                <w:szCs w:val="22"/>
              </w:rPr>
              <w:t xml:space="preserve"> </w:t>
            </w:r>
          </w:p>
        </w:tc>
      </w:tr>
      <w:tr w:rsidR="006E39CA" w:rsidRPr="00702AC0" w14:paraId="38DB23F0" w14:textId="77777777" w:rsidTr="006E4BAB">
        <w:tc>
          <w:tcPr>
            <w:tcW w:w="3028" w:type="dxa"/>
          </w:tcPr>
          <w:p w14:paraId="72F9A467" w14:textId="77777777" w:rsidR="006E39CA" w:rsidRPr="00702AC0" w:rsidRDefault="006E39CA" w:rsidP="006E4BAB">
            <w:pPr>
              <w:rPr>
                <w:rFonts w:asciiTheme="minorHAnsi" w:hAnsiTheme="minorHAnsi"/>
                <w:b/>
                <w:sz w:val="22"/>
                <w:szCs w:val="22"/>
              </w:rPr>
            </w:pPr>
            <w:r w:rsidRPr="00702AC0">
              <w:rPr>
                <w:rFonts w:asciiTheme="minorHAnsi" w:hAnsiTheme="minorHAnsi"/>
                <w:b/>
                <w:sz w:val="22"/>
                <w:szCs w:val="22"/>
              </w:rPr>
              <w:t>UNICEF engagement</w:t>
            </w:r>
          </w:p>
        </w:tc>
        <w:tc>
          <w:tcPr>
            <w:tcW w:w="6422" w:type="dxa"/>
          </w:tcPr>
          <w:p w14:paraId="6E24FD19" w14:textId="463A70D0" w:rsidR="006E39CA" w:rsidRPr="00702AC0" w:rsidRDefault="006E39CA" w:rsidP="006E39CA">
            <w:pPr>
              <w:rPr>
                <w:rFonts w:asciiTheme="minorHAnsi" w:hAnsiTheme="minorHAnsi"/>
                <w:sz w:val="22"/>
                <w:szCs w:val="22"/>
              </w:rPr>
            </w:pPr>
            <w:r w:rsidRPr="00702AC0">
              <w:rPr>
                <w:rFonts w:asciiTheme="minorHAnsi" w:hAnsiTheme="minorHAnsi"/>
                <w:sz w:val="22"/>
                <w:szCs w:val="22"/>
              </w:rPr>
              <w:t xml:space="preserve">UNICEF has </w:t>
            </w:r>
            <w:r w:rsidR="00702AC0" w:rsidRPr="00702AC0">
              <w:rPr>
                <w:rFonts w:asciiTheme="minorHAnsi" w:hAnsiTheme="minorHAnsi"/>
                <w:sz w:val="22"/>
                <w:szCs w:val="22"/>
              </w:rPr>
              <w:t>received</w:t>
            </w:r>
            <w:r w:rsidRPr="00702AC0">
              <w:rPr>
                <w:rFonts w:asciiTheme="minorHAnsi" w:hAnsiTheme="minorHAnsi"/>
                <w:sz w:val="22"/>
                <w:szCs w:val="22"/>
              </w:rPr>
              <w:t xml:space="preserve"> significant funding from ECHO, particularly for humanitarian response through EMOPS Geneva. The </w:t>
            </w:r>
            <w:r w:rsidR="00326F30" w:rsidRPr="00702AC0">
              <w:rPr>
                <w:rFonts w:asciiTheme="minorHAnsi" w:hAnsiTheme="minorHAnsi"/>
                <w:sz w:val="22"/>
                <w:szCs w:val="22"/>
              </w:rPr>
              <w:t xml:space="preserve">Global </w:t>
            </w:r>
            <w:r w:rsidRPr="00702AC0">
              <w:rPr>
                <w:rFonts w:asciiTheme="minorHAnsi" w:hAnsiTheme="minorHAnsi"/>
                <w:sz w:val="22"/>
                <w:szCs w:val="22"/>
              </w:rPr>
              <w:t xml:space="preserve">Nutrition Cluster has </w:t>
            </w:r>
            <w:r w:rsidR="00702AC0" w:rsidRPr="00702AC0">
              <w:rPr>
                <w:rFonts w:asciiTheme="minorHAnsi" w:hAnsiTheme="minorHAnsi"/>
                <w:sz w:val="22"/>
                <w:szCs w:val="22"/>
              </w:rPr>
              <w:t>received</w:t>
            </w:r>
            <w:r w:rsidR="009C5F10">
              <w:rPr>
                <w:rFonts w:asciiTheme="minorHAnsi" w:hAnsiTheme="minorHAnsi"/>
                <w:sz w:val="22"/>
                <w:szCs w:val="22"/>
              </w:rPr>
              <w:t xml:space="preserve"> approximately </w:t>
            </w:r>
            <w:r w:rsidR="00197CA7">
              <w:rPr>
                <w:rFonts w:asciiTheme="minorHAnsi" w:hAnsiTheme="minorHAnsi"/>
                <w:sz w:val="22"/>
                <w:szCs w:val="22"/>
              </w:rPr>
              <w:t>$</w:t>
            </w:r>
            <w:r w:rsidR="00197CA7" w:rsidRPr="00A32E91">
              <w:rPr>
                <w:b/>
                <w:bCs/>
                <w:color w:val="000000"/>
              </w:rPr>
              <w:t>5,229,864</w:t>
            </w:r>
            <w:r w:rsidR="00197CA7" w:rsidRPr="00702AC0">
              <w:rPr>
                <w:rFonts w:asciiTheme="minorHAnsi" w:hAnsiTheme="minorHAnsi"/>
                <w:sz w:val="22"/>
                <w:szCs w:val="22"/>
              </w:rPr>
              <w:t xml:space="preserve"> million </w:t>
            </w:r>
            <w:bookmarkStart w:id="0" w:name="_GoBack"/>
            <w:bookmarkEnd w:id="0"/>
            <w:r w:rsidR="00326F30" w:rsidRPr="00702AC0">
              <w:rPr>
                <w:rFonts w:asciiTheme="minorHAnsi" w:hAnsiTheme="minorHAnsi"/>
                <w:sz w:val="22"/>
                <w:szCs w:val="22"/>
              </w:rPr>
              <w:t xml:space="preserve">USD since 2006. </w:t>
            </w:r>
          </w:p>
          <w:p w14:paraId="1C0EA7B0" w14:textId="77777777" w:rsidR="006E39CA" w:rsidRPr="00702AC0" w:rsidRDefault="006E39CA" w:rsidP="006E39CA">
            <w:pPr>
              <w:rPr>
                <w:rFonts w:asciiTheme="minorHAnsi" w:hAnsiTheme="minorHAnsi"/>
                <w:sz w:val="22"/>
                <w:szCs w:val="22"/>
              </w:rPr>
            </w:pPr>
          </w:p>
          <w:p w14:paraId="7943CB4C" w14:textId="6404002F" w:rsidR="006E39CA" w:rsidRPr="00702AC0" w:rsidRDefault="006E39CA" w:rsidP="006E39CA">
            <w:pPr>
              <w:rPr>
                <w:rFonts w:asciiTheme="minorHAnsi" w:hAnsiTheme="minorHAnsi"/>
                <w:sz w:val="22"/>
                <w:szCs w:val="22"/>
              </w:rPr>
            </w:pPr>
            <w:r w:rsidRPr="00702AC0">
              <w:rPr>
                <w:rFonts w:asciiTheme="minorHAnsi" w:hAnsiTheme="minorHAnsi"/>
                <w:sz w:val="22"/>
                <w:szCs w:val="22"/>
              </w:rPr>
              <w:t>Reuben McCarthy</w:t>
            </w:r>
            <w:r w:rsidR="00702AC0">
              <w:rPr>
                <w:rFonts w:asciiTheme="minorHAnsi" w:hAnsiTheme="minorHAnsi"/>
                <w:sz w:val="22"/>
                <w:szCs w:val="22"/>
              </w:rPr>
              <w:t xml:space="preserve"> </w:t>
            </w:r>
            <w:r w:rsidRPr="00702AC0">
              <w:rPr>
                <w:rFonts w:asciiTheme="minorHAnsi" w:hAnsiTheme="minorHAnsi"/>
                <w:sz w:val="22"/>
                <w:szCs w:val="22"/>
              </w:rPr>
              <w:t>(</w:t>
            </w:r>
            <w:hyperlink r:id="rId9" w:history="1">
              <w:r w:rsidRPr="00702AC0">
                <w:rPr>
                  <w:rStyle w:val="Hyperlink"/>
                  <w:rFonts w:asciiTheme="minorHAnsi" w:hAnsiTheme="minorHAnsi"/>
                  <w:sz w:val="22"/>
                  <w:szCs w:val="22"/>
                </w:rPr>
                <w:t>remccarthy@unicef.org</w:t>
              </w:r>
            </w:hyperlink>
            <w:r w:rsidRPr="00702AC0">
              <w:rPr>
                <w:rStyle w:val="Hyperlink"/>
                <w:rFonts w:asciiTheme="minorHAnsi" w:hAnsiTheme="minorHAnsi"/>
                <w:sz w:val="22"/>
                <w:szCs w:val="22"/>
              </w:rPr>
              <w:t>)</w:t>
            </w:r>
            <w:r w:rsidRPr="00702AC0">
              <w:rPr>
                <w:rFonts w:asciiTheme="minorHAnsi" w:hAnsiTheme="minorHAnsi"/>
                <w:sz w:val="22"/>
                <w:szCs w:val="22"/>
              </w:rPr>
              <w:t xml:space="preserve"> manages the ECHO grants to EMOPS Geneva. </w:t>
            </w:r>
          </w:p>
        </w:tc>
      </w:tr>
      <w:tr w:rsidR="006E39CA" w:rsidRPr="00197CA7" w14:paraId="6242A973" w14:textId="77777777" w:rsidTr="006E4BAB">
        <w:tc>
          <w:tcPr>
            <w:tcW w:w="3028" w:type="dxa"/>
          </w:tcPr>
          <w:p w14:paraId="49FE7572" w14:textId="7C550093" w:rsidR="006E39CA" w:rsidRPr="00702AC0" w:rsidRDefault="00702AC0" w:rsidP="006E4BAB">
            <w:pPr>
              <w:rPr>
                <w:rFonts w:asciiTheme="minorHAnsi" w:hAnsiTheme="minorHAnsi"/>
                <w:b/>
                <w:sz w:val="22"/>
                <w:szCs w:val="22"/>
              </w:rPr>
            </w:pPr>
            <w:r>
              <w:rPr>
                <w:rFonts w:asciiTheme="minorHAnsi" w:hAnsiTheme="minorHAnsi"/>
                <w:b/>
                <w:sz w:val="22"/>
                <w:szCs w:val="22"/>
              </w:rPr>
              <w:t>PPD</w:t>
            </w:r>
            <w:r w:rsidR="006E39CA" w:rsidRPr="00702AC0">
              <w:rPr>
                <w:rFonts w:asciiTheme="minorHAnsi" w:hAnsiTheme="minorHAnsi"/>
                <w:b/>
                <w:sz w:val="22"/>
                <w:szCs w:val="22"/>
              </w:rPr>
              <w:t xml:space="preserve"> Contact</w:t>
            </w:r>
          </w:p>
        </w:tc>
        <w:tc>
          <w:tcPr>
            <w:tcW w:w="6422" w:type="dxa"/>
          </w:tcPr>
          <w:p w14:paraId="41EC664A" w14:textId="77777777" w:rsidR="006E39CA" w:rsidRPr="00702AC0" w:rsidRDefault="006E39CA" w:rsidP="00527DAE">
            <w:pPr>
              <w:rPr>
                <w:rFonts w:asciiTheme="minorHAnsi" w:hAnsiTheme="minorHAnsi"/>
                <w:b/>
                <w:sz w:val="22"/>
                <w:szCs w:val="22"/>
                <w:lang w:val="fr-FR"/>
              </w:rPr>
            </w:pPr>
            <w:r w:rsidRPr="00702AC0">
              <w:rPr>
                <w:rFonts w:asciiTheme="minorHAnsi" w:hAnsiTheme="minorHAnsi"/>
                <w:b/>
                <w:sz w:val="22"/>
                <w:szCs w:val="22"/>
                <w:lang w:val="fr-FR"/>
              </w:rPr>
              <w:t xml:space="preserve">Marie France Bourgeois </w:t>
            </w:r>
          </w:p>
          <w:p w14:paraId="251CF07D" w14:textId="77777777" w:rsidR="006E39CA" w:rsidRPr="00702AC0" w:rsidRDefault="00197CA7" w:rsidP="00527DAE">
            <w:pPr>
              <w:rPr>
                <w:rFonts w:asciiTheme="minorHAnsi" w:hAnsiTheme="minorHAnsi"/>
                <w:b/>
                <w:sz w:val="22"/>
                <w:szCs w:val="22"/>
                <w:lang w:val="fr-FR"/>
              </w:rPr>
            </w:pPr>
            <w:hyperlink r:id="rId10" w:history="1">
              <w:r w:rsidR="006E39CA" w:rsidRPr="00702AC0">
                <w:rPr>
                  <w:rStyle w:val="Hyperlink"/>
                  <w:rFonts w:asciiTheme="minorHAnsi" w:hAnsiTheme="minorHAnsi"/>
                  <w:color w:val="000000"/>
                  <w:sz w:val="22"/>
                  <w:szCs w:val="22"/>
                  <w:lang w:val="fr-FR"/>
                </w:rPr>
                <w:t>mfbourgeois@unicef.org</w:t>
              </w:r>
            </w:hyperlink>
          </w:p>
        </w:tc>
      </w:tr>
      <w:tr w:rsidR="006E39CA" w:rsidRPr="00702AC0" w14:paraId="1515CAAF" w14:textId="77777777" w:rsidTr="006E4BAB">
        <w:tc>
          <w:tcPr>
            <w:tcW w:w="3028" w:type="dxa"/>
          </w:tcPr>
          <w:p w14:paraId="631BFA0C" w14:textId="77777777" w:rsidR="006E39CA" w:rsidRPr="00702AC0" w:rsidRDefault="006E39CA" w:rsidP="006E39CA">
            <w:pPr>
              <w:rPr>
                <w:rFonts w:asciiTheme="minorHAnsi" w:hAnsiTheme="minorHAnsi"/>
                <w:b/>
                <w:sz w:val="22"/>
                <w:szCs w:val="22"/>
              </w:rPr>
            </w:pPr>
            <w:r w:rsidRPr="00702AC0">
              <w:rPr>
                <w:rFonts w:asciiTheme="minorHAnsi" w:hAnsiTheme="minorHAnsi"/>
                <w:b/>
                <w:sz w:val="22"/>
                <w:szCs w:val="22"/>
              </w:rPr>
              <w:t>ECHO Technical Contact</w:t>
            </w:r>
          </w:p>
        </w:tc>
        <w:tc>
          <w:tcPr>
            <w:tcW w:w="6422" w:type="dxa"/>
          </w:tcPr>
          <w:p w14:paraId="43549AF7" w14:textId="77777777" w:rsidR="006E39CA" w:rsidRPr="00702AC0" w:rsidRDefault="006E39CA" w:rsidP="006E39CA">
            <w:pPr>
              <w:rPr>
                <w:rFonts w:asciiTheme="minorHAnsi" w:hAnsiTheme="minorHAnsi"/>
                <w:sz w:val="22"/>
                <w:szCs w:val="22"/>
              </w:rPr>
            </w:pPr>
            <w:r w:rsidRPr="00702AC0">
              <w:rPr>
                <w:rFonts w:asciiTheme="minorHAnsi" w:hAnsiTheme="minorHAnsi"/>
                <w:sz w:val="22"/>
                <w:szCs w:val="22"/>
              </w:rPr>
              <w:t>Chazaly Catherine, Nutrition Adviser</w:t>
            </w:r>
          </w:p>
          <w:p w14:paraId="1FC9D232" w14:textId="77777777" w:rsidR="006E39CA" w:rsidRPr="00702AC0" w:rsidRDefault="00197CA7" w:rsidP="006E39CA">
            <w:pPr>
              <w:rPr>
                <w:rFonts w:asciiTheme="minorHAnsi" w:hAnsiTheme="minorHAnsi"/>
                <w:sz w:val="22"/>
                <w:szCs w:val="22"/>
              </w:rPr>
            </w:pPr>
            <w:hyperlink r:id="rId11" w:history="1">
              <w:r w:rsidR="006E39CA" w:rsidRPr="00702AC0">
                <w:rPr>
                  <w:rStyle w:val="Hyperlink"/>
                  <w:rFonts w:asciiTheme="minorHAnsi" w:hAnsiTheme="minorHAnsi"/>
                  <w:color w:val="0070C0"/>
                  <w:sz w:val="22"/>
                  <w:szCs w:val="22"/>
                </w:rPr>
                <w:t>Catherine.chazaly@eu.europa.eu</w:t>
              </w:r>
            </w:hyperlink>
          </w:p>
          <w:p w14:paraId="1C918130" w14:textId="77777777" w:rsidR="006E39CA" w:rsidRPr="00702AC0" w:rsidRDefault="006E39CA" w:rsidP="006E39CA">
            <w:pPr>
              <w:rPr>
                <w:rFonts w:asciiTheme="minorHAnsi" w:hAnsiTheme="minorHAnsi"/>
                <w:sz w:val="22"/>
                <w:szCs w:val="22"/>
              </w:rPr>
            </w:pPr>
            <w:r w:rsidRPr="00702AC0">
              <w:rPr>
                <w:rFonts w:asciiTheme="minorHAnsi" w:hAnsiTheme="minorHAnsi"/>
                <w:sz w:val="22"/>
                <w:szCs w:val="22"/>
              </w:rPr>
              <w:t>Brussels, Belgium</w:t>
            </w:r>
          </w:p>
        </w:tc>
      </w:tr>
    </w:tbl>
    <w:p w14:paraId="000D508E" w14:textId="77777777" w:rsidR="00A51B3A" w:rsidRPr="00702AC0" w:rsidRDefault="00A51B3A" w:rsidP="00A51B3A">
      <w:pPr>
        <w:rPr>
          <w:rFonts w:cs="Times New Roman"/>
        </w:rPr>
      </w:pPr>
    </w:p>
    <w:p w14:paraId="19D7F4D0" w14:textId="77777777" w:rsidR="00A51B3A" w:rsidRPr="00702AC0" w:rsidRDefault="00A51B3A">
      <w:pPr>
        <w:rPr>
          <w:rFonts w:cs="Times New Roman"/>
        </w:rPr>
      </w:pPr>
    </w:p>
    <w:sectPr w:rsidR="00A51B3A" w:rsidRPr="00702AC0" w:rsidSect="00A51B3A">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yriad Pro Light">
    <w:altName w:val="Calibri"/>
    <w:panose1 w:val="00000000000000000000"/>
    <w:charset w:val="00"/>
    <w:family w:val="swiss"/>
    <w:notTrueType/>
    <w:pitch w:val="default"/>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6F5"/>
    <w:rsid w:val="000047D6"/>
    <w:rsid w:val="00007AFA"/>
    <w:rsid w:val="0001193C"/>
    <w:rsid w:val="000138C7"/>
    <w:rsid w:val="000171F5"/>
    <w:rsid w:val="00017500"/>
    <w:rsid w:val="00021413"/>
    <w:rsid w:val="00021AB7"/>
    <w:rsid w:val="00033243"/>
    <w:rsid w:val="00037FC5"/>
    <w:rsid w:val="000416B5"/>
    <w:rsid w:val="0005035B"/>
    <w:rsid w:val="000541C0"/>
    <w:rsid w:val="00070661"/>
    <w:rsid w:val="000825D7"/>
    <w:rsid w:val="000A367A"/>
    <w:rsid w:val="000A3C31"/>
    <w:rsid w:val="000C261A"/>
    <w:rsid w:val="000C4A43"/>
    <w:rsid w:val="000E30F7"/>
    <w:rsid w:val="00103429"/>
    <w:rsid w:val="00123EB5"/>
    <w:rsid w:val="001363F5"/>
    <w:rsid w:val="00140005"/>
    <w:rsid w:val="00146035"/>
    <w:rsid w:val="001461DE"/>
    <w:rsid w:val="001564E4"/>
    <w:rsid w:val="00160E19"/>
    <w:rsid w:val="001659C1"/>
    <w:rsid w:val="00172C55"/>
    <w:rsid w:val="001806F5"/>
    <w:rsid w:val="00197CA7"/>
    <w:rsid w:val="00197F76"/>
    <w:rsid w:val="001B78F0"/>
    <w:rsid w:val="001F18BA"/>
    <w:rsid w:val="001F388A"/>
    <w:rsid w:val="001F7F57"/>
    <w:rsid w:val="00202667"/>
    <w:rsid w:val="002107BE"/>
    <w:rsid w:val="00232334"/>
    <w:rsid w:val="002349BC"/>
    <w:rsid w:val="002441AD"/>
    <w:rsid w:val="002551FE"/>
    <w:rsid w:val="002672A2"/>
    <w:rsid w:val="0028780F"/>
    <w:rsid w:val="00296765"/>
    <w:rsid w:val="002C09F2"/>
    <w:rsid w:val="002D1AD4"/>
    <w:rsid w:val="002D6599"/>
    <w:rsid w:val="002E3481"/>
    <w:rsid w:val="002F6FBF"/>
    <w:rsid w:val="0031201C"/>
    <w:rsid w:val="00326F30"/>
    <w:rsid w:val="00332E17"/>
    <w:rsid w:val="00333D0B"/>
    <w:rsid w:val="00344085"/>
    <w:rsid w:val="00352D3E"/>
    <w:rsid w:val="00356045"/>
    <w:rsid w:val="00367702"/>
    <w:rsid w:val="00370CB9"/>
    <w:rsid w:val="003759FD"/>
    <w:rsid w:val="003B4FBA"/>
    <w:rsid w:val="003C3660"/>
    <w:rsid w:val="003E28BC"/>
    <w:rsid w:val="003E437E"/>
    <w:rsid w:val="003F1908"/>
    <w:rsid w:val="003F72CA"/>
    <w:rsid w:val="004037A6"/>
    <w:rsid w:val="00406378"/>
    <w:rsid w:val="00416125"/>
    <w:rsid w:val="00425935"/>
    <w:rsid w:val="00426E1C"/>
    <w:rsid w:val="0043538B"/>
    <w:rsid w:val="00440057"/>
    <w:rsid w:val="00454D35"/>
    <w:rsid w:val="00455548"/>
    <w:rsid w:val="004560F4"/>
    <w:rsid w:val="00463163"/>
    <w:rsid w:val="0047104B"/>
    <w:rsid w:val="00475033"/>
    <w:rsid w:val="00476D85"/>
    <w:rsid w:val="004A7418"/>
    <w:rsid w:val="004B63FA"/>
    <w:rsid w:val="004C2AE2"/>
    <w:rsid w:val="004D1CDE"/>
    <w:rsid w:val="004F3921"/>
    <w:rsid w:val="00501412"/>
    <w:rsid w:val="0050511D"/>
    <w:rsid w:val="0052090C"/>
    <w:rsid w:val="00527DAE"/>
    <w:rsid w:val="00531CAE"/>
    <w:rsid w:val="00557D3F"/>
    <w:rsid w:val="0056427B"/>
    <w:rsid w:val="00570292"/>
    <w:rsid w:val="00570B73"/>
    <w:rsid w:val="0058212C"/>
    <w:rsid w:val="00584902"/>
    <w:rsid w:val="00594617"/>
    <w:rsid w:val="005A443E"/>
    <w:rsid w:val="005A52FB"/>
    <w:rsid w:val="005D69E4"/>
    <w:rsid w:val="005E232A"/>
    <w:rsid w:val="005E3371"/>
    <w:rsid w:val="005E7BB4"/>
    <w:rsid w:val="00607026"/>
    <w:rsid w:val="00611428"/>
    <w:rsid w:val="00633717"/>
    <w:rsid w:val="006426C6"/>
    <w:rsid w:val="0066759B"/>
    <w:rsid w:val="00673133"/>
    <w:rsid w:val="006737E3"/>
    <w:rsid w:val="00694762"/>
    <w:rsid w:val="006B6728"/>
    <w:rsid w:val="006C3120"/>
    <w:rsid w:val="006C4FE7"/>
    <w:rsid w:val="006D5CB4"/>
    <w:rsid w:val="006E39CA"/>
    <w:rsid w:val="00702AC0"/>
    <w:rsid w:val="007350B9"/>
    <w:rsid w:val="007377C9"/>
    <w:rsid w:val="00740B73"/>
    <w:rsid w:val="0074390F"/>
    <w:rsid w:val="00767620"/>
    <w:rsid w:val="00783A82"/>
    <w:rsid w:val="00784988"/>
    <w:rsid w:val="00785035"/>
    <w:rsid w:val="00792116"/>
    <w:rsid w:val="0079310A"/>
    <w:rsid w:val="007C4029"/>
    <w:rsid w:val="007C7480"/>
    <w:rsid w:val="007D12F3"/>
    <w:rsid w:val="007D7A9C"/>
    <w:rsid w:val="007E0A06"/>
    <w:rsid w:val="007E4C8B"/>
    <w:rsid w:val="007E62CE"/>
    <w:rsid w:val="00800A12"/>
    <w:rsid w:val="00831616"/>
    <w:rsid w:val="008752A5"/>
    <w:rsid w:val="0087715B"/>
    <w:rsid w:val="008863D8"/>
    <w:rsid w:val="008A0F0B"/>
    <w:rsid w:val="008A1180"/>
    <w:rsid w:val="008D0B15"/>
    <w:rsid w:val="008E5BC9"/>
    <w:rsid w:val="0090070F"/>
    <w:rsid w:val="0091039F"/>
    <w:rsid w:val="00923A0E"/>
    <w:rsid w:val="0092435D"/>
    <w:rsid w:val="009255F1"/>
    <w:rsid w:val="00935D0B"/>
    <w:rsid w:val="009547FB"/>
    <w:rsid w:val="00954A11"/>
    <w:rsid w:val="009A005D"/>
    <w:rsid w:val="009A0BF3"/>
    <w:rsid w:val="009B72D7"/>
    <w:rsid w:val="009C0047"/>
    <w:rsid w:val="009C55BE"/>
    <w:rsid w:val="009C5F10"/>
    <w:rsid w:val="009D28A2"/>
    <w:rsid w:val="009D6CF4"/>
    <w:rsid w:val="009F7620"/>
    <w:rsid w:val="00A37248"/>
    <w:rsid w:val="00A409D7"/>
    <w:rsid w:val="00A40DA0"/>
    <w:rsid w:val="00A51B3A"/>
    <w:rsid w:val="00A520B7"/>
    <w:rsid w:val="00A566DB"/>
    <w:rsid w:val="00A6187C"/>
    <w:rsid w:val="00A6510B"/>
    <w:rsid w:val="00A76C23"/>
    <w:rsid w:val="00A92646"/>
    <w:rsid w:val="00A930C2"/>
    <w:rsid w:val="00AA6E62"/>
    <w:rsid w:val="00AB7711"/>
    <w:rsid w:val="00AC2CA6"/>
    <w:rsid w:val="00AF00DA"/>
    <w:rsid w:val="00AF3AF7"/>
    <w:rsid w:val="00B0732F"/>
    <w:rsid w:val="00B12892"/>
    <w:rsid w:val="00B33898"/>
    <w:rsid w:val="00B41F15"/>
    <w:rsid w:val="00B5118E"/>
    <w:rsid w:val="00B949B5"/>
    <w:rsid w:val="00B9537B"/>
    <w:rsid w:val="00B964E0"/>
    <w:rsid w:val="00B97FAB"/>
    <w:rsid w:val="00BC59F7"/>
    <w:rsid w:val="00C0216B"/>
    <w:rsid w:val="00C02D53"/>
    <w:rsid w:val="00C103B2"/>
    <w:rsid w:val="00C12AB3"/>
    <w:rsid w:val="00C13651"/>
    <w:rsid w:val="00C255D8"/>
    <w:rsid w:val="00C44F72"/>
    <w:rsid w:val="00C4778D"/>
    <w:rsid w:val="00C61B44"/>
    <w:rsid w:val="00C8092E"/>
    <w:rsid w:val="00C91240"/>
    <w:rsid w:val="00CA3B73"/>
    <w:rsid w:val="00CA72E3"/>
    <w:rsid w:val="00CC5A10"/>
    <w:rsid w:val="00CD56CB"/>
    <w:rsid w:val="00CE2C3C"/>
    <w:rsid w:val="00CE3B4D"/>
    <w:rsid w:val="00CE6B13"/>
    <w:rsid w:val="00D0361E"/>
    <w:rsid w:val="00D04449"/>
    <w:rsid w:val="00D15894"/>
    <w:rsid w:val="00D161D3"/>
    <w:rsid w:val="00D21B9E"/>
    <w:rsid w:val="00D52229"/>
    <w:rsid w:val="00D57A15"/>
    <w:rsid w:val="00D61666"/>
    <w:rsid w:val="00D715E4"/>
    <w:rsid w:val="00D754D8"/>
    <w:rsid w:val="00D82C7A"/>
    <w:rsid w:val="00DA14E8"/>
    <w:rsid w:val="00DB722E"/>
    <w:rsid w:val="00DC274E"/>
    <w:rsid w:val="00DC2CC0"/>
    <w:rsid w:val="00DE7211"/>
    <w:rsid w:val="00E458EE"/>
    <w:rsid w:val="00E5316E"/>
    <w:rsid w:val="00E611C6"/>
    <w:rsid w:val="00E62CC4"/>
    <w:rsid w:val="00E80531"/>
    <w:rsid w:val="00E84A20"/>
    <w:rsid w:val="00EA15FE"/>
    <w:rsid w:val="00EA4864"/>
    <w:rsid w:val="00EB2100"/>
    <w:rsid w:val="00EB6401"/>
    <w:rsid w:val="00EC16A9"/>
    <w:rsid w:val="00EC23B8"/>
    <w:rsid w:val="00EF196A"/>
    <w:rsid w:val="00F02896"/>
    <w:rsid w:val="00F15617"/>
    <w:rsid w:val="00F34D41"/>
    <w:rsid w:val="00F37577"/>
    <w:rsid w:val="00F41D86"/>
    <w:rsid w:val="00F57F28"/>
    <w:rsid w:val="00F603E4"/>
    <w:rsid w:val="00F82607"/>
    <w:rsid w:val="00F9435F"/>
    <w:rsid w:val="00FD4322"/>
    <w:rsid w:val="00FD52CA"/>
    <w:rsid w:val="00FF227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95E776"/>
  <w15:docId w15:val="{BB3F0C49-75C5-49A4-8680-05DB5A16A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326F30"/>
    <w:pPr>
      <w:keepNext/>
      <w:spacing w:before="480" w:after="120" w:line="240" w:lineRule="auto"/>
      <w:ind w:left="720" w:hanging="720"/>
      <w:outlineLvl w:val="1"/>
    </w:pPr>
    <w:rPr>
      <w:rFonts w:ascii="Helvetica" w:eastAsia="Times New Roman" w:hAnsi="Helvetica" w:cs="Arial"/>
      <w:bCs/>
      <w:iCs/>
      <w:color w:val="124486"/>
      <w:spacing w:val="-10"/>
      <w:kern w:val="28"/>
      <w:sz w:val="28"/>
      <w:szCs w:val="28"/>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ranslate">
    <w:name w:val="notranslate"/>
    <w:basedOn w:val="DefaultParagraphFont"/>
    <w:rsid w:val="001806F5"/>
  </w:style>
  <w:style w:type="table" w:styleId="TableGrid">
    <w:name w:val="Table Grid"/>
    <w:basedOn w:val="TableNormal"/>
    <w:rsid w:val="00A51B3A"/>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27DAE"/>
    <w:rPr>
      <w:color w:val="0000FF" w:themeColor="hyperlink"/>
      <w:u w:val="single"/>
    </w:rPr>
  </w:style>
  <w:style w:type="paragraph" w:styleId="BalloonText">
    <w:name w:val="Balloon Text"/>
    <w:basedOn w:val="Normal"/>
    <w:link w:val="BalloonTextChar"/>
    <w:uiPriority w:val="99"/>
    <w:semiHidden/>
    <w:unhideWhenUsed/>
    <w:rsid w:val="000175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7500"/>
    <w:rPr>
      <w:rFonts w:ascii="Segoe UI" w:hAnsi="Segoe UI" w:cs="Segoe UI"/>
      <w:sz w:val="18"/>
      <w:szCs w:val="18"/>
    </w:rPr>
  </w:style>
  <w:style w:type="paragraph" w:customStyle="1" w:styleId="Default">
    <w:name w:val="Default"/>
    <w:rsid w:val="006E39CA"/>
    <w:pPr>
      <w:widowControl w:val="0"/>
      <w:autoSpaceDE w:val="0"/>
      <w:autoSpaceDN w:val="0"/>
      <w:adjustRightInd w:val="0"/>
      <w:spacing w:after="0" w:line="240" w:lineRule="auto"/>
    </w:pPr>
    <w:rPr>
      <w:rFonts w:ascii="Myriad Pro Light" w:hAnsi="Myriad Pro Light" w:cs="Myriad Pro Light"/>
      <w:color w:val="000000"/>
      <w:sz w:val="24"/>
      <w:szCs w:val="24"/>
      <w:lang w:val="en-US"/>
    </w:rPr>
  </w:style>
  <w:style w:type="paragraph" w:customStyle="1" w:styleId="Pa3">
    <w:name w:val="Pa3"/>
    <w:basedOn w:val="Default"/>
    <w:next w:val="Default"/>
    <w:uiPriority w:val="99"/>
    <w:rsid w:val="006E39CA"/>
    <w:pPr>
      <w:spacing w:line="241" w:lineRule="atLeast"/>
    </w:pPr>
    <w:rPr>
      <w:rFonts w:cs="Times New Roman"/>
      <w:color w:val="auto"/>
    </w:rPr>
  </w:style>
  <w:style w:type="character" w:customStyle="1" w:styleId="A2">
    <w:name w:val="A2"/>
    <w:uiPriority w:val="99"/>
    <w:rsid w:val="006E39CA"/>
    <w:rPr>
      <w:rFonts w:cs="Myriad Pro Light"/>
      <w:color w:val="000000"/>
      <w:sz w:val="18"/>
      <w:szCs w:val="18"/>
    </w:rPr>
  </w:style>
  <w:style w:type="paragraph" w:customStyle="1" w:styleId="Pa1">
    <w:name w:val="Pa1"/>
    <w:basedOn w:val="Default"/>
    <w:next w:val="Default"/>
    <w:uiPriority w:val="99"/>
    <w:rsid w:val="006E39CA"/>
    <w:pPr>
      <w:spacing w:line="241" w:lineRule="atLeast"/>
    </w:pPr>
    <w:rPr>
      <w:rFonts w:cs="Times New Roman"/>
      <w:color w:val="auto"/>
    </w:rPr>
  </w:style>
  <w:style w:type="character" w:customStyle="1" w:styleId="A3">
    <w:name w:val="A3"/>
    <w:uiPriority w:val="99"/>
    <w:rsid w:val="006E39CA"/>
    <w:rPr>
      <w:rFonts w:cs="Myriad Pro Light"/>
      <w:color w:val="000000"/>
      <w:sz w:val="32"/>
      <w:szCs w:val="32"/>
    </w:rPr>
  </w:style>
  <w:style w:type="character" w:styleId="CommentReference">
    <w:name w:val="annotation reference"/>
    <w:basedOn w:val="DefaultParagraphFont"/>
    <w:uiPriority w:val="99"/>
    <w:semiHidden/>
    <w:unhideWhenUsed/>
    <w:rsid w:val="00007AFA"/>
    <w:rPr>
      <w:sz w:val="18"/>
      <w:szCs w:val="18"/>
    </w:rPr>
  </w:style>
  <w:style w:type="paragraph" w:styleId="CommentText">
    <w:name w:val="annotation text"/>
    <w:basedOn w:val="Normal"/>
    <w:link w:val="CommentTextChar"/>
    <w:uiPriority w:val="99"/>
    <w:semiHidden/>
    <w:unhideWhenUsed/>
    <w:rsid w:val="00007AFA"/>
    <w:pPr>
      <w:spacing w:line="240" w:lineRule="auto"/>
    </w:pPr>
    <w:rPr>
      <w:sz w:val="24"/>
      <w:szCs w:val="24"/>
    </w:rPr>
  </w:style>
  <w:style w:type="character" w:customStyle="1" w:styleId="CommentTextChar">
    <w:name w:val="Comment Text Char"/>
    <w:basedOn w:val="DefaultParagraphFont"/>
    <w:link w:val="CommentText"/>
    <w:uiPriority w:val="99"/>
    <w:semiHidden/>
    <w:rsid w:val="00007AFA"/>
    <w:rPr>
      <w:sz w:val="24"/>
      <w:szCs w:val="24"/>
    </w:rPr>
  </w:style>
  <w:style w:type="paragraph" w:styleId="CommentSubject">
    <w:name w:val="annotation subject"/>
    <w:basedOn w:val="CommentText"/>
    <w:next w:val="CommentText"/>
    <w:link w:val="CommentSubjectChar"/>
    <w:uiPriority w:val="99"/>
    <w:semiHidden/>
    <w:unhideWhenUsed/>
    <w:rsid w:val="00007AFA"/>
    <w:rPr>
      <w:b/>
      <w:bCs/>
      <w:sz w:val="20"/>
      <w:szCs w:val="20"/>
    </w:rPr>
  </w:style>
  <w:style w:type="character" w:customStyle="1" w:styleId="CommentSubjectChar">
    <w:name w:val="Comment Subject Char"/>
    <w:basedOn w:val="CommentTextChar"/>
    <w:link w:val="CommentSubject"/>
    <w:uiPriority w:val="99"/>
    <w:semiHidden/>
    <w:rsid w:val="00007AFA"/>
    <w:rPr>
      <w:b/>
      <w:bCs/>
      <w:sz w:val="20"/>
      <w:szCs w:val="20"/>
    </w:rPr>
  </w:style>
  <w:style w:type="character" w:customStyle="1" w:styleId="Heading2Char">
    <w:name w:val="Heading 2 Char"/>
    <w:basedOn w:val="DefaultParagraphFont"/>
    <w:link w:val="Heading2"/>
    <w:rsid w:val="00326F30"/>
    <w:rPr>
      <w:rFonts w:ascii="Helvetica" w:eastAsia="Times New Roman" w:hAnsi="Helvetica" w:cs="Arial"/>
      <w:bCs/>
      <w:iCs/>
      <w:color w:val="124486"/>
      <w:spacing w:val="-10"/>
      <w:kern w:val="28"/>
      <w:sz w:val="28"/>
      <w:szCs w:val="28"/>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6445017">
      <w:bodyDiv w:val="1"/>
      <w:marLeft w:val="0"/>
      <w:marRight w:val="0"/>
      <w:marTop w:val="0"/>
      <w:marBottom w:val="0"/>
      <w:divBdr>
        <w:top w:val="none" w:sz="0" w:space="0" w:color="auto"/>
        <w:left w:val="none" w:sz="0" w:space="0" w:color="auto"/>
        <w:bottom w:val="none" w:sz="0" w:space="0" w:color="auto"/>
        <w:right w:val="none" w:sz="0" w:space="0" w:color="auto"/>
      </w:divBdr>
    </w:div>
    <w:div w:id="1329671591">
      <w:bodyDiv w:val="1"/>
      <w:marLeft w:val="0"/>
      <w:marRight w:val="0"/>
      <w:marTop w:val="0"/>
      <w:marBottom w:val="0"/>
      <w:divBdr>
        <w:top w:val="none" w:sz="0" w:space="0" w:color="auto"/>
        <w:left w:val="none" w:sz="0" w:space="0" w:color="auto"/>
        <w:bottom w:val="none" w:sz="0" w:space="0" w:color="auto"/>
        <w:right w:val="none" w:sz="0" w:space="0" w:color="auto"/>
      </w:divBdr>
      <w:divsChild>
        <w:div w:id="829515572">
          <w:marLeft w:val="0"/>
          <w:marRight w:val="0"/>
          <w:marTop w:val="0"/>
          <w:marBottom w:val="0"/>
          <w:divBdr>
            <w:top w:val="none" w:sz="0" w:space="0" w:color="auto"/>
            <w:left w:val="none" w:sz="0" w:space="0" w:color="auto"/>
            <w:bottom w:val="none" w:sz="0" w:space="0" w:color="auto"/>
            <w:right w:val="none" w:sz="0" w:space="0" w:color="auto"/>
          </w:divBdr>
          <w:divsChild>
            <w:div w:id="106214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295128">
      <w:bodyDiv w:val="1"/>
      <w:marLeft w:val="0"/>
      <w:marRight w:val="0"/>
      <w:marTop w:val="0"/>
      <w:marBottom w:val="0"/>
      <w:divBdr>
        <w:top w:val="none" w:sz="0" w:space="0" w:color="auto"/>
        <w:left w:val="none" w:sz="0" w:space="0" w:color="auto"/>
        <w:bottom w:val="none" w:sz="0" w:space="0" w:color="auto"/>
        <w:right w:val="none" w:sz="0" w:space="0" w:color="auto"/>
      </w:divBdr>
      <w:divsChild>
        <w:div w:id="1307391943">
          <w:marLeft w:val="0"/>
          <w:marRight w:val="0"/>
          <w:marTop w:val="0"/>
          <w:marBottom w:val="0"/>
          <w:divBdr>
            <w:top w:val="none" w:sz="0" w:space="0" w:color="auto"/>
            <w:left w:val="none" w:sz="0" w:space="0" w:color="auto"/>
            <w:bottom w:val="none" w:sz="0" w:space="0" w:color="auto"/>
            <w:right w:val="none" w:sz="0" w:space="0" w:color="auto"/>
          </w:divBdr>
          <w:divsChild>
            <w:div w:id="56252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cef.org/eu/devaid_nutrition.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ec.europa.eu/echo/policies/nutrition_en.ht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mailto:Catherine.chazaly@eu.europa.eu" TargetMode="External"/><Relationship Id="rId5" Type="http://schemas.openxmlformats.org/officeDocument/2006/relationships/image" Target="media/image1.gif"/><Relationship Id="rId10" Type="http://schemas.openxmlformats.org/officeDocument/2006/relationships/hyperlink" Target="mailto:mfbourgeois@unicef.org" TargetMode="External"/><Relationship Id="rId4" Type="http://schemas.openxmlformats.org/officeDocument/2006/relationships/hyperlink" Target="http://ec.europa.eu/echo/index_en.htm" TargetMode="External"/><Relationship Id="rId9" Type="http://schemas.openxmlformats.org/officeDocument/2006/relationships/hyperlink" Target="mailto:remccarthy@unice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548</Words>
  <Characters>3129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3670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La Greca</dc:creator>
  <cp:keywords/>
  <dc:description/>
  <cp:lastModifiedBy>Josephine Ippe</cp:lastModifiedBy>
  <cp:revision>3</cp:revision>
  <cp:lastPrinted>2014-06-16T13:40:00Z</cp:lastPrinted>
  <dcterms:created xsi:type="dcterms:W3CDTF">2014-11-10T11:35:00Z</dcterms:created>
  <dcterms:modified xsi:type="dcterms:W3CDTF">2014-11-10T11:56:00Z</dcterms:modified>
</cp:coreProperties>
</file>