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9FE22" w14:textId="2C053FCF" w:rsidR="0032575F" w:rsidRDefault="00E83B0B" w:rsidP="00EF01C6">
      <w:pPr>
        <w:ind w:left="-1440" w:right="-1440"/>
        <w:rPr>
          <w:noProof/>
        </w:rPr>
      </w:pPr>
      <w:r>
        <w:rPr>
          <w:noProof/>
        </w:rPr>
        <w:drawing>
          <wp:anchor distT="0" distB="0" distL="114300" distR="114300" simplePos="0" relativeHeight="251697152" behindDoc="0" locked="0" layoutInCell="1" allowOverlap="1" wp14:anchorId="53279245" wp14:editId="1060DC9B">
            <wp:simplePos x="0" y="0"/>
            <wp:positionH relativeFrom="column">
              <wp:posOffset>-770890</wp:posOffset>
            </wp:positionH>
            <wp:positionV relativeFrom="paragraph">
              <wp:posOffset>123825</wp:posOffset>
            </wp:positionV>
            <wp:extent cx="2533650" cy="688759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688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575F">
        <w:rPr>
          <w:noProof/>
        </w:rPr>
        <w:drawing>
          <wp:anchor distT="0" distB="0" distL="114300" distR="114300" simplePos="0" relativeHeight="251661312" behindDoc="0" locked="0" layoutInCell="1" allowOverlap="1" wp14:anchorId="4493D609" wp14:editId="7131BEAA">
            <wp:simplePos x="0" y="0"/>
            <wp:positionH relativeFrom="page">
              <wp:posOffset>4381500</wp:posOffset>
            </wp:positionH>
            <wp:positionV relativeFrom="paragraph">
              <wp:posOffset>9525</wp:posOffset>
            </wp:positionV>
            <wp:extent cx="3383915" cy="698113"/>
            <wp:effectExtent l="0" t="0" r="6985" b="6985"/>
            <wp:wrapNone/>
            <wp:docPr id="2" name="Picture 2" descr="Image result for world vis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world vision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4337" cy="704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3C16AE" w14:textId="6C5568C9" w:rsidR="0032575F" w:rsidRDefault="0032575F" w:rsidP="0032575F">
      <w:pPr>
        <w:ind w:left="-1440" w:right="-1440" w:firstLine="720"/>
        <w:rPr>
          <w:noProof/>
        </w:rPr>
      </w:pPr>
    </w:p>
    <w:p w14:paraId="73473B4D" w14:textId="0D5BB6B0" w:rsidR="0032575F" w:rsidRDefault="0026336C" w:rsidP="0032575F">
      <w:pPr>
        <w:ind w:left="-1440" w:right="-1440" w:firstLine="720"/>
        <w:rPr>
          <w:noProof/>
        </w:rPr>
      </w:pPr>
      <w:r w:rsidRPr="0026336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96536AA" wp14:editId="580C2846">
                <wp:simplePos x="0" y="0"/>
                <wp:positionH relativeFrom="margin">
                  <wp:posOffset>-488950</wp:posOffset>
                </wp:positionH>
                <wp:positionV relativeFrom="paragraph">
                  <wp:posOffset>309880</wp:posOffset>
                </wp:positionV>
                <wp:extent cx="6921500" cy="782320"/>
                <wp:effectExtent l="0" t="0" r="0" b="0"/>
                <wp:wrapNone/>
                <wp:docPr id="10" name="Title 1">
                  <a:extLst xmlns:a="http://schemas.openxmlformats.org/drawingml/2006/main"/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921500" cy="7823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C932677" w14:textId="00C21705" w:rsidR="00FD32EF" w:rsidRPr="001B1770" w:rsidRDefault="00FD32EF" w:rsidP="0026336C">
                            <w:pPr>
                              <w:pStyle w:val="NormalWeb"/>
                              <w:pBdr>
                                <w:bottom w:val="single" w:sz="4" w:space="1" w:color="auto"/>
                              </w:pBdr>
                              <w:spacing w:before="0" w:beforeAutospacing="0" w:after="0" w:afterAutospacing="0"/>
                              <w:jc w:val="center"/>
                              <w:rPr>
                                <w:rFonts w:ascii="Trebuchet MS" w:eastAsia="+mj-ea" w:hAnsi="Trebuchet MS" w:cs="+mj-cs"/>
                                <w:color w:val="E84C22"/>
                                <w:kern w:val="24"/>
                                <w:sz w:val="44"/>
                                <w:szCs w:val="44"/>
                              </w:rPr>
                            </w:pPr>
                            <w:r w:rsidRPr="001B1770">
                              <w:rPr>
                                <w:rFonts w:ascii="Trebuchet MS" w:eastAsia="+mj-ea" w:hAnsi="Trebuchet MS" w:cs="+mj-cs"/>
                                <w:color w:val="E84C22"/>
                                <w:kern w:val="24"/>
                                <w:sz w:val="44"/>
                                <w:szCs w:val="44"/>
                              </w:rPr>
                              <w:t>Protecting Nutrition of Pregnant and Lactating Women and Children in Acute Food Crises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b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6536AA" id="Title 1" o:spid="_x0000_s1026" style="position:absolute;left:0;text-align:left;margin-left:-38.5pt;margin-top:24.4pt;width:545pt;height:61.6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EuTxgEAAHsDAAAOAAAAZHJzL2Uyb0RvYy54bWysU9uO0zAQfUfiHyy/01zo3qKmK8SKFdIK&#10;VtrlAxzHbixijxm7TcrXM3HSsgtviBdrnBmfOefMZHM72p4dFAYDrubFKudMOQmtcbuaf3v+9O6a&#10;sxCFa0UPTtX8qAK/3b59sxl8pUrooG8VMgJxoRp8zbsYfZVlQXbKirACrxwlNaAVka64y1oUA6Hb&#10;Pivz/DIbAFuPIFUI9PVuTvJtwtdayfhV66Ai62tO3GI6MZ3NdGbbjah2KHxn5EJD/AMLK4yjpmeo&#10;OxEF26P5C8oaiRBAx5UEm4HWRqqkgdQU+R9qnjrhVdJC5gR/tin8P1j55fCIzLQ0O7LHCUszejax&#10;V6xIetQYH0Ikl7LBhypVT96m8Mk/4qQ5+AeQ3wNzcI80wmIy9VQ+10wPwlI9arTTK9LOxjSI43kQ&#10;1I1J+nh5UxYXORGSlLu6Lt+XaVKZqE6vPYZ4r8CyKag50qATX3FY6IrqVLKQmftPTOLYjERxChto&#10;j6SfFphAOsCfnA20DDUPP/YCFWf9Z0du3xTr9bQ96bK+uCI6DF9mmleZ2H+Eed+Ek4Ra8yaRc/Bh&#10;H0Gbs59z+4UgTZiiVyv08p6qfv8z218AAAD//wMAUEsDBBQABgAIAAAAIQAe8Zkx4AAAAAsBAAAP&#10;AAAAZHJzL2Rvd25yZXYueG1sTI/RasJAEEXfC/2HZYS+6a5ajKTZSFGkFFpB6wdskjEJZmfD7qrp&#10;33d8qm8zcy93zs1Wg+3EFX1oHWmYThQIpNJVLdUajj/b8RJEiIYq0zlCDb8YYJU/P2UmrdyN9ng9&#10;xFpwCIXUaGhi7FMpQ9mgNWHieiTWTs5bE3n1tay8uXG47eRMqYW0piX+0Jge1w2W58PFaph/7Xb+&#10;e3PeLtTm+EnOD+uPYq/1y2h4fwMRcYj/ZrjjMzrkzFS4C1VBdBrGScJdoobXJVe4G9R0zpeCp2Sm&#10;QOaZfOyQ/wEAAP//AwBQSwECLQAUAAYACAAAACEAtoM4kv4AAADhAQAAEwAAAAAAAAAAAAAAAAAA&#10;AAAAW0NvbnRlbnRfVHlwZXNdLnhtbFBLAQItABQABgAIAAAAIQA4/SH/1gAAAJQBAAALAAAAAAAA&#10;AAAAAAAAAC8BAABfcmVscy8ucmVsc1BLAQItABQABgAIAAAAIQAj7EuTxgEAAHsDAAAOAAAAAAAA&#10;AAAAAAAAAC4CAABkcnMvZTJvRG9jLnhtbFBLAQItABQABgAIAAAAIQAe8Zkx4AAAAAsBAAAPAAAA&#10;AAAAAAAAAAAAACAEAABkcnMvZG93bnJldi54bWxQSwUGAAAAAAQABADzAAAALQUAAAAA&#10;" filled="f" stroked="f">
                <o:lock v:ext="edit" grouping="t"/>
                <v:textbox>
                  <w:txbxContent>
                    <w:p w14:paraId="1C932677" w14:textId="00C21705" w:rsidR="00FD32EF" w:rsidRPr="001B1770" w:rsidRDefault="00FD32EF" w:rsidP="0026336C">
                      <w:pPr>
                        <w:pStyle w:val="NormalWeb"/>
                        <w:pBdr>
                          <w:bottom w:val="single" w:sz="4" w:space="1" w:color="auto"/>
                        </w:pBdr>
                        <w:spacing w:before="0" w:beforeAutospacing="0" w:after="0" w:afterAutospacing="0"/>
                        <w:jc w:val="center"/>
                        <w:rPr>
                          <w:rFonts w:ascii="Trebuchet MS" w:eastAsia="+mj-ea" w:hAnsi="Trebuchet MS" w:cs="+mj-cs"/>
                          <w:color w:val="E84C22"/>
                          <w:kern w:val="24"/>
                          <w:sz w:val="44"/>
                          <w:szCs w:val="44"/>
                        </w:rPr>
                      </w:pPr>
                      <w:r w:rsidRPr="001B1770">
                        <w:rPr>
                          <w:rFonts w:ascii="Trebuchet MS" w:eastAsia="+mj-ea" w:hAnsi="Trebuchet MS" w:cs="+mj-cs"/>
                          <w:color w:val="E84C22"/>
                          <w:kern w:val="24"/>
                          <w:sz w:val="44"/>
                          <w:szCs w:val="44"/>
                        </w:rPr>
                        <w:t>Protecting Nutrition of Pregnant and Lactating Women and Children in Acute Food Crises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2607FEA" w14:textId="0660ED27" w:rsidR="00BF71B3" w:rsidRPr="00BF71B3" w:rsidRDefault="00BF71B3" w:rsidP="00BF71B3"/>
    <w:p w14:paraId="6E381BCE" w14:textId="267C4484" w:rsidR="00BF71B3" w:rsidRPr="00BF71B3" w:rsidRDefault="00BF71B3" w:rsidP="00BF71B3"/>
    <w:p w14:paraId="17E3A9A8" w14:textId="59B3F09C" w:rsidR="00BF71B3" w:rsidRPr="00BF71B3" w:rsidRDefault="0026336C" w:rsidP="00BF71B3">
      <w:r w:rsidRPr="0032575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69A66E" wp14:editId="4BD964C5">
                <wp:simplePos x="0" y="0"/>
                <wp:positionH relativeFrom="margin">
                  <wp:posOffset>-638175</wp:posOffset>
                </wp:positionH>
                <wp:positionV relativeFrom="paragraph">
                  <wp:posOffset>238760</wp:posOffset>
                </wp:positionV>
                <wp:extent cx="3402330" cy="4019550"/>
                <wp:effectExtent l="0" t="0" r="0" b="0"/>
                <wp:wrapNone/>
                <wp:docPr id="3" name="Content Placeholder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D8DDFE-3A2F-4696-B036-6480C68A241D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3402330" cy="4019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2D8CCF0" w14:textId="6430C16B" w:rsidR="00FD32EF" w:rsidRPr="00EF01C6" w:rsidRDefault="00FD32EF" w:rsidP="001B1770">
                            <w:pPr>
                              <w:pStyle w:val="NormalWeb"/>
                              <w:shd w:val="clear" w:color="auto" w:fill="FBE4D5" w:themeFill="accent2" w:themeFillTint="33"/>
                              <w:spacing w:before="200" w:beforeAutospacing="0" w:after="0" w:afterAutospacing="0"/>
                              <w:rPr>
                                <w:rFonts w:ascii="Trebuchet MS" w:eastAsia="+mj-ea" w:hAnsi="Trebuchet MS" w:cs="+mj-cs"/>
                                <w:color w:val="E84C22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EF01C6">
                              <w:rPr>
                                <w:rFonts w:ascii="Trebuchet MS" w:eastAsia="+mj-ea" w:hAnsi="Trebuchet MS" w:cs="+mj-cs"/>
                                <w:color w:val="E84C22"/>
                                <w:kern w:val="24"/>
                                <w:sz w:val="32"/>
                                <w:szCs w:val="32"/>
                              </w:rPr>
                              <w:t>Objectives and Research Questions</w:t>
                            </w:r>
                          </w:p>
                          <w:p w14:paraId="7567CB6B" w14:textId="186054A8" w:rsidR="00FD32EF" w:rsidRPr="0026336C" w:rsidRDefault="00FD32EF" w:rsidP="00DF755C">
                            <w:pPr>
                              <w:pStyle w:val="NormalWeb"/>
                              <w:spacing w:before="200" w:beforeAutospacing="0" w:after="80" w:afterAutospacing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C031AD">
                              <w:rPr>
                                <w:rFonts w:asciiTheme="minorHAnsi" w:hAnsi="Calibri" w:cstheme="minorBidi"/>
                                <w:b/>
                                <w:bCs/>
                                <w:i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Objective 1:</w:t>
                            </w:r>
                            <w:r w:rsidRPr="0026336C">
                              <w:rPr>
                                <w:rFonts w:asciiTheme="minorHAnsi" w:hAnsi="Calibri" w:cstheme="minorBidi"/>
                                <w:i/>
                                <w:i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6336C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Increase </w:t>
                            </w:r>
                            <w:r w:rsidRPr="001B1770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the understanding o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f</w:t>
                            </w:r>
                            <w:r w:rsidRPr="001B1770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how different transfer modalities affect nutrition and food security outcomes and health seeking behaviors among pregnant and lactating women (PLWs</w:t>
                            </w:r>
                            <w:r w:rsidRPr="0026336C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) and children 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under five (CU5) and</w:t>
                            </w:r>
                            <w:r w:rsidRPr="0026336C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their households. </w:t>
                            </w:r>
                          </w:p>
                          <w:p w14:paraId="29F3B93D" w14:textId="0671797C" w:rsidR="00FD32EF" w:rsidRPr="0026336C" w:rsidRDefault="00FD32EF" w:rsidP="00FD32EF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C031AD">
                              <w:rPr>
                                <w:rFonts w:asciiTheme="minorHAnsi" w:hAnsi="Calibri" w:cstheme="minorBidi"/>
                                <w:b/>
                                <w:bCs/>
                                <w:i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Objective 2</w:t>
                            </w:r>
                            <w:r w:rsidRPr="00C031AD">
                              <w:rPr>
                                <w:rFonts w:asciiTheme="minorHAnsi" w:hAnsi="Calibri" w:cstheme="minorBidi"/>
                                <w:i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:</w:t>
                            </w:r>
                            <w:r w:rsidRPr="0026336C">
                              <w:rPr>
                                <w:rFonts w:asciiTheme="minorHAnsi" w:hAnsi="Calibri" w:cstheme="minorBidi"/>
                                <w:i/>
                                <w:i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B1770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Characterize contextual factors, notably migration and role of men, and challenges of cash transfer programing in Somalia with the aim of developing actionable recommendations</w:t>
                            </w:r>
                            <w:r w:rsidRPr="0026336C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to inform future food and nutrition programming in Somalia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and elsewhere.</w:t>
                            </w:r>
                          </w:p>
                          <w:p w14:paraId="06162C42" w14:textId="77777777" w:rsidR="00FD32EF" w:rsidRPr="0026336C" w:rsidRDefault="00FD32EF" w:rsidP="001B1770">
                            <w:pPr>
                              <w:pStyle w:val="NormalWeb"/>
                              <w:spacing w:before="200" w:beforeAutospacing="0" w:after="60" w:afterAutospacing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1B1770"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  <w:u w:val="single"/>
                              </w:rPr>
                              <w:t>Primary Research Questions</w:t>
                            </w:r>
                            <w:r w:rsidRPr="0026336C"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1BACA450" w14:textId="16F4B95A" w:rsidR="00FD32EF" w:rsidRPr="0026336C" w:rsidRDefault="00FD32EF" w:rsidP="00DF755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450"/>
                              </w:tabs>
                              <w:spacing w:after="80"/>
                              <w:ind w:left="446"/>
                              <w:contextualSpacing w:val="0"/>
                              <w:jc w:val="both"/>
                              <w:rPr>
                                <w:rFonts w:eastAsia="Times New Roman"/>
                                <w:color w:val="4472C4"/>
                                <w:sz w:val="22"/>
                                <w:szCs w:val="22"/>
                              </w:rPr>
                            </w:pPr>
                            <w:r w:rsidRPr="0026336C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Is provision of unconditional 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cash assistance</w:t>
                            </w:r>
                            <w:r w:rsidRPr="0026336C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in addition to vouchers more effective than vouchers alone for preventing acute malnutrition and 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among PLWs and CU5s?</w:t>
                            </w:r>
                          </w:p>
                          <w:p w14:paraId="49285DB7" w14:textId="08911368" w:rsidR="00FD32EF" w:rsidRPr="007D4853" w:rsidRDefault="00FD32EF" w:rsidP="001B177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450"/>
                              </w:tabs>
                              <w:spacing w:after="120"/>
                              <w:ind w:left="450"/>
                              <w:contextualSpacing w:val="0"/>
                              <w:jc w:val="both"/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26336C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What is the added value of unconditional cash transfers with respect to household food security?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69A66E" id="Content Placeholder 2" o:spid="_x0000_s1027" style="position:absolute;margin-left:-50.25pt;margin-top:18.8pt;width:267.9pt;height:316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8XPNAIAAEoEAAAOAAAAZHJzL2Uyb0RvYy54bWysVNtu2zAMfR+wfxD07vimuE4Qp8jNRYFi&#10;C9DtAxRZjo3ZkicptxX991KKk7TbyzDsRSZFiTqHPPTk/tg2aM+VrqXIcDgIMOKCyaIW2wx//5Z7&#10;KUbaUFHQRgqe4RPX+H76+dPk0I15JCvZFFwhSCL0+NBluDKmG/u+ZhVvqR7IjgsIllK11ICrtn6h&#10;6AGyt40fBUHiH6QqOiUZ1xp2l+cgnrr8ZcmZ+VqWmhvUZBiwGbcqt27s6k8ndLxVtKtq1sOg/4Ci&#10;pbWAR6+pltRQtFP1H6namimpZWkGTLa+LMuacccB2ITBb2yeK9pxxwWKo7trmfT/S8u+7NcK1UWG&#10;Y4wEbaFFCykMFwatG8p436DIkeNH86SNpQnWmd5Lnkfz4SonXg6WR4I58eYrMvLyKE5X0V2+iOLk&#10;1d4OkzFTnBoQymNxKXWY/B2Vvum2SMR3xXaYX6J0mS6X+cqLZ1HukWSUePMgTryEpMEiSWcRCZev&#10;tsm+w3z5Ohb+odNjx9+qxZnP3VpZerp7kuyHRkI+KBBl6DJ8OGMd3Z8+lqq1t6Cb6OikdbpKyxaK&#10;wWZMgiiOQYEMYiQIR8OhEx/gulzvlDYPXLbIGhlWoF1XdboHuGcKlyPA4wbAWua4ObqKOKh2ZyOL&#10;E3QWRhNyVVL9wugAMs+w/rmjimPUPArQ0SgkxM6Fc8jwLgJHvY9sPkRMs5BukixfIWc7I8vagbu9&#10;2YMDwbpy98NlJ+K9707dfgHTNwAAAP//AwBQSwMEFAAGAAgAAAAhAHYdO3jiAAAACwEAAA8AAABk&#10;cnMvZG93bnJldi54bWxMj0FLw0AQhe+C/2EZwYu0uzU2lZhJkYJYRCim2vM2GZNgdjbNbpP4711P&#10;ehzex3vfpOvJtGKg3jWWERZzBYK4sGXDFcL7/ml2D8J5zaVuLRPCNzlYZ5cXqU5KO/IbDbmvRChh&#10;l2iE2vsukdIVNRnt5rYjDtmn7Y324ewrWfZ6DOWmlbdKxdLohsNCrTva1FR85WeDMBa74bB/fZa7&#10;m8PW8ml72uQfL4jXV9PjAwhPk/+D4Vc/qEMWnI72zKUTLcJsodQysAjRKgYRiLtoGYE4IsQrFYPM&#10;Uvn/h+wHAAD//wMAUEsBAi0AFAAGAAgAAAAhALaDOJL+AAAA4QEAABMAAAAAAAAAAAAAAAAAAAAA&#10;AFtDb250ZW50X1R5cGVzXS54bWxQSwECLQAUAAYACAAAACEAOP0h/9YAAACUAQAACwAAAAAAAAAA&#10;AAAAAAAvAQAAX3JlbHMvLnJlbHNQSwECLQAUAAYACAAAACEA6qfFzzQCAABKBAAADgAAAAAAAAAA&#10;AAAAAAAuAgAAZHJzL2Uyb0RvYy54bWxQSwECLQAUAAYACAAAACEAdh07eOIAAAALAQAADwAAAAAA&#10;AAAAAAAAAACOBAAAZHJzL2Rvd25yZXYueG1sUEsFBgAAAAAEAAQA8wAAAJ0FAAAAAA==&#10;" filled="f" stroked="f">
                <o:lock v:ext="edit" grouping="t"/>
                <v:textbox>
                  <w:txbxContent>
                    <w:p w14:paraId="62D8CCF0" w14:textId="6430C16B" w:rsidR="00FD32EF" w:rsidRPr="00EF01C6" w:rsidRDefault="00FD32EF" w:rsidP="001B1770">
                      <w:pPr>
                        <w:pStyle w:val="NormalWeb"/>
                        <w:shd w:val="clear" w:color="auto" w:fill="FBE4D5" w:themeFill="accent2" w:themeFillTint="33"/>
                        <w:spacing w:before="200" w:beforeAutospacing="0" w:after="0" w:afterAutospacing="0"/>
                        <w:rPr>
                          <w:rFonts w:ascii="Trebuchet MS" w:eastAsia="+mj-ea" w:hAnsi="Trebuchet MS" w:cs="+mj-cs"/>
                          <w:color w:val="E84C22"/>
                          <w:kern w:val="24"/>
                          <w:sz w:val="32"/>
                          <w:szCs w:val="32"/>
                        </w:rPr>
                      </w:pPr>
                      <w:r w:rsidRPr="00EF01C6">
                        <w:rPr>
                          <w:rFonts w:ascii="Trebuchet MS" w:eastAsia="+mj-ea" w:hAnsi="Trebuchet MS" w:cs="+mj-cs"/>
                          <w:color w:val="E84C22"/>
                          <w:kern w:val="24"/>
                          <w:sz w:val="32"/>
                          <w:szCs w:val="32"/>
                        </w:rPr>
                        <w:t>Objectives and Research Questions</w:t>
                      </w:r>
                    </w:p>
                    <w:p w14:paraId="7567CB6B" w14:textId="186054A8" w:rsidR="00FD32EF" w:rsidRPr="0026336C" w:rsidRDefault="00FD32EF" w:rsidP="00DF755C">
                      <w:pPr>
                        <w:pStyle w:val="NormalWeb"/>
                        <w:spacing w:before="200" w:beforeAutospacing="0" w:after="80" w:afterAutospacing="0"/>
                        <w:jc w:val="both"/>
                        <w:rPr>
                          <w:sz w:val="22"/>
                          <w:szCs w:val="22"/>
                        </w:rPr>
                      </w:pPr>
                      <w:r w:rsidRPr="00C031AD">
                        <w:rPr>
                          <w:rFonts w:asciiTheme="minorHAnsi" w:hAnsi="Calibri" w:cstheme="minorBidi"/>
                          <w:b/>
                          <w:bCs/>
                          <w:iCs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Objective 1:</w:t>
                      </w:r>
                      <w:r w:rsidRPr="0026336C">
                        <w:rPr>
                          <w:rFonts w:asciiTheme="minorHAnsi" w:hAnsi="Calibri" w:cstheme="minorBidi"/>
                          <w:i/>
                          <w:iCs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r w:rsidRPr="0026336C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Increase </w:t>
                      </w:r>
                      <w:r w:rsidRPr="001B1770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the understanding o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f</w:t>
                      </w:r>
                      <w:r w:rsidRPr="001B1770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how different transfer modalities affect nutrition and food security outcomes and health seeking behaviors among pregnant and lactating women (PLWs</w:t>
                      </w:r>
                      <w:r w:rsidRPr="0026336C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) and children 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under five (CU5) and</w:t>
                      </w:r>
                      <w:r w:rsidRPr="0026336C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their households. </w:t>
                      </w:r>
                    </w:p>
                    <w:p w14:paraId="29F3B93D" w14:textId="0671797C" w:rsidR="00FD32EF" w:rsidRPr="0026336C" w:rsidRDefault="00FD32EF" w:rsidP="00FD32EF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sz w:val="22"/>
                          <w:szCs w:val="22"/>
                        </w:rPr>
                      </w:pPr>
                      <w:r w:rsidRPr="00C031AD">
                        <w:rPr>
                          <w:rFonts w:asciiTheme="minorHAnsi" w:hAnsi="Calibri" w:cstheme="minorBidi"/>
                          <w:b/>
                          <w:bCs/>
                          <w:iCs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Objective 2</w:t>
                      </w:r>
                      <w:r w:rsidRPr="00C031AD">
                        <w:rPr>
                          <w:rFonts w:asciiTheme="minorHAnsi" w:hAnsi="Calibri" w:cstheme="minorBidi"/>
                          <w:iCs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:</w:t>
                      </w:r>
                      <w:r w:rsidRPr="0026336C">
                        <w:rPr>
                          <w:rFonts w:asciiTheme="minorHAnsi" w:hAnsi="Calibri" w:cstheme="minorBidi"/>
                          <w:i/>
                          <w:iCs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r w:rsidRPr="001B1770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Characterize contextual factors, notably migration and role of men, and challenges of cash transfer programing in Somalia with the aim of developing actionable recommendations</w:t>
                      </w:r>
                      <w:r w:rsidRPr="0026336C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to inform future food and nutrition programming in Somalia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and elsewhere.</w:t>
                      </w:r>
                    </w:p>
                    <w:p w14:paraId="06162C42" w14:textId="77777777" w:rsidR="00FD32EF" w:rsidRPr="0026336C" w:rsidRDefault="00FD32EF" w:rsidP="001B1770">
                      <w:pPr>
                        <w:pStyle w:val="NormalWeb"/>
                        <w:spacing w:before="200" w:beforeAutospacing="0" w:after="60" w:afterAutospacing="0"/>
                        <w:jc w:val="both"/>
                        <w:rPr>
                          <w:sz w:val="22"/>
                          <w:szCs w:val="22"/>
                        </w:rPr>
                      </w:pPr>
                      <w:r w:rsidRPr="001B1770"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404040" w:themeColor="text1" w:themeTint="BF"/>
                          <w:kern w:val="24"/>
                          <w:sz w:val="22"/>
                          <w:szCs w:val="22"/>
                          <w:u w:val="single"/>
                        </w:rPr>
                        <w:t>Primary Research Questions</w:t>
                      </w:r>
                      <w:r w:rsidRPr="0026336C"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:</w:t>
                      </w:r>
                    </w:p>
                    <w:p w14:paraId="1BACA450" w14:textId="16F4B95A" w:rsidR="00FD32EF" w:rsidRPr="0026336C" w:rsidRDefault="00FD32EF" w:rsidP="00DF755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450"/>
                        </w:tabs>
                        <w:spacing w:after="80"/>
                        <w:ind w:left="446"/>
                        <w:contextualSpacing w:val="0"/>
                        <w:jc w:val="both"/>
                        <w:rPr>
                          <w:rFonts w:eastAsia="Times New Roman"/>
                          <w:color w:val="4472C4"/>
                          <w:sz w:val="22"/>
                          <w:szCs w:val="22"/>
                        </w:rPr>
                      </w:pPr>
                      <w:r w:rsidRPr="0026336C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Is provision of unconditional 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cash assistance</w:t>
                      </w:r>
                      <w:r w:rsidRPr="0026336C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in addition to vouchers more effective than vouchers alone for preventing acute malnutrition and 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among PLWs and CU5s?</w:t>
                      </w:r>
                    </w:p>
                    <w:p w14:paraId="49285DB7" w14:textId="08911368" w:rsidR="00FD32EF" w:rsidRPr="007D4853" w:rsidRDefault="00FD32EF" w:rsidP="001B177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450"/>
                        </w:tabs>
                        <w:spacing w:after="120"/>
                        <w:ind w:left="450"/>
                        <w:contextualSpacing w:val="0"/>
                        <w:jc w:val="both"/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</w:pPr>
                      <w:r w:rsidRPr="0026336C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What is the added value of unconditional cash transfers with respect to household food security?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4AFD201" w14:textId="4ADF4614" w:rsidR="00BF71B3" w:rsidRPr="00BF71B3" w:rsidRDefault="0026336C" w:rsidP="00BF71B3">
      <w:r w:rsidRPr="0032575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EB7094" wp14:editId="71BCDC2F">
                <wp:simplePos x="0" y="0"/>
                <wp:positionH relativeFrom="page">
                  <wp:posOffset>3743325</wp:posOffset>
                </wp:positionH>
                <wp:positionV relativeFrom="paragraph">
                  <wp:posOffset>67310</wp:posOffset>
                </wp:positionV>
                <wp:extent cx="3768090" cy="3752850"/>
                <wp:effectExtent l="0" t="0" r="0" b="0"/>
                <wp:wrapNone/>
                <wp:docPr id="4" name="Content Placeholder 2">
                  <a:extLst xmlns:a="http://schemas.openxmlformats.org/drawingml/2006/main"/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3768090" cy="3752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0FF269D" w14:textId="30F9DC4E" w:rsidR="00FD32EF" w:rsidRPr="001B1770" w:rsidRDefault="00FD32EF" w:rsidP="001B1770">
                            <w:pPr>
                              <w:shd w:val="clear" w:color="auto" w:fill="FBE4D5" w:themeFill="accent2" w:themeFillTint="33"/>
                              <w:tabs>
                                <w:tab w:val="num" w:pos="360"/>
                              </w:tabs>
                              <w:ind w:left="360" w:hanging="360"/>
                              <w:rPr>
                                <w:sz w:val="32"/>
                                <w:szCs w:val="32"/>
                              </w:rPr>
                            </w:pPr>
                            <w:r w:rsidRPr="001B1770">
                              <w:rPr>
                                <w:rFonts w:ascii="Trebuchet MS" w:eastAsia="+mj-ea" w:hAnsi="Trebuchet MS" w:cs="+mj-cs"/>
                                <w:color w:val="E84C22"/>
                                <w:kern w:val="24"/>
                                <w:sz w:val="32"/>
                                <w:szCs w:val="32"/>
                              </w:rPr>
                              <w:t xml:space="preserve"> Rationale</w:t>
                            </w:r>
                          </w:p>
                          <w:p w14:paraId="2670333B" w14:textId="0BB93E51" w:rsidR="00FD32EF" w:rsidRPr="007D4853" w:rsidRDefault="00FD32EF" w:rsidP="00DF755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80"/>
                              <w:contextualSpacing w:val="0"/>
                              <w:jc w:val="both"/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1D71F9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Cash transfers are significant change to humanitarian assistance. Major commitments to scale up have been made by donors and humanitarian agencies. </w:t>
                            </w:r>
                          </w:p>
                          <w:p w14:paraId="477E67F4" w14:textId="3C289BF2" w:rsidR="00FD32EF" w:rsidRPr="007D4853" w:rsidRDefault="00FD32EF" w:rsidP="00DF755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80"/>
                              <w:contextualSpacing w:val="0"/>
                              <w:jc w:val="both"/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7D4853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Cash-based approaches can be more efficient than in-kind assistance and more supportive of local economies, human agency and dignity.</w:t>
                            </w:r>
                          </w:p>
                          <w:p w14:paraId="396A27A4" w14:textId="0BE8E6B6" w:rsidR="00FD32EF" w:rsidRPr="0026336C" w:rsidRDefault="00FD32EF" w:rsidP="00DF755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80"/>
                              <w:contextualSpacing w:val="0"/>
                              <w:jc w:val="both"/>
                              <w:rPr>
                                <w:rFonts w:eastAsia="Times New Roman"/>
                                <w:color w:val="4472C4"/>
                                <w:sz w:val="22"/>
                                <w:szCs w:val="22"/>
                              </w:rPr>
                            </w:pPr>
                            <w:r w:rsidRPr="007D4853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There is evidence from non-crises settings of the positive impact of cash-based approaches on dietary diversity and use of health services; but the link between these and improved nutrition outcomes has not been adequately researched in emergencies.</w:t>
                            </w:r>
                          </w:p>
                          <w:p w14:paraId="387F83D0" w14:textId="1B89C37F" w:rsidR="00FD32EF" w:rsidRPr="0026336C" w:rsidRDefault="00FD32EF" w:rsidP="00DF755C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tabs>
                                <w:tab w:val="clear" w:pos="1080"/>
                              </w:tabs>
                              <w:spacing w:after="80"/>
                              <w:ind w:left="810"/>
                              <w:contextualSpacing w:val="0"/>
                              <w:jc w:val="both"/>
                              <w:rPr>
                                <w:rFonts w:eastAsia="Times New Roman"/>
                                <w:color w:val="4472C4"/>
                                <w:sz w:val="22"/>
                                <w:szCs w:val="22"/>
                              </w:rPr>
                            </w:pPr>
                            <w:r w:rsidRPr="007D4853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Most data </w:t>
                            </w: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has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been</w:t>
                            </w:r>
                            <w:r w:rsidRPr="007D4853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collected at a household level, thus there is an evidence gap for commo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nly targeted vulnerable groups such as PLWs and CU5s.</w:t>
                            </w:r>
                          </w:p>
                          <w:p w14:paraId="0EF0961C" w14:textId="412FEC81" w:rsidR="00FD32EF" w:rsidRPr="0026336C" w:rsidRDefault="00FD32EF" w:rsidP="00DF755C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tabs>
                                <w:tab w:val="clear" w:pos="1080"/>
                              </w:tabs>
                              <w:ind w:left="810"/>
                              <w:contextualSpacing w:val="0"/>
                              <w:jc w:val="both"/>
                              <w:rPr>
                                <w:rFonts w:eastAsia="Times New Roman"/>
                                <w:color w:val="4472C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T</w:t>
                            </w:r>
                            <w:r w:rsidRPr="007D4853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here is little evidence for individual nutrition outcomes (ex: SAM/MAM) – </w:t>
                            </w:r>
                            <w:proofErr w:type="gramStart"/>
                            <w:r w:rsidRPr="007D4853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with the exception of</w:t>
                            </w:r>
                            <w:proofErr w:type="gramEnd"/>
                            <w:r w:rsidRPr="007D4853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recent REFANI findings, most evidence from emergency settings is limited to food 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security.</w:t>
                            </w:r>
                            <w:r w:rsidRPr="007D4853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EB7094" id="_x0000_s1028" style="position:absolute;margin-left:294.75pt;margin-top:5.3pt;width:296.7pt;height:295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2DeywEAAIUDAAAOAAAAZHJzL2Uyb0RvYy54bWysU8tu2zAQvBfoPxC815IVO3YEy0GRoEGB&#10;oDWQ9gNoirSEilx2SVtyv75LWnaS9hbkQnC5r9mZ5ep2MB07KPQt2IpPJzlnykqoW7ur+M8fXz4t&#10;OfNB2Fp0YFXFj8rz2/XHD6velaqABrpaIaMi1pe9q3gTgiuzzMtGGeEn4JQlpwY0IpCJu6xG0VN1&#10;02VFnl9nPWDtEKTynl7vT06+TvW1VjJ819qrwLqKE7aQTkznNp7ZeiXKHQrXtHKEId6AwojWUtNL&#10;qXsRBNtj+18p00oEDzpMJJgMtG6lSjPQNNP8n2meGuFUmoXI8e5Ck3+/svLbYYOsrSs+48wKQxLd&#10;gQ3KBrbphFSjQEUaTg3h0QeiLOudL1NqJDpdn9wGIwHePYL85ZmFByQ9p5Hhc/gpJib4MXrQaGIW&#10;EcGGpMrxogp1Y5IerxbXy/yGxJPku1rMi+U86ZaJ8pzu0IcHBYbFS8WRZE+AxWHEK8pzyIjmBCBC&#10;CcN2SAQUEWp82UJ9JFJoq6lWA/iHs542pOL+916g4qz7akmCm+lsFlcqGbP5oiADX3q2rzyhu4O0&#10;hHFeC5/3AXR7IfPUcwRHWtPt1TK9tFPU8+9Z/wUAAP//AwBQSwMEFAAGAAgAAAAhABOXP6bhAAAA&#10;CwEAAA8AAABkcnMvZG93bnJldi54bWxMj1FLwzAUhd8F/0O4gi/ikg5Wuq7pkIE4RBjrdM9Zc9cW&#10;m5uuydr6782e9PFyPs75braeTMsG7F1jSUI0E8CQSqsbqiR8Hl6fE2DOK9KqtYQSftDBOr+/y1Sq&#10;7Uh7HApfsVBCLlUSau+7lHNX1miUm9kOKWRn2xvlw9lXXPdqDOWm5XMhYm5UQ2GhVh1uaiy/i6uR&#10;MJa74Xj4eOO7p+PW0mV72RRf71I+PkwvK2AeJ/8Hw00/qEMenE72StqxVsIiWS4CGgIRA7sBUTJf&#10;AjtJiEUUA88z/v+H/BcAAP//AwBQSwECLQAUAAYACAAAACEAtoM4kv4AAADhAQAAEwAAAAAAAAAA&#10;AAAAAAAAAAAAW0NvbnRlbnRfVHlwZXNdLnhtbFBLAQItABQABgAIAAAAIQA4/SH/1gAAAJQBAAAL&#10;AAAAAAAAAAAAAAAAAC8BAABfcmVscy8ucmVsc1BLAQItABQABgAIAAAAIQC4j2DeywEAAIUDAAAO&#10;AAAAAAAAAAAAAAAAAC4CAABkcnMvZTJvRG9jLnhtbFBLAQItABQABgAIAAAAIQATlz+m4QAAAAsB&#10;AAAPAAAAAAAAAAAAAAAAACUEAABkcnMvZG93bnJldi54bWxQSwUGAAAAAAQABADzAAAAMwUAAAAA&#10;" filled="f" stroked="f">
                <o:lock v:ext="edit" grouping="t"/>
                <v:textbox>
                  <w:txbxContent>
                    <w:p w14:paraId="00FF269D" w14:textId="30F9DC4E" w:rsidR="00FD32EF" w:rsidRPr="001B1770" w:rsidRDefault="00FD32EF" w:rsidP="001B1770">
                      <w:pPr>
                        <w:shd w:val="clear" w:color="auto" w:fill="FBE4D5" w:themeFill="accent2" w:themeFillTint="33"/>
                        <w:tabs>
                          <w:tab w:val="num" w:pos="360"/>
                        </w:tabs>
                        <w:ind w:left="360" w:hanging="360"/>
                        <w:rPr>
                          <w:sz w:val="32"/>
                          <w:szCs w:val="32"/>
                        </w:rPr>
                      </w:pPr>
                      <w:r w:rsidRPr="001B1770">
                        <w:rPr>
                          <w:rFonts w:ascii="Trebuchet MS" w:eastAsia="+mj-ea" w:hAnsi="Trebuchet MS" w:cs="+mj-cs"/>
                          <w:color w:val="E84C22"/>
                          <w:kern w:val="24"/>
                          <w:sz w:val="32"/>
                          <w:szCs w:val="32"/>
                        </w:rPr>
                        <w:t xml:space="preserve"> Rationale</w:t>
                      </w:r>
                    </w:p>
                    <w:p w14:paraId="2670333B" w14:textId="0BB93E51" w:rsidR="00FD32EF" w:rsidRPr="007D4853" w:rsidRDefault="00FD32EF" w:rsidP="00DF755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80"/>
                        <w:contextualSpacing w:val="0"/>
                        <w:jc w:val="both"/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</w:pPr>
                      <w:r w:rsidRPr="001D71F9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Cash transfers are significant change to humanitarian assistance. Major commitments to scale up have been made by donors and humanitarian agencies. </w:t>
                      </w:r>
                    </w:p>
                    <w:p w14:paraId="477E67F4" w14:textId="3C289BF2" w:rsidR="00FD32EF" w:rsidRPr="007D4853" w:rsidRDefault="00FD32EF" w:rsidP="00DF755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80"/>
                        <w:contextualSpacing w:val="0"/>
                        <w:jc w:val="both"/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</w:pPr>
                      <w:r w:rsidRPr="007D4853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Cash-based approaches can be more efficient than in-kind assistance and more supportive of local economies, human agency and dignity.</w:t>
                      </w:r>
                    </w:p>
                    <w:p w14:paraId="396A27A4" w14:textId="0BE8E6B6" w:rsidR="00FD32EF" w:rsidRPr="0026336C" w:rsidRDefault="00FD32EF" w:rsidP="00DF755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80"/>
                        <w:contextualSpacing w:val="0"/>
                        <w:jc w:val="both"/>
                        <w:rPr>
                          <w:rFonts w:eastAsia="Times New Roman"/>
                          <w:color w:val="4472C4"/>
                          <w:sz w:val="22"/>
                          <w:szCs w:val="22"/>
                        </w:rPr>
                      </w:pPr>
                      <w:r w:rsidRPr="007D4853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There is evidence from non-crises settings of the positive impact of cash-based approaches on dietary diversity and use of health services; but the link between these and improved nutrition outcomes has not been adequately researched in emergencies.</w:t>
                      </w:r>
                    </w:p>
                    <w:p w14:paraId="387F83D0" w14:textId="1B89C37F" w:rsidR="00FD32EF" w:rsidRPr="0026336C" w:rsidRDefault="00FD32EF" w:rsidP="00DF755C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tabs>
                          <w:tab w:val="clear" w:pos="1080"/>
                        </w:tabs>
                        <w:spacing w:after="80"/>
                        <w:ind w:left="810"/>
                        <w:contextualSpacing w:val="0"/>
                        <w:jc w:val="both"/>
                        <w:rPr>
                          <w:rFonts w:eastAsia="Times New Roman"/>
                          <w:color w:val="4472C4"/>
                          <w:sz w:val="22"/>
                          <w:szCs w:val="22"/>
                        </w:rPr>
                      </w:pPr>
                      <w:r w:rsidRPr="007D4853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Most data </w:t>
                      </w:r>
                      <w:proofErr w:type="gramStart"/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has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been</w:t>
                      </w:r>
                      <w:r w:rsidRPr="007D4853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collected at a household level, thus there is an evidence gap for commo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nly targeted vulnerable groups such as PLWs and CU5s.</w:t>
                      </w:r>
                    </w:p>
                    <w:p w14:paraId="0EF0961C" w14:textId="412FEC81" w:rsidR="00FD32EF" w:rsidRPr="0026336C" w:rsidRDefault="00FD32EF" w:rsidP="00DF755C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tabs>
                          <w:tab w:val="clear" w:pos="1080"/>
                        </w:tabs>
                        <w:ind w:left="810"/>
                        <w:contextualSpacing w:val="0"/>
                        <w:jc w:val="both"/>
                        <w:rPr>
                          <w:rFonts w:eastAsia="Times New Roman"/>
                          <w:color w:val="4472C4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T</w:t>
                      </w:r>
                      <w:r w:rsidRPr="007D4853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here is little evidence for individual nutrition outcomes (ex: SAM/MAM) – </w:t>
                      </w:r>
                      <w:proofErr w:type="gramStart"/>
                      <w:r w:rsidRPr="007D4853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with the exception of</w:t>
                      </w:r>
                      <w:proofErr w:type="gramEnd"/>
                      <w:r w:rsidRPr="007D4853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recent REFANI findings, most evidence from emergency settings is limited to food 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security.</w:t>
                      </w:r>
                      <w:r w:rsidRPr="007D4853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1BEF9CC" w14:textId="36C22E13" w:rsidR="00BF71B3" w:rsidRPr="00BF71B3" w:rsidRDefault="00BF71B3" w:rsidP="00BF71B3"/>
    <w:p w14:paraId="0AF3D1C1" w14:textId="3D0DEA3F" w:rsidR="00BF71B3" w:rsidRPr="00BF71B3" w:rsidRDefault="00BF71B3" w:rsidP="00BF71B3"/>
    <w:p w14:paraId="322D9C4B" w14:textId="144E61F7" w:rsidR="00BF71B3" w:rsidRPr="00BF71B3" w:rsidRDefault="00BF71B3" w:rsidP="00BF71B3"/>
    <w:p w14:paraId="7B4D1F23" w14:textId="25AD3567" w:rsidR="00BF71B3" w:rsidRPr="00BF71B3" w:rsidRDefault="00BF71B3" w:rsidP="00BF71B3"/>
    <w:p w14:paraId="04ABDA9C" w14:textId="5C96DECB" w:rsidR="00BF71B3" w:rsidRPr="00BF71B3" w:rsidRDefault="00BF71B3" w:rsidP="00BF71B3"/>
    <w:p w14:paraId="036A8CF4" w14:textId="57B75C38" w:rsidR="00BF71B3" w:rsidRPr="00BF71B3" w:rsidRDefault="00BF71B3" w:rsidP="00BF71B3"/>
    <w:p w14:paraId="19634171" w14:textId="0A52B0B6" w:rsidR="00BF71B3" w:rsidRPr="00BF71B3" w:rsidRDefault="00BF71B3" w:rsidP="00BF71B3"/>
    <w:p w14:paraId="1245F3EA" w14:textId="4482C15D" w:rsidR="00BF71B3" w:rsidRPr="00BF71B3" w:rsidRDefault="00BF71B3" w:rsidP="00BF71B3"/>
    <w:p w14:paraId="5C464CD5" w14:textId="7696E45A" w:rsidR="00BF71B3" w:rsidRPr="00BF71B3" w:rsidRDefault="00BF71B3" w:rsidP="00BF71B3"/>
    <w:p w14:paraId="2C4C19DF" w14:textId="5A16F2CE" w:rsidR="00BF71B3" w:rsidRPr="00BF71B3" w:rsidRDefault="00BF71B3" w:rsidP="00BF71B3"/>
    <w:p w14:paraId="747446F2" w14:textId="7C593014" w:rsidR="00BF71B3" w:rsidRPr="00BF71B3" w:rsidRDefault="00BF71B3" w:rsidP="00BF71B3"/>
    <w:p w14:paraId="4A281BC1" w14:textId="049674CB" w:rsidR="00BF71B3" w:rsidRPr="00BF71B3" w:rsidRDefault="00FD32EF" w:rsidP="00BF71B3">
      <w:r>
        <w:rPr>
          <w:noProof/>
        </w:rPr>
        <w:drawing>
          <wp:anchor distT="0" distB="0" distL="114300" distR="114300" simplePos="0" relativeHeight="251658240" behindDoc="1" locked="0" layoutInCell="1" allowOverlap="1" wp14:anchorId="008E3F3B" wp14:editId="01EAD8CF">
            <wp:simplePos x="0" y="0"/>
            <wp:positionH relativeFrom="page">
              <wp:posOffset>2752422</wp:posOffset>
            </wp:positionH>
            <wp:positionV relativeFrom="paragraph">
              <wp:posOffset>69532</wp:posOffset>
            </wp:positionV>
            <wp:extent cx="2218927" cy="7802416"/>
            <wp:effectExtent l="8572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 flipV="1">
                      <a:off x="0" y="0"/>
                      <a:ext cx="2218927" cy="78024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225C2C" w14:textId="1F2E3347" w:rsidR="00BF71B3" w:rsidRPr="00BF71B3" w:rsidRDefault="00FD32EF" w:rsidP="00BF71B3">
      <w:r w:rsidRPr="00EF01C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EAA01C2" wp14:editId="78529AB4">
                <wp:simplePos x="0" y="0"/>
                <wp:positionH relativeFrom="margin">
                  <wp:posOffset>-571500</wp:posOffset>
                </wp:positionH>
                <wp:positionV relativeFrom="paragraph">
                  <wp:posOffset>202565</wp:posOffset>
                </wp:positionV>
                <wp:extent cx="7124700" cy="333375"/>
                <wp:effectExtent l="0" t="0" r="0" b="0"/>
                <wp:wrapNone/>
                <wp:docPr id="15" name="Content Placeholder 2">
                  <a:extLst xmlns:a="http://schemas.openxmlformats.org/drawingml/2006/main"/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712470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43BF6EC" w14:textId="77777777" w:rsidR="00FD32EF" w:rsidRPr="00815E83" w:rsidRDefault="00FD32EF" w:rsidP="003D20D9">
                            <w:pPr>
                              <w:shd w:val="clear" w:color="auto" w:fill="FBE4D5" w:themeFill="accent2" w:themeFillTint="33"/>
                              <w:tabs>
                                <w:tab w:val="num" w:pos="360"/>
                              </w:tabs>
                              <w:ind w:left="360" w:hanging="450"/>
                              <w:rPr>
                                <w:rFonts w:ascii="Trebuchet MS" w:eastAsia="+mj-ea" w:hAnsi="Trebuchet MS" w:cs="+mj-cs"/>
                                <w:color w:val="E84C22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815E83">
                              <w:rPr>
                                <w:rFonts w:ascii="Trebuchet MS" w:eastAsia="+mj-ea" w:hAnsi="Trebuchet MS" w:cs="+mj-cs"/>
                                <w:color w:val="E84C22"/>
                                <w:kern w:val="24"/>
                                <w:sz w:val="32"/>
                                <w:szCs w:val="32"/>
                              </w:rPr>
                              <w:t>Study Design</w:t>
                            </w:r>
                          </w:p>
                          <w:p w14:paraId="17429108" w14:textId="75DE5233" w:rsidR="00FD32EF" w:rsidRPr="0026336C" w:rsidRDefault="00FD32EF" w:rsidP="003D20D9">
                            <w:pPr>
                              <w:pStyle w:val="ListParagraph"/>
                              <w:ind w:left="1440"/>
                              <w:rPr>
                                <w:rFonts w:eastAsia="Times New Roman"/>
                                <w:color w:val="4472C4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AA01C2" id="_x0000_s1029" style="position:absolute;margin-left:-45pt;margin-top:15.95pt;width:561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UDdygEAAIUDAAAOAAAAZHJzL2Uyb0RvYy54bWysU9tu2zAMfR/QfxD0vvjSZNmMOMXQYsWA&#10;YgvQ7QMUWYqNWqJKKbGzrx+lOGm7vQ3zgyCK5CF5Dr26GU3PDgp9B7bmxSznTFkJTWd3Nf/548v7&#10;j5z5IGwjerCq5kfl+c366t1qcJUqoYW+UcgIxPpqcDVvQ3BVlnnZKiP8DJyy5NSARgQycZc1KAZC&#10;N31W5vmHbABsHIJU3tPr3cnJ1wlfayXDd629CqyvOfUW0onp3MYzW69EtUPh2k5ObYh/6MKIzlLR&#10;C9SdCILtsfsLynQSwYMOMwkmA607qdIMNE2R/zHNYyucSrMQOd5daPL/D1Z+O2yQdQ1pt+DMCkMa&#10;3YINyga26YVUk0Jlmk6N4cEH4iwbnK9SbmQ6XR/dBiMD3j2AfPLMwj2SoEWk+Bx+iokJfooeNZqY&#10;RUywMclyvMhC1Zikx2VRzpc5qSfJd03fcpFARXXOdujDvQLD4qXmSLKnfsVhaldU55CpmVP92EkY&#10;t2Mi4DqCxpctNEcihbaasFrAX5wNtCE19897gYqz/qslCT4V83lcqWTMF8uSDHzt2b7xhP4W0hLG&#10;cS183gfQ3YXLU82pOdKabm+W6bWdol7+nvVvAAAA//8DAFBLAwQUAAYACAAAACEACJtU4OIAAAAK&#10;AQAADwAAAGRycy9kb3ducmV2LnhtbEyPzWrDMBCE74W+g9hCLyWR80NJHK9DCZSGUgh12pwVa2Ob&#10;WivHUmz37aucmuPsDLPfJOvB1KKj1lWWESbjCARxbnXFBcLX/nW0AOG8Yq1qy4TwSw7W6f1domJt&#10;e/6kLvOFCCXsYoVQet/EUrq8JKPc2DbEwTvZ1igfZFtI3ao+lJtaTqPoWRpVcfhQqoY2JeU/2cUg&#10;9PmuO+w/3uTu6bC1fN6eN9n3O+Ljw/CyAuFp8P9huOIHdEgD09FeWDtRI4yWUdjiEWaTJYhrIJpN&#10;w+WIsJjPQaaJvJ2Q/gEAAP//AwBQSwECLQAUAAYACAAAACEAtoM4kv4AAADhAQAAEwAAAAAAAAAA&#10;AAAAAAAAAAAAW0NvbnRlbnRfVHlwZXNdLnhtbFBLAQItABQABgAIAAAAIQA4/SH/1gAAAJQBAAAL&#10;AAAAAAAAAAAAAAAAAC8BAABfcmVscy8ucmVsc1BLAQItABQABgAIAAAAIQB9ZUDdygEAAIUDAAAO&#10;AAAAAAAAAAAAAAAAAC4CAABkcnMvZTJvRG9jLnhtbFBLAQItABQABgAIAAAAIQAIm1Tg4gAAAAoB&#10;AAAPAAAAAAAAAAAAAAAAACQEAABkcnMvZG93bnJldi54bWxQSwUGAAAAAAQABADzAAAAMwUAAAAA&#10;" filled="f" stroked="f">
                <o:lock v:ext="edit" grouping="t"/>
                <v:textbox>
                  <w:txbxContent>
                    <w:p w14:paraId="643BF6EC" w14:textId="77777777" w:rsidR="00FD32EF" w:rsidRPr="00815E83" w:rsidRDefault="00FD32EF" w:rsidP="003D20D9">
                      <w:pPr>
                        <w:shd w:val="clear" w:color="auto" w:fill="FBE4D5" w:themeFill="accent2" w:themeFillTint="33"/>
                        <w:tabs>
                          <w:tab w:val="num" w:pos="360"/>
                        </w:tabs>
                        <w:ind w:left="360" w:hanging="450"/>
                        <w:rPr>
                          <w:rFonts w:ascii="Trebuchet MS" w:eastAsia="+mj-ea" w:hAnsi="Trebuchet MS" w:cs="+mj-cs"/>
                          <w:color w:val="E84C22"/>
                          <w:kern w:val="24"/>
                          <w:sz w:val="32"/>
                          <w:szCs w:val="32"/>
                        </w:rPr>
                      </w:pPr>
                      <w:r w:rsidRPr="00815E83">
                        <w:rPr>
                          <w:rFonts w:ascii="Trebuchet MS" w:eastAsia="+mj-ea" w:hAnsi="Trebuchet MS" w:cs="+mj-cs"/>
                          <w:color w:val="E84C22"/>
                          <w:kern w:val="24"/>
                          <w:sz w:val="32"/>
                          <w:szCs w:val="32"/>
                        </w:rPr>
                        <w:t>Study Design</w:t>
                      </w:r>
                    </w:p>
                    <w:p w14:paraId="17429108" w14:textId="75DE5233" w:rsidR="00FD32EF" w:rsidRPr="0026336C" w:rsidRDefault="00FD32EF" w:rsidP="003D20D9">
                      <w:pPr>
                        <w:pStyle w:val="ListParagraph"/>
                        <w:ind w:left="1440"/>
                        <w:rPr>
                          <w:rFonts w:eastAsia="Times New Roman"/>
                          <w:color w:val="4472C4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8FDB1F7" w14:textId="2A7A99AB" w:rsidR="00BF71B3" w:rsidRPr="00BF71B3" w:rsidRDefault="00FD32EF" w:rsidP="00BF71B3">
      <w:r w:rsidRPr="00EF01C6">
        <w:rPr>
          <w:noProof/>
        </w:rPr>
        <mc:AlternateContent>
          <mc:Choice Requires="wps">
            <w:drawing>
              <wp:anchor distT="0" distB="0" distL="114300" distR="114300" simplePos="0" relativeHeight="251669503" behindDoc="0" locked="0" layoutInCell="1" allowOverlap="1" wp14:anchorId="28F94902" wp14:editId="7A4B3706">
                <wp:simplePos x="0" y="0"/>
                <wp:positionH relativeFrom="margin">
                  <wp:posOffset>-638175</wp:posOffset>
                </wp:positionH>
                <wp:positionV relativeFrom="paragraph">
                  <wp:posOffset>326390</wp:posOffset>
                </wp:positionV>
                <wp:extent cx="4991100" cy="3355340"/>
                <wp:effectExtent l="0" t="0" r="0" b="0"/>
                <wp:wrapNone/>
                <wp:docPr id="11" name="Content Placeholder 2">
                  <a:extLst xmlns:a="http://schemas.openxmlformats.org/drawingml/2006/main"/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4991100" cy="33553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A47FCEF" w14:textId="4E58064C" w:rsidR="00FD32EF" w:rsidRPr="00DF755C" w:rsidRDefault="00FD32EF" w:rsidP="00FD32E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</w:tabs>
                              <w:spacing w:after="80"/>
                              <w:ind w:left="446" w:right="490"/>
                              <w:contextualSpacing w:val="0"/>
                              <w:jc w:val="both"/>
                              <w:rPr>
                                <w:rFonts w:eastAsia="Times New Roman"/>
                                <w:color w:val="4472C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Conducted in </w:t>
                            </w:r>
                            <w:r w:rsidRPr="0026336C">
                              <w:rPr>
                                <w:rFonts w:asciiTheme="minorHAnsi" w:hAnsi="Calibri" w:cstheme="minorBidi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Wajid, Somalia</w:t>
                            </w:r>
                            <w:r w:rsidRPr="0026336C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—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drought and </w:t>
                            </w:r>
                            <w:r w:rsidRPr="0026336C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conflict 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affected, many IDPs</w:t>
                            </w:r>
                          </w:p>
                          <w:p w14:paraId="3FDD512D" w14:textId="6986DD37" w:rsidR="00FD32EF" w:rsidRPr="00DF755C" w:rsidRDefault="00FD32EF" w:rsidP="00FD32E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</w:tabs>
                              <w:spacing w:after="80"/>
                              <w:ind w:left="446" w:right="490"/>
                              <w:contextualSpacing w:val="0"/>
                              <w:jc w:val="both"/>
                              <w:rPr>
                                <w:rFonts w:eastAsia="Times New Roman"/>
                                <w:color w:val="4472C4"/>
                                <w:sz w:val="22"/>
                                <w:szCs w:val="22"/>
                              </w:rPr>
                            </w:pPr>
                            <w:r w:rsidRPr="00DF755C">
                              <w:rPr>
                                <w:rFonts w:asciiTheme="minorHAnsi" w:hAnsi="Calibri" w:cstheme="minorBidi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Mixed Methods </w:t>
                            </w:r>
                            <w:r w:rsidRPr="00DF755C">
                              <w:rPr>
                                <w:rFonts w:asciiTheme="minorHAnsi" w:hAnsi="Calibri" w:cstheme="minorBid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Approach:</w:t>
                            </w:r>
                            <w:r w:rsidRPr="00DF755C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both quantitative and qualitative data were collected.  Quantitative component</w:t>
                            </w:r>
                            <w:r w:rsidR="00CA2017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used a pre/post design and sou</w:t>
                            </w:r>
                            <w:r w:rsidRPr="00DF755C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ght to measure change over the intervention period.  Qualitative findings were intended to enrich understanding of quantitative results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and their implications</w:t>
                            </w:r>
                            <w:r w:rsidRPr="00DF755C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, which is important for application to 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ongoing programming.</w:t>
                            </w:r>
                          </w:p>
                          <w:p w14:paraId="5031ACAE" w14:textId="0287B948" w:rsidR="00FD32EF" w:rsidRPr="0026336C" w:rsidRDefault="00FD32EF" w:rsidP="00DF755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</w:tabs>
                              <w:spacing w:after="40"/>
                              <w:ind w:left="450" w:right="30"/>
                              <w:contextualSpacing w:val="0"/>
                              <w:jc w:val="both"/>
                              <w:rPr>
                                <w:rFonts w:eastAsia="Times New Roman"/>
                                <w:color w:val="4472C4"/>
                                <w:sz w:val="22"/>
                                <w:szCs w:val="22"/>
                              </w:rPr>
                            </w:pPr>
                            <w:r w:rsidRPr="0026336C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A </w:t>
                            </w:r>
                            <w:r w:rsidRPr="0026336C">
                              <w:rPr>
                                <w:rFonts w:asciiTheme="minorHAnsi" w:hAnsi="Calibri" w:cstheme="minorBidi"/>
                                <w:b/>
                                <w:bCs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3-comparison group quasi-experimental design </w:t>
                            </w:r>
                            <w:r w:rsidRPr="0026336C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was required because humanitarian programs 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were already</w:t>
                            </w:r>
                            <w:r w:rsidRPr="0026336C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ongoing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.  To be eligible, households need to have a non-malnourished PLW and meet vulnerability criteria.  </w:t>
                            </w:r>
                          </w:p>
                          <w:p w14:paraId="1CBA7856" w14:textId="12EE98D0" w:rsidR="00FD32EF" w:rsidRPr="0026336C" w:rsidRDefault="00FD32EF" w:rsidP="00DF755C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tabs>
                                <w:tab w:val="clear" w:pos="1440"/>
                              </w:tabs>
                              <w:spacing w:after="40"/>
                              <w:ind w:left="990" w:right="30" w:hanging="450"/>
                              <w:contextualSpacing w:val="0"/>
                              <w:rPr>
                                <w:rFonts w:eastAsia="Times New Roman"/>
                                <w:color w:val="4472C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Mixed transfers (in-kind, voucher, unconditional cash) -  US$106 monthly</w:t>
                            </w:r>
                          </w:p>
                          <w:p w14:paraId="058F02C8" w14:textId="6F1E6D05" w:rsidR="00FD32EF" w:rsidRPr="000B49FB" w:rsidRDefault="00FD32EF" w:rsidP="00DF755C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spacing w:after="40"/>
                              <w:ind w:left="990" w:hanging="450"/>
                              <w:contextualSpacing w:val="0"/>
                              <w:rPr>
                                <w:rFonts w:eastAsia="Times New Roman"/>
                                <w:color w:val="4472C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Vouchers – US$106 monthly </w:t>
                            </w:r>
                          </w:p>
                          <w:p w14:paraId="406812F4" w14:textId="1BDEA877" w:rsidR="00FD32EF" w:rsidRPr="00DF755C" w:rsidRDefault="00FD32EF" w:rsidP="00DF755C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spacing w:after="40"/>
                              <w:ind w:left="990" w:hanging="450"/>
                              <w:contextualSpacing w:val="0"/>
                              <w:rPr>
                                <w:rFonts w:eastAsia="Times New Roman"/>
                                <w:color w:val="4472C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No household level food or cash assistance</w:t>
                            </w:r>
                          </w:p>
                          <w:p w14:paraId="47F19AAC" w14:textId="264BCCE8" w:rsidR="00FD32EF" w:rsidRPr="00DF755C" w:rsidRDefault="00FD32EF" w:rsidP="00FD32E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720"/>
                              </w:tabs>
                              <w:spacing w:after="80"/>
                              <w:ind w:left="446"/>
                              <w:contextualSpacing w:val="0"/>
                              <w:rPr>
                                <w:rFonts w:eastAsia="Times New Roman"/>
                                <w:color w:val="4472C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The planned intervention period of 6 months was reduced to 4 months</w:t>
                            </w:r>
                            <w:r w:rsidR="00094C98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14D862CF" w14:textId="4EA390DD" w:rsidR="00FD32EF" w:rsidRPr="00FD32EF" w:rsidRDefault="00FD32EF" w:rsidP="00DF755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720"/>
                              </w:tabs>
                              <w:ind w:left="450"/>
                              <w:rPr>
                                <w:rFonts w:eastAsia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</w:rPr>
                              <w:t>Statistical analysis included d</w:t>
                            </w:r>
                            <w:r w:rsidRPr="00FD32EF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</w:rPr>
                              <w:t xml:space="preserve">ifference-in-difference analysis </w:t>
                            </w:r>
                            <w:r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</w:rPr>
                              <w:t>and propensity score weighting to account for the non-randomized design and baseline differences between groups.</w:t>
                            </w:r>
                          </w:p>
                          <w:p w14:paraId="27A39ACA" w14:textId="622FD03F" w:rsidR="00FD32EF" w:rsidRPr="00FD32EF" w:rsidRDefault="00FD32EF" w:rsidP="00FD32EF">
                            <w:pPr>
                              <w:rPr>
                                <w:rFonts w:eastAsia="Times New Roman"/>
                                <w:color w:val="4472C4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F94902" id="_x0000_s1030" style="position:absolute;margin-left:-50.25pt;margin-top:25.7pt;width:393pt;height:264.2pt;z-index:25166950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RpOygEAAIYDAAAOAAAAZHJzL2Uyb0RvYy54bWysU9uO0zAQfUfiHyy/0yRtCjRqukK7YoW0&#10;gkoLH+A6dhMRe8zYbVK+nrGblr28IV4sj+d25pzx+mY0PTsq9B3YmheznDNlJTSd3df8x/fP7z5y&#10;5oOwjejBqpqflOc3m7dv1oOr1Bxa6BuFjIpYXw2u5m0IrsoyL1tlhJ+BU5acGtCIQCbuswbFQNVN&#10;n83z/H02ADYOQSrv6fXu7OSbVF9rJcM3rb0KrK85YQvpxHTu4plt1qLao3BtJycY4h9QGNFZanot&#10;dSeCYAfsXpUynUTwoMNMgslA606qNANNU+QvpnlshVNpFiLHuytN/v+VlV+PW2RdQ9oVnFlhSKNb&#10;sEHZwLa9kGpSaJ6mU2N48IE4ywbnq5QbmU7XR7fFyIB3DyB/embhHknQIlJ8CT/HxAQ/RY8aTcwi&#10;JtiYZDldZaFuTNJjuVoVRU7qSfItFsvlokzCZaK6pDv04V6BYfFScyTdE2BxnPCK6hIyoTkDiFDC&#10;uBsTA2WEGl920JyIFVprqtUC/uZsoBWpuf91EKg4679Y0mBVlASEhWSUyw9zMvCpZ/fME/pbSFsY&#10;57Xw6RBAd1cyzz0ncCQ23Z5t01M7Rf39Pps/AAAA//8DAFBLAwQUAAYACAAAACEAp7ggdOIAAAAL&#10;AQAADwAAAGRycy9kb3ducmV2LnhtbEyPwUrDQBCG74LvsIzgRdrdiGljzKZIQSxSKKa15212TYLZ&#10;2TS7TeLbO570OP98/PNNtppsywbT+8ahhGgugBksnW6wknDYv8wSYD4o1Kp1aCR8Gw+r/PoqU6l2&#10;I76boQgVoxL0qZJQh9ClnPuyNlb5uesM0u7T9VYFGvuK616NVG5bfi/EglvVIF2oVWfWtSm/iouV&#10;MJa74bjfvvLd3XHj8Lw5r4uPNylvb6bnJ2DBTOEPhl99UoecnE7ugtqzVsIsEiImVkIcPQAjYpHE&#10;FJwoWD4mwPOM//8h/wEAAP//AwBQSwECLQAUAAYACAAAACEAtoM4kv4AAADhAQAAEwAAAAAAAAAA&#10;AAAAAAAAAAAAW0NvbnRlbnRfVHlwZXNdLnhtbFBLAQItABQABgAIAAAAIQA4/SH/1gAAAJQBAAAL&#10;AAAAAAAAAAAAAAAAAC8BAABfcmVscy8ucmVsc1BLAQItABQABgAIAAAAIQCXoRpOygEAAIYDAAAO&#10;AAAAAAAAAAAAAAAAAC4CAABkcnMvZTJvRG9jLnhtbFBLAQItABQABgAIAAAAIQCnuCB04gAAAAsB&#10;AAAPAAAAAAAAAAAAAAAAACQEAABkcnMvZG93bnJldi54bWxQSwUGAAAAAAQABADzAAAAMwUAAAAA&#10;" filled="f" stroked="f">
                <o:lock v:ext="edit" grouping="t"/>
                <v:textbox>
                  <w:txbxContent>
                    <w:p w14:paraId="1A47FCEF" w14:textId="4E58064C" w:rsidR="00FD32EF" w:rsidRPr="00DF755C" w:rsidRDefault="00FD32EF" w:rsidP="00FD32E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</w:tabs>
                        <w:spacing w:after="80"/>
                        <w:ind w:left="446" w:right="490"/>
                        <w:contextualSpacing w:val="0"/>
                        <w:jc w:val="both"/>
                        <w:rPr>
                          <w:rFonts w:eastAsia="Times New Roman"/>
                          <w:color w:val="4472C4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Conducted in </w:t>
                      </w:r>
                      <w:r w:rsidRPr="0026336C">
                        <w:rPr>
                          <w:rFonts w:asciiTheme="minorHAnsi" w:hAnsi="Calibri" w:cstheme="minorBidi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Wajid, Somalia</w:t>
                      </w:r>
                      <w:r w:rsidRPr="0026336C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—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drought and </w:t>
                      </w:r>
                      <w:r w:rsidRPr="0026336C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conflict 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affected, many IDPs</w:t>
                      </w:r>
                    </w:p>
                    <w:p w14:paraId="3FDD512D" w14:textId="6986DD37" w:rsidR="00FD32EF" w:rsidRPr="00DF755C" w:rsidRDefault="00FD32EF" w:rsidP="00FD32E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</w:tabs>
                        <w:spacing w:after="80"/>
                        <w:ind w:left="446" w:right="490"/>
                        <w:contextualSpacing w:val="0"/>
                        <w:jc w:val="both"/>
                        <w:rPr>
                          <w:rFonts w:eastAsia="Times New Roman"/>
                          <w:color w:val="4472C4"/>
                          <w:sz w:val="22"/>
                          <w:szCs w:val="22"/>
                        </w:rPr>
                      </w:pPr>
                      <w:r w:rsidRPr="00DF755C">
                        <w:rPr>
                          <w:rFonts w:asciiTheme="minorHAnsi" w:hAnsi="Calibri" w:cstheme="minorBidi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Mixed Methods </w:t>
                      </w:r>
                      <w:r w:rsidRPr="00DF755C">
                        <w:rPr>
                          <w:rFonts w:asciiTheme="minorHAnsi" w:hAnsi="Calibri" w:cstheme="minorBid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Approach:</w:t>
                      </w:r>
                      <w:r w:rsidRPr="00DF755C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both quantitative and qualitative data were collected.  Quantitative component</w:t>
                      </w:r>
                      <w:r w:rsidR="00CA2017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used a pre/post design and sou</w:t>
                      </w:r>
                      <w:r w:rsidRPr="00DF755C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ght to measure change over the intervention period.  Qualitative findings were intended to enrich understanding of quantitative results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and their implications</w:t>
                      </w:r>
                      <w:r w:rsidRPr="00DF755C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, which is important for application to 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ongoing programming.</w:t>
                      </w:r>
                    </w:p>
                    <w:p w14:paraId="5031ACAE" w14:textId="0287B948" w:rsidR="00FD32EF" w:rsidRPr="0026336C" w:rsidRDefault="00FD32EF" w:rsidP="00DF755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</w:tabs>
                        <w:spacing w:after="40"/>
                        <w:ind w:left="450" w:right="30"/>
                        <w:contextualSpacing w:val="0"/>
                        <w:jc w:val="both"/>
                        <w:rPr>
                          <w:rFonts w:eastAsia="Times New Roman"/>
                          <w:color w:val="4472C4"/>
                          <w:sz w:val="22"/>
                          <w:szCs w:val="22"/>
                        </w:rPr>
                      </w:pPr>
                      <w:r w:rsidRPr="0026336C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A </w:t>
                      </w:r>
                      <w:r w:rsidRPr="0026336C">
                        <w:rPr>
                          <w:rFonts w:asciiTheme="minorHAnsi" w:hAnsi="Calibri" w:cstheme="minorBidi"/>
                          <w:b/>
                          <w:bCs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3-comparison group quasi-experimental design </w:t>
                      </w:r>
                      <w:r w:rsidRPr="0026336C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was required because humanitarian programs 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were already</w:t>
                      </w:r>
                      <w:r w:rsidRPr="0026336C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ongoing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.  To be eligible, households need to have a non-malnourished PLW and meet vulnerability criteria.  </w:t>
                      </w:r>
                    </w:p>
                    <w:p w14:paraId="1CBA7856" w14:textId="12EE98D0" w:rsidR="00FD32EF" w:rsidRPr="0026336C" w:rsidRDefault="00FD32EF" w:rsidP="00DF755C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tabs>
                          <w:tab w:val="clear" w:pos="1440"/>
                        </w:tabs>
                        <w:spacing w:after="40"/>
                        <w:ind w:left="990" w:right="30" w:hanging="450"/>
                        <w:contextualSpacing w:val="0"/>
                        <w:rPr>
                          <w:rFonts w:eastAsia="Times New Roman"/>
                          <w:color w:val="4472C4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Mixed transfers (in-kind, voucher, unconditional cash) -  US$106 monthly</w:t>
                      </w:r>
                    </w:p>
                    <w:p w14:paraId="058F02C8" w14:textId="6F1E6D05" w:rsidR="00FD32EF" w:rsidRPr="000B49FB" w:rsidRDefault="00FD32EF" w:rsidP="00DF755C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spacing w:after="40"/>
                        <w:ind w:left="990" w:hanging="450"/>
                        <w:contextualSpacing w:val="0"/>
                        <w:rPr>
                          <w:rFonts w:eastAsia="Times New Roman"/>
                          <w:color w:val="4472C4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Vouchers – US$106 monthly </w:t>
                      </w:r>
                    </w:p>
                    <w:p w14:paraId="406812F4" w14:textId="1BDEA877" w:rsidR="00FD32EF" w:rsidRPr="00DF755C" w:rsidRDefault="00FD32EF" w:rsidP="00DF755C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spacing w:after="40"/>
                        <w:ind w:left="990" w:hanging="450"/>
                        <w:contextualSpacing w:val="0"/>
                        <w:rPr>
                          <w:rFonts w:eastAsia="Times New Roman"/>
                          <w:color w:val="4472C4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No household level food or cash assistance</w:t>
                      </w:r>
                    </w:p>
                    <w:p w14:paraId="47F19AAC" w14:textId="264BCCE8" w:rsidR="00FD32EF" w:rsidRPr="00DF755C" w:rsidRDefault="00FD32EF" w:rsidP="00FD32E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tabs>
                          <w:tab w:val="clear" w:pos="720"/>
                        </w:tabs>
                        <w:spacing w:after="80"/>
                        <w:ind w:left="446"/>
                        <w:contextualSpacing w:val="0"/>
                        <w:rPr>
                          <w:rFonts w:eastAsia="Times New Roman"/>
                          <w:color w:val="4472C4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The planned intervention period of 6 months was reduced to 4 months</w:t>
                      </w:r>
                      <w:r w:rsidR="00094C98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.</w:t>
                      </w:r>
                    </w:p>
                    <w:p w14:paraId="14D862CF" w14:textId="4EA390DD" w:rsidR="00FD32EF" w:rsidRPr="00FD32EF" w:rsidRDefault="00FD32EF" w:rsidP="00DF755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tabs>
                          <w:tab w:val="clear" w:pos="720"/>
                        </w:tabs>
                        <w:ind w:left="450"/>
                        <w:rPr>
                          <w:rFonts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</w:rPr>
                        <w:t>Statistical analysis included d</w:t>
                      </w:r>
                      <w:r w:rsidRPr="00FD32EF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</w:rPr>
                        <w:t xml:space="preserve">ifference-in-difference analysis </w:t>
                      </w:r>
                      <w:r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</w:rPr>
                        <w:t>and propensity score weighting to account for the non-randomized design and baseline differences between groups.</w:t>
                      </w:r>
                    </w:p>
                    <w:p w14:paraId="27A39ACA" w14:textId="622FD03F" w:rsidR="00FD32EF" w:rsidRPr="00FD32EF" w:rsidRDefault="00FD32EF" w:rsidP="00FD32EF">
                      <w:pPr>
                        <w:rPr>
                          <w:rFonts w:eastAsia="Times New Roman"/>
                          <w:color w:val="4472C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2E42FFC" w14:textId="45AC6A64" w:rsidR="00BF71B3" w:rsidRPr="00BF71B3" w:rsidRDefault="00FD32EF" w:rsidP="00BF71B3">
      <w:r>
        <w:rPr>
          <w:noProof/>
        </w:rPr>
        <w:drawing>
          <wp:anchor distT="0" distB="0" distL="114300" distR="114300" simplePos="0" relativeHeight="251678720" behindDoc="1" locked="0" layoutInCell="1" allowOverlap="1" wp14:anchorId="0F28B24E" wp14:editId="08596C39">
            <wp:simplePos x="0" y="0"/>
            <wp:positionH relativeFrom="margin">
              <wp:posOffset>3625215</wp:posOffset>
            </wp:positionH>
            <wp:positionV relativeFrom="paragraph">
              <wp:posOffset>242570</wp:posOffset>
            </wp:positionV>
            <wp:extent cx="2810510" cy="2221230"/>
            <wp:effectExtent l="0" t="0" r="8890" b="762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0510" cy="2221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C83638" w14:textId="4A875A9F" w:rsidR="00BF71B3" w:rsidRPr="00BF71B3" w:rsidRDefault="00BF71B3" w:rsidP="00BF71B3"/>
    <w:p w14:paraId="353377C4" w14:textId="248A1D8B" w:rsidR="00BF71B3" w:rsidRPr="00BF71B3" w:rsidRDefault="00BF71B3" w:rsidP="00BF71B3"/>
    <w:p w14:paraId="48F6B480" w14:textId="52576C54" w:rsidR="00BF71B3" w:rsidRDefault="00BF71B3" w:rsidP="00BF71B3"/>
    <w:p w14:paraId="350331FA" w14:textId="42AE3D4A" w:rsidR="00297B72" w:rsidRDefault="00297B72" w:rsidP="00BF71B3"/>
    <w:p w14:paraId="7E912757" w14:textId="3931E9DD" w:rsidR="00297B72" w:rsidRDefault="00297B72" w:rsidP="00BF71B3"/>
    <w:p w14:paraId="704A2284" w14:textId="671B23BA" w:rsidR="00297B72" w:rsidRDefault="00297B72" w:rsidP="00BF71B3"/>
    <w:p w14:paraId="1736877D" w14:textId="376A9014" w:rsidR="00297B72" w:rsidRDefault="00297B72" w:rsidP="00BF71B3"/>
    <w:p w14:paraId="589EBAA3" w14:textId="5C6AF41A" w:rsidR="00297B72" w:rsidRDefault="00297B72" w:rsidP="00BF71B3"/>
    <w:p w14:paraId="0E237113" w14:textId="00B5A166" w:rsidR="00297B72" w:rsidRDefault="00297B72" w:rsidP="00BF71B3"/>
    <w:p w14:paraId="52FD8212" w14:textId="6273D956" w:rsidR="00297B72" w:rsidRDefault="00297B72" w:rsidP="00BF71B3"/>
    <w:p w14:paraId="116593A8" w14:textId="2A862FA8" w:rsidR="00297B72" w:rsidRDefault="00EF01C6" w:rsidP="00BF71B3">
      <w:r>
        <w:rPr>
          <w:noProof/>
        </w:rPr>
        <w:lastRenderedPageBreak/>
        <w:drawing>
          <wp:anchor distT="0" distB="0" distL="114300" distR="114300" simplePos="0" relativeHeight="251670528" behindDoc="0" locked="0" layoutInCell="1" allowOverlap="1" wp14:anchorId="2852FB71" wp14:editId="72FC1C18">
            <wp:simplePos x="0" y="0"/>
            <wp:positionH relativeFrom="page">
              <wp:posOffset>190831</wp:posOffset>
            </wp:positionH>
            <wp:positionV relativeFrom="paragraph">
              <wp:posOffset>164852</wp:posOffset>
            </wp:positionV>
            <wp:extent cx="2469783" cy="759933"/>
            <wp:effectExtent l="0" t="0" r="6985" b="2540"/>
            <wp:wrapNone/>
            <wp:docPr id="9" name="Content Placeholder 5">
              <a:extLst xmlns:a="http://schemas.openxmlformats.org/drawingml/2006/main">
                <a:ext uri="{FF2B5EF4-FFF2-40B4-BE49-F238E27FC236}">
                  <a16:creationId xmlns:a16="http://schemas.microsoft.com/office/drawing/2014/main" id="{57D0800A-6CC4-4EF7-AD78-0CC6D115333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5">
                      <a:extLst>
                        <a:ext uri="{FF2B5EF4-FFF2-40B4-BE49-F238E27FC236}">
                          <a16:creationId xmlns:a16="http://schemas.microsoft.com/office/drawing/2014/main" id="{57D0800A-6CC4-4EF7-AD78-0CC6D115333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93" t="23892" r="12388" b="21498"/>
                    <a:stretch/>
                  </pic:blipFill>
                  <pic:spPr>
                    <a:xfrm>
                      <a:off x="0" y="0"/>
                      <a:ext cx="2469783" cy="759933"/>
                    </a:xfrm>
                    <a:prstGeom prst="rect">
                      <a:avLst/>
                    </a:prstGeom>
                    <a:noFill/>
                    <a:ln w="9525" cap="flat" cmpd="sng" algn="ctr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47D" w:rsidRPr="0032575F">
        <w:rPr>
          <w:noProof/>
        </w:rPr>
        <w:drawing>
          <wp:anchor distT="0" distB="0" distL="114300" distR="114300" simplePos="0" relativeHeight="251665408" behindDoc="0" locked="0" layoutInCell="1" allowOverlap="1" wp14:anchorId="7A904DB0" wp14:editId="048AE02B">
            <wp:simplePos x="0" y="0"/>
            <wp:positionH relativeFrom="page">
              <wp:align>right</wp:align>
            </wp:positionH>
            <wp:positionV relativeFrom="paragraph">
              <wp:posOffset>8255</wp:posOffset>
            </wp:positionV>
            <wp:extent cx="3632029" cy="749300"/>
            <wp:effectExtent l="0" t="0" r="6985" b="0"/>
            <wp:wrapNone/>
            <wp:docPr id="6" name="Picture 6" descr="Image result for world vis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world vision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029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DF7010" w14:textId="15E56D0F" w:rsidR="00297B72" w:rsidRDefault="00ED047D" w:rsidP="00ED047D">
      <w:pPr>
        <w:tabs>
          <w:tab w:val="left" w:pos="2445"/>
        </w:tabs>
      </w:pPr>
      <w:r>
        <w:tab/>
      </w:r>
    </w:p>
    <w:p w14:paraId="0258BB36" w14:textId="4FDE56A1" w:rsidR="00297B72" w:rsidRPr="00BF71B3" w:rsidRDefault="00297B72" w:rsidP="00BF71B3"/>
    <w:p w14:paraId="6D4AF0E2" w14:textId="75960818" w:rsidR="00BF71B3" w:rsidRPr="00BF71B3" w:rsidRDefault="00D102EB" w:rsidP="00BF71B3">
      <w:r w:rsidRPr="00A636B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632F935" wp14:editId="5AF0273E">
                <wp:simplePos x="0" y="0"/>
                <wp:positionH relativeFrom="margin">
                  <wp:posOffset>3143250</wp:posOffset>
                </wp:positionH>
                <wp:positionV relativeFrom="paragraph">
                  <wp:posOffset>276860</wp:posOffset>
                </wp:positionV>
                <wp:extent cx="3469005" cy="4324350"/>
                <wp:effectExtent l="0" t="0" r="0" b="0"/>
                <wp:wrapNone/>
                <wp:docPr id="20" name="Content Placeholder 2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69005" cy="4324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78314C0" w14:textId="7C50F035" w:rsidR="00FD32EF" w:rsidRPr="005459EF" w:rsidRDefault="00D102EB" w:rsidP="00062B5B">
                            <w:pPr>
                              <w:shd w:val="clear" w:color="auto" w:fill="FBE4D5" w:themeFill="accent2" w:themeFillTint="33"/>
                              <w:tabs>
                                <w:tab w:val="num" w:pos="360"/>
                              </w:tabs>
                              <w:spacing w:after="120" w:line="240" w:lineRule="auto"/>
                              <w:ind w:left="360" w:hanging="274"/>
                              <w:jc w:val="center"/>
                              <w:rPr>
                                <w:rFonts w:ascii="Trebuchet MS" w:eastAsia="+mj-ea" w:hAnsi="Trebuchet MS" w:cs="+mj-cs"/>
                                <w:color w:val="E84C22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eastAsia="+mj-ea" w:hAnsi="Trebuchet MS" w:cs="+mj-cs"/>
                                <w:color w:val="E84C22"/>
                                <w:kern w:val="24"/>
                                <w:sz w:val="32"/>
                                <w:szCs w:val="32"/>
                              </w:rPr>
                              <w:t>CU5 Food Security and Nutrition</w:t>
                            </w:r>
                          </w:p>
                          <w:p w14:paraId="7110A939" w14:textId="3E1A51F1" w:rsidR="00D102EB" w:rsidRDefault="00D102EB" w:rsidP="00062B5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80"/>
                              <w:ind w:left="360" w:hanging="274"/>
                              <w:contextualSpacing w:val="0"/>
                              <w:jc w:val="both"/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D102EB">
                              <w:rPr>
                                <w:rFonts w:asciiTheme="minorHAnsi" w:hAnsi="Calibri" w:cstheme="minorBid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Dietary diversity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was significantly better at baseline in the mixed transfer group; </w:t>
                            </w:r>
                            <w:r w:rsidR="00062B5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at </w:t>
                            </w:r>
                            <w:proofErr w:type="spellStart"/>
                            <w:r w:rsidR="00062B5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endline</w:t>
                            </w:r>
                            <w:proofErr w:type="spellEnd"/>
                            <w:r w:rsidR="00062B5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,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dietary diversity was similar between groups with ~30% achieving the target; diversity declined in the mixed transfer group.</w:t>
                            </w:r>
                          </w:p>
                          <w:p w14:paraId="12C66E3F" w14:textId="5665930F" w:rsidR="00062B5B" w:rsidRDefault="00062B5B" w:rsidP="00062B5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80"/>
                              <w:ind w:left="360" w:hanging="274"/>
                              <w:contextualSpacing w:val="0"/>
                              <w:jc w:val="both"/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Mid-Upper Arm Circumference 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was significantly greater in the mixed transfer group at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endline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and baseline.  Mean MUAC increased by </w:t>
                            </w:r>
                            <w:r w:rsidRPr="00062B5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0.5cm in the voucher group and 0.1cm in the mixed transfer group, however, 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increases</w:t>
                            </w:r>
                            <w:r w:rsidRPr="00062B5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were not statistically significant.</w:t>
                            </w:r>
                          </w:p>
                          <w:p w14:paraId="4FB5C491" w14:textId="2FB8A78D" w:rsidR="00410FCC" w:rsidRDefault="00062B5B" w:rsidP="00410FC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80"/>
                              <w:ind w:left="360" w:hanging="274"/>
                              <w:jc w:val="both"/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062B5B">
                              <w:rPr>
                                <w:rFonts w:asciiTheme="minorHAnsi" w:hAnsi="Calibri" w:cstheme="minorBid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Acute malnutrition prevalence</w:t>
                            </w:r>
                            <w:r w:rsidR="00FD32EF" w:rsidRPr="00A636B7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was great</w:t>
                            </w:r>
                            <w:r w:rsidR="00410FCC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er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D32EF" w:rsidRPr="00A636B7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at baseline 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and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endline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for CU5s in the food voucher group. </w:t>
                            </w:r>
                            <w:r w:rsidR="00410FCC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Prevalence decreased over time in both groups, but differences were not significant from baseline. </w:t>
                            </w:r>
                          </w:p>
                          <w:p w14:paraId="619437A9" w14:textId="77777777" w:rsidR="00410FCC" w:rsidRPr="00BE6DD6" w:rsidRDefault="00410FCC" w:rsidP="00410FCC">
                            <w:pPr>
                              <w:shd w:val="clear" w:color="auto" w:fill="FBE4D5" w:themeFill="accent2" w:themeFillTint="33"/>
                              <w:spacing w:before="200" w:after="120"/>
                              <w:ind w:left="274" w:hanging="360"/>
                              <w:rPr>
                                <w:sz w:val="32"/>
                                <w:szCs w:val="32"/>
                              </w:rPr>
                            </w:pPr>
                            <w:r w:rsidRPr="00BE6DD6">
                              <w:rPr>
                                <w:rFonts w:ascii="Trebuchet MS" w:eastAsia="+mj-ea" w:hAnsi="Trebuchet MS" w:cs="+mj-cs"/>
                                <w:color w:val="E84C22"/>
                                <w:kern w:val="24"/>
                                <w:sz w:val="32"/>
                                <w:szCs w:val="32"/>
                              </w:rPr>
                              <w:t>Limitations</w:t>
                            </w:r>
                          </w:p>
                          <w:p w14:paraId="0E2841DD" w14:textId="53877430" w:rsidR="00410FCC" w:rsidRPr="00BE6DD6" w:rsidRDefault="00410FCC" w:rsidP="00CA201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720"/>
                              </w:tabs>
                              <w:ind w:left="360"/>
                              <w:jc w:val="both"/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S</w:t>
                            </w:r>
                            <w:r w:rsidRPr="00BE6DD6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ecurity and beneficiary numbers made it difficult to recruit l</w:t>
                            </w:r>
                            <w:bookmarkStart w:id="0" w:name="_GoBack"/>
                            <w:bookmarkEnd w:id="0"/>
                            <w:r w:rsidRPr="00BE6DD6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arge samples of 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PLW</w:t>
                            </w:r>
                            <w:r w:rsidRPr="00BE6DD6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households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; the intervention period was shorter than planned; and</w:t>
                            </w:r>
                            <w:r w:rsidRPr="00BE6DD6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many in</w:t>
                            </w:r>
                            <w:r w:rsidR="00387569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the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non-assistance group began receiving aid.  </w:t>
                            </w:r>
                            <w:r w:rsidR="00387569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These factors limited the ability to detect statistically significant differences between groups.</w:t>
                            </w:r>
                          </w:p>
                          <w:p w14:paraId="5A0088FD" w14:textId="77777777" w:rsidR="00410FCC" w:rsidRPr="005459EF" w:rsidRDefault="00410FCC" w:rsidP="00410FCC">
                            <w:pPr>
                              <w:pStyle w:val="ListParagraph"/>
                              <w:spacing w:after="80"/>
                              <w:ind w:left="360"/>
                              <w:jc w:val="both"/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</w:pPr>
                          </w:p>
                          <w:p w14:paraId="0859DEB4" w14:textId="4DAC6663" w:rsidR="00FD32EF" w:rsidRPr="005459EF" w:rsidRDefault="00FD32EF" w:rsidP="00410FCC">
                            <w:pPr>
                              <w:pStyle w:val="ListParagraph"/>
                              <w:ind w:left="360"/>
                              <w:jc w:val="both"/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32F935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247.5pt;margin-top:21.8pt;width:273.15pt;height:340.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cXaygEAAIYDAAAOAAAAZHJzL2Uyb0RvYy54bWysU8Fu2zAMvQ/oPwi6L3Ycp2uNOMXaYsOA&#10;Yi3Q7QMUWYqNWaImKrGzrx+luGm63YZdBEokHx8fqdXNaHq2Vx47sDWfz3LOlJXQdHZb8+/fPr2/&#10;4gyDsI3owaqaHxTym/XFu9XgKlVAC32jPCMQi9Xgat6G4KosQ9kqI3AGTllyavBGBLr6bdZ4MRC6&#10;6bMizy+zAXzjPEiFSK/3RydfJ3ytlQyPWqMKrK85cQvp9OncxDNbr0S19cK1nZxoiH9gYURnqegJ&#10;6l4EwXa++wvKdNIDgg4zCSYDrTupUg/UzTz/o5vnVjiVeiFx0J1kwv8HK7/unzzrmpoXJI8VhmZ0&#10;BzYoG9hTL6SaJlSk7tQYHjCQZtngsEq5UelkPjsCCuMtjLQHKRrdA8gfeBYeY44JmCxRjdqbqBsp&#10;wSiROBxOY6FqTNLjory8zvMlZ5J85aIoF8s0uOw13XkMnxUYFo2ae5p7oiD2E19RvYRM5I8EIvcw&#10;bsakwDJuQ3zZQHOgZmitCasF/4uzgVak5vhzJ7zirP9iaQbX87KMO5Uu5fJDVNCfezZvPKG/g7SF&#10;sV8LH3cBdHcS81hzIkfDJuvNNp3fU9Tr91n/BgAA//8DAFBLAwQUAAYACAAAACEA+z4uOuAAAAAL&#10;AQAADwAAAGRycy9kb3ducmV2LnhtbEyPzW7CMBCE75V4B2uReis2ENISskFVq15bQX+k3ky8JBHx&#10;OooNSd++5tTeZjWj2W/y7WhbcaHeN44R5jMFgrh0puEK4eP95e4BhA+ajW4dE8IPedgWk5tcZ8YN&#10;vKPLPlQilrDPNEIdQpdJ6cuarPYz1xFH7+h6q0M8+0qaXg+x3LZyoVQqrW44fqh1R081laf92SJ8&#10;vh6/vxL1Vj3bVTe4UUm2a4l4Ox0fNyACjeEvDFf8iA5FZDq4MxsvWoRkvYpbQhTLFMQ1oJL5EsQB&#10;4X6RpCCLXP7fUPwCAAD//wMAUEsBAi0AFAAGAAgAAAAhALaDOJL+AAAA4QEAABMAAAAAAAAAAAAA&#10;AAAAAAAAAFtDb250ZW50X1R5cGVzXS54bWxQSwECLQAUAAYACAAAACEAOP0h/9YAAACUAQAACwAA&#10;AAAAAAAAAAAAAAAvAQAAX3JlbHMvLnJlbHNQSwECLQAUAAYACAAAACEA21nF2soBAACGAwAADgAA&#10;AAAAAAAAAAAAAAAuAgAAZHJzL2Uyb0RvYy54bWxQSwECLQAUAAYACAAAACEA+z4uOuAAAAALAQAA&#10;DwAAAAAAAAAAAAAAAAAkBAAAZHJzL2Rvd25yZXYueG1sUEsFBgAAAAAEAAQA8wAAADEFAAAAAA==&#10;" filled="f" stroked="f">
                <v:textbox>
                  <w:txbxContent>
                    <w:p w14:paraId="578314C0" w14:textId="7C50F035" w:rsidR="00FD32EF" w:rsidRPr="005459EF" w:rsidRDefault="00D102EB" w:rsidP="00062B5B">
                      <w:pPr>
                        <w:shd w:val="clear" w:color="auto" w:fill="FBE4D5" w:themeFill="accent2" w:themeFillTint="33"/>
                        <w:tabs>
                          <w:tab w:val="num" w:pos="360"/>
                        </w:tabs>
                        <w:spacing w:after="120" w:line="240" w:lineRule="auto"/>
                        <w:ind w:left="360" w:hanging="274"/>
                        <w:jc w:val="center"/>
                        <w:rPr>
                          <w:rFonts w:ascii="Trebuchet MS" w:eastAsia="+mj-ea" w:hAnsi="Trebuchet MS" w:cs="+mj-cs"/>
                          <w:color w:val="E84C22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eastAsia="+mj-ea" w:hAnsi="Trebuchet MS" w:cs="+mj-cs"/>
                          <w:color w:val="E84C22"/>
                          <w:kern w:val="24"/>
                          <w:sz w:val="32"/>
                          <w:szCs w:val="32"/>
                        </w:rPr>
                        <w:t>CU5 Food Security and Nutrition</w:t>
                      </w:r>
                    </w:p>
                    <w:p w14:paraId="7110A939" w14:textId="3E1A51F1" w:rsidR="00D102EB" w:rsidRDefault="00D102EB" w:rsidP="00062B5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tabs>
                          <w:tab w:val="clear" w:pos="720"/>
                          <w:tab w:val="num" w:pos="360"/>
                        </w:tabs>
                        <w:spacing w:after="80"/>
                        <w:ind w:left="360" w:hanging="274"/>
                        <w:contextualSpacing w:val="0"/>
                        <w:jc w:val="both"/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</w:pPr>
                      <w:r w:rsidRPr="00D102EB">
                        <w:rPr>
                          <w:rFonts w:asciiTheme="minorHAnsi" w:hAnsi="Calibri" w:cstheme="minorBid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Dietary diversity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was significantly better at baseline in the mixed transfer group; </w:t>
                      </w:r>
                      <w:r w:rsidR="00062B5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at </w:t>
                      </w:r>
                      <w:proofErr w:type="spellStart"/>
                      <w:r w:rsidR="00062B5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endline</w:t>
                      </w:r>
                      <w:proofErr w:type="spellEnd"/>
                      <w:r w:rsidR="00062B5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,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dietary diversity was similar between groups with ~30% achieving the target; diversity declined in the mixed transfer group.</w:t>
                      </w:r>
                    </w:p>
                    <w:p w14:paraId="12C66E3F" w14:textId="5665930F" w:rsidR="00062B5B" w:rsidRDefault="00062B5B" w:rsidP="00062B5B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tabs>
                          <w:tab w:val="clear" w:pos="720"/>
                          <w:tab w:val="num" w:pos="360"/>
                        </w:tabs>
                        <w:spacing w:after="80"/>
                        <w:ind w:left="360" w:hanging="274"/>
                        <w:contextualSpacing w:val="0"/>
                        <w:jc w:val="both"/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Mid-Upper Arm Circumference 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was significantly greater in the mixed transfer group at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endline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and baseline.  Mean MUAC increased by </w:t>
                      </w:r>
                      <w:r w:rsidRPr="00062B5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0.5cm in the voucher group and 0.1cm in the mixed transfer group, however, 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increases</w:t>
                      </w:r>
                      <w:r w:rsidRPr="00062B5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were not statistically significant.</w:t>
                      </w:r>
                    </w:p>
                    <w:p w14:paraId="4FB5C491" w14:textId="2FB8A78D" w:rsidR="00410FCC" w:rsidRDefault="00062B5B" w:rsidP="00410FC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tabs>
                          <w:tab w:val="clear" w:pos="720"/>
                          <w:tab w:val="num" w:pos="360"/>
                        </w:tabs>
                        <w:spacing w:after="80"/>
                        <w:ind w:left="360" w:hanging="274"/>
                        <w:jc w:val="both"/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</w:pPr>
                      <w:r w:rsidRPr="00062B5B">
                        <w:rPr>
                          <w:rFonts w:asciiTheme="minorHAnsi" w:hAnsi="Calibri" w:cstheme="minorBid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Acute malnutrition prevalence</w:t>
                      </w:r>
                      <w:r w:rsidR="00FD32EF" w:rsidRPr="00A636B7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was great</w:t>
                      </w:r>
                      <w:r w:rsidR="00410FCC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er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r w:rsidR="00FD32EF" w:rsidRPr="00A636B7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at baseline 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and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endline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for CU5s in the food voucher group. </w:t>
                      </w:r>
                      <w:r w:rsidR="00410FCC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Prevalence decreased over time in both groups, but differences were not significant from baseline. </w:t>
                      </w:r>
                    </w:p>
                    <w:p w14:paraId="619437A9" w14:textId="77777777" w:rsidR="00410FCC" w:rsidRPr="00BE6DD6" w:rsidRDefault="00410FCC" w:rsidP="00410FCC">
                      <w:pPr>
                        <w:shd w:val="clear" w:color="auto" w:fill="FBE4D5" w:themeFill="accent2" w:themeFillTint="33"/>
                        <w:spacing w:before="200" w:after="120"/>
                        <w:ind w:left="274" w:hanging="360"/>
                        <w:rPr>
                          <w:sz w:val="32"/>
                          <w:szCs w:val="32"/>
                        </w:rPr>
                      </w:pPr>
                      <w:r w:rsidRPr="00BE6DD6">
                        <w:rPr>
                          <w:rFonts w:ascii="Trebuchet MS" w:eastAsia="+mj-ea" w:hAnsi="Trebuchet MS" w:cs="+mj-cs"/>
                          <w:color w:val="E84C22"/>
                          <w:kern w:val="24"/>
                          <w:sz w:val="32"/>
                          <w:szCs w:val="32"/>
                        </w:rPr>
                        <w:t>Limitations</w:t>
                      </w:r>
                    </w:p>
                    <w:p w14:paraId="0E2841DD" w14:textId="53877430" w:rsidR="00410FCC" w:rsidRPr="00BE6DD6" w:rsidRDefault="00410FCC" w:rsidP="00CA201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tabs>
                          <w:tab w:val="clear" w:pos="720"/>
                        </w:tabs>
                        <w:ind w:left="360"/>
                        <w:jc w:val="both"/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S</w:t>
                      </w:r>
                      <w:r w:rsidRPr="00BE6DD6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ecurity and beneficiary numbers made it difficult to recruit l</w:t>
                      </w:r>
                      <w:bookmarkStart w:id="1" w:name="_GoBack"/>
                      <w:bookmarkEnd w:id="1"/>
                      <w:r w:rsidRPr="00BE6DD6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arge samples of 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PLW</w:t>
                      </w:r>
                      <w:r w:rsidRPr="00BE6DD6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households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; the intervention period was shorter than planned; and</w:t>
                      </w:r>
                      <w:r w:rsidRPr="00BE6DD6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many in</w:t>
                      </w:r>
                      <w:r w:rsidR="00387569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the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non-assistance group began receiving aid.  </w:t>
                      </w:r>
                      <w:r w:rsidR="00387569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These factors limited the ability to detect statistically significant differences between groups.</w:t>
                      </w:r>
                    </w:p>
                    <w:p w14:paraId="5A0088FD" w14:textId="77777777" w:rsidR="00410FCC" w:rsidRPr="005459EF" w:rsidRDefault="00410FCC" w:rsidP="00410FCC">
                      <w:pPr>
                        <w:pStyle w:val="ListParagraph"/>
                        <w:spacing w:after="80"/>
                        <w:ind w:left="360"/>
                        <w:jc w:val="both"/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</w:pPr>
                    </w:p>
                    <w:p w14:paraId="0859DEB4" w14:textId="4DAC6663" w:rsidR="00FD32EF" w:rsidRPr="005459EF" w:rsidRDefault="00FD32EF" w:rsidP="00410FCC">
                      <w:pPr>
                        <w:pStyle w:val="ListParagraph"/>
                        <w:ind w:left="360"/>
                        <w:jc w:val="both"/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A0112" w:rsidRPr="004F2E81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C3AF13" wp14:editId="485484E1">
                <wp:simplePos x="0" y="0"/>
                <wp:positionH relativeFrom="page">
                  <wp:posOffset>114300</wp:posOffset>
                </wp:positionH>
                <wp:positionV relativeFrom="paragraph">
                  <wp:posOffset>276860</wp:posOffset>
                </wp:positionV>
                <wp:extent cx="3790950" cy="4410075"/>
                <wp:effectExtent l="0" t="0" r="0" b="0"/>
                <wp:wrapNone/>
                <wp:docPr id="16" name="Content Placeholder 2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90950" cy="4410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4AF0533" w14:textId="77777777" w:rsidR="00FD32EF" w:rsidRPr="00830B08" w:rsidRDefault="00FD32EF" w:rsidP="00094C98">
                            <w:pPr>
                              <w:pStyle w:val="NormalWeb"/>
                              <w:shd w:val="clear" w:color="auto" w:fill="FBE4D5" w:themeFill="accent2" w:themeFillTint="33"/>
                              <w:spacing w:before="0" w:beforeAutospacing="0" w:after="120" w:afterAutospacing="0"/>
                              <w:jc w:val="center"/>
                              <w:rPr>
                                <w:rFonts w:ascii="Trebuchet MS" w:eastAsia="+mj-ea" w:hAnsi="Trebuchet MS" w:cs="+mj-cs"/>
                                <w:color w:val="E84C22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830B08">
                              <w:rPr>
                                <w:rFonts w:ascii="Trebuchet MS" w:eastAsia="+mj-ea" w:hAnsi="Trebuchet MS" w:cs="+mj-cs"/>
                                <w:color w:val="E84C22"/>
                                <w:kern w:val="24"/>
                                <w:sz w:val="32"/>
                                <w:szCs w:val="32"/>
                              </w:rPr>
                              <w:t>Household Food Security</w:t>
                            </w:r>
                          </w:p>
                          <w:p w14:paraId="6AA9E9D8" w14:textId="345A84E7" w:rsidR="00FD32EF" w:rsidRPr="00D102EB" w:rsidRDefault="00FD32EF" w:rsidP="00E6300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80"/>
                              <w:ind w:left="360" w:right="15" w:hanging="274"/>
                              <w:contextualSpacing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D102E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Household food security at baseline was </w:t>
                            </w:r>
                            <w:r w:rsidR="00094C98" w:rsidRPr="00D102E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significantly </w:t>
                            </w:r>
                            <w:r w:rsidRPr="00D102E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bet</w:t>
                            </w:r>
                            <w:r w:rsidR="00094C98" w:rsidRPr="00D102E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ter in the mixed transfer group (Household Hunger Score)</w:t>
                            </w:r>
                            <w:r w:rsidR="00D102EB" w:rsidRPr="00D102E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.  </w:t>
                            </w:r>
                            <w:r w:rsidRPr="00D102E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Household</w:t>
                            </w:r>
                            <w:r w:rsidRPr="00D102EB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food security decreas</w:t>
                            </w:r>
                            <w:r w:rsidR="00094C98" w:rsidRPr="00D102EB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ed—by study end, most households were experiencing moderate hunger.</w:t>
                            </w:r>
                          </w:p>
                          <w:p w14:paraId="1F3724F1" w14:textId="0E257F4E" w:rsidR="00822D1E" w:rsidRDefault="00822D1E" w:rsidP="006A0112">
                            <w:pPr>
                              <w:pStyle w:val="NormalWeb"/>
                              <w:shd w:val="clear" w:color="auto" w:fill="FBE4D5" w:themeFill="accent2" w:themeFillTint="33"/>
                              <w:spacing w:before="200" w:beforeAutospacing="0" w:after="120" w:afterAutospacing="0"/>
                              <w:jc w:val="center"/>
                              <w:rPr>
                                <w:rFonts w:ascii="Trebuchet MS" w:eastAsia="+mj-ea" w:hAnsi="Trebuchet MS" w:cs="+mj-cs"/>
                                <w:color w:val="E84C22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5459EF">
                              <w:rPr>
                                <w:rFonts w:ascii="Trebuchet MS" w:eastAsia="+mj-ea" w:hAnsi="Trebuchet MS" w:cs="+mj-cs"/>
                                <w:color w:val="E84C22"/>
                                <w:kern w:val="24"/>
                                <w:sz w:val="32"/>
                                <w:szCs w:val="32"/>
                              </w:rPr>
                              <w:t>P</w:t>
                            </w:r>
                            <w:r>
                              <w:rPr>
                                <w:rFonts w:ascii="Trebuchet MS" w:eastAsia="+mj-ea" w:hAnsi="Trebuchet MS" w:cs="+mj-cs"/>
                                <w:color w:val="E84C22"/>
                                <w:kern w:val="24"/>
                                <w:sz w:val="32"/>
                                <w:szCs w:val="32"/>
                              </w:rPr>
                              <w:t>LW</w:t>
                            </w:r>
                            <w:r w:rsidRPr="005459EF">
                              <w:rPr>
                                <w:rFonts w:ascii="Trebuchet MS" w:eastAsia="+mj-ea" w:hAnsi="Trebuchet MS" w:cs="+mj-cs"/>
                                <w:color w:val="E84C22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eastAsia="+mj-ea" w:hAnsi="Trebuchet MS" w:cs="+mj-cs"/>
                                <w:color w:val="E84C22"/>
                                <w:kern w:val="24"/>
                                <w:sz w:val="32"/>
                                <w:szCs w:val="32"/>
                              </w:rPr>
                              <w:t xml:space="preserve">Food Security &amp; </w:t>
                            </w:r>
                            <w:r w:rsidRPr="005459EF">
                              <w:rPr>
                                <w:rFonts w:ascii="Trebuchet MS" w:eastAsia="+mj-ea" w:hAnsi="Trebuchet MS" w:cs="+mj-cs"/>
                                <w:color w:val="E84C22"/>
                                <w:kern w:val="24"/>
                                <w:sz w:val="32"/>
                                <w:szCs w:val="32"/>
                              </w:rPr>
                              <w:t>Nutrition</w:t>
                            </w:r>
                          </w:p>
                          <w:p w14:paraId="5912D028" w14:textId="7E522B95" w:rsidR="006A0112" w:rsidRPr="006A0112" w:rsidRDefault="006A0112" w:rsidP="006A011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80"/>
                              <w:ind w:left="360" w:hanging="274"/>
                              <w:contextualSpacing w:val="0"/>
                              <w:jc w:val="both"/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6A0112">
                              <w:rPr>
                                <w:rFonts w:asciiTheme="minorHAnsi" w:hAnsi="Calibri" w:cstheme="minorBid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Dietary Diversity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A0112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was significantly better in the mixed transfer group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at both baseline and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endline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. Increase in dietary diversity was similar between mixed transfer and voucher groups at approximately 0.6 food groups daily.</w:t>
                            </w:r>
                          </w:p>
                          <w:p w14:paraId="7B53A8F6" w14:textId="3C545A01" w:rsidR="006A0112" w:rsidRDefault="006A0112" w:rsidP="006A011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80"/>
                              <w:ind w:left="360" w:hanging="274"/>
                              <w:contextualSpacing w:val="0"/>
                              <w:jc w:val="both"/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6A0112">
                              <w:rPr>
                                <w:rFonts w:asciiTheme="minorHAnsi" w:hAnsi="Calibri" w:cstheme="minorBid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Mid-Upper Arm Circumference </w:t>
                            </w:r>
                            <w:r w:rsidRPr="006A0112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(MUAC)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A0112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was significantly better in the mixed transfer group at both baseline and </w:t>
                            </w:r>
                            <w:proofErr w:type="spellStart"/>
                            <w:r w:rsidRPr="006A0112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endline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Pr="006A0112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Mean MUAC increased by 0.9cm and 1.3cm in the voucher and mixe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d transfer groups, respectively.</w:t>
                            </w:r>
                          </w:p>
                          <w:p w14:paraId="6930777B" w14:textId="308BB7C2" w:rsidR="00822D1E" w:rsidRPr="006A0112" w:rsidRDefault="006A0112" w:rsidP="006A011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80"/>
                              <w:ind w:left="360" w:hanging="274"/>
                              <w:contextualSpacing w:val="0"/>
                              <w:jc w:val="both"/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6A0112">
                              <w:rPr>
                                <w:rFonts w:asciiTheme="minorHAnsi" w:hAnsi="Calibri" w:cstheme="minorBidi"/>
                                <w:b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>Acute malnutrition prevalence</w:t>
                            </w:r>
                            <w:r w:rsidRPr="006A0112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at baseline was 0% (due to eligibility criteria); at intervention end, 3.1% (CI: 1.0-7.1%) of voucher recipients and 0.0% (CI: 0.0-1.4%) of mixed recipients were acutely malnourished (MUAC&lt;21.0cm).  Despite lack of statistical significance in magnitude of change over time between groups, mixed transfers were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  <w:t xml:space="preserve"> fully successful in preventing acute malnutrition.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3AF13" id="_x0000_s1032" type="#_x0000_t202" style="position:absolute;margin-left:9pt;margin-top:21.8pt;width:298.5pt;height:347.2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wnvzAEAAIYDAAAOAAAAZHJzL2Uyb0RvYy54bWysU8Fu2zAMvQ/YPwi6N3ZSJ1mMOMXWYkWB&#10;YivQ9QMUWYqNWaImKrGzrx+leGm23oZdBFGknt7jo9Y3g+nYQXlswVZ8Osk5U1ZC3dpdxV++fb76&#10;wBkGYWvRgVUVPyrkN5v379a9K9UMGuhq5RmBWCx7V/EmBFdmGcpGGYETcMpSUoM3IlDod1ntRU/o&#10;pstmeb7IevC18yAVIp3enZJ8k/C1VjJ81RpVYF3FiVtIq0/rNq7ZZi3KnReuaeVIQ/wDCyNaS4+e&#10;oe5EEGzv2zdQppUeEHSYSDAZaN1KlTSQmmn+l5rnRjiVtFBz0J3bhP8PVn45PHnW1uTdgjMrDHl0&#10;CzYoG9hTJ6QaHZoldWoIjxioZ1nvsEx3Y6fT9tkRUBg+wUBYqRrdI8jveFEea04XMO1EOWhvYt+o&#10;E4wukkXHsy30GpN0eL1c5as5pSTlimKa58t5NC57ve48hnsFhsVNxT35niiIw8hXlL9LRvInApF7&#10;GLZD6sAigsaTLdRHEkNjTVgN+J+c9TQiFccfe+EVZ92DJQ9W06KIM5WCYr6cUeAvM9s/MqG7hTSF&#10;Ua+Fj/sAuj038/TmSI7MTvLGwYzTdBmnqtfvs/kFAAD//wMAUEsDBBQABgAIAAAAIQD5/+dW3QAA&#10;AAkBAAAPAAAAZHJzL2Rvd25yZXYueG1sTI/BTsMwEETvSPyDtUjcqB3ahhDiVAjEFdQWkLi58TaJ&#10;iNdR7Dbh77s90ePsjGbfFKvJdeKIQ2g9aUhmCgRS5W1LtYbP7dtdBiJEQ9Z0nlDDHwZYlddXhcmt&#10;H2mNx02sBZdQyI2GJsY+lzJUDToTZr5HYm/vB2ciy6GWdjAjl7tO3iuVSmda4g+N6fGlwep3c3Aa&#10;vt73P98L9VG/umU/+klJco9S69ub6fkJRMQp/ofhjM/oUDLTzh/IBtGxznhK1LCYpyDYT5MlH3Ya&#10;HuZZArIs5OWC8gQAAP//AwBQSwECLQAUAAYACAAAACEAtoM4kv4AAADhAQAAEwAAAAAAAAAAAAAA&#10;AAAAAAAAW0NvbnRlbnRfVHlwZXNdLnhtbFBLAQItABQABgAIAAAAIQA4/SH/1gAAAJQBAAALAAAA&#10;AAAAAAAAAAAAAC8BAABfcmVscy8ucmVsc1BLAQItABQABgAIAAAAIQDBnwnvzAEAAIYDAAAOAAAA&#10;AAAAAAAAAAAAAC4CAABkcnMvZTJvRG9jLnhtbFBLAQItABQABgAIAAAAIQD5/+dW3QAAAAkBAAAP&#10;AAAAAAAAAAAAAAAAACYEAABkcnMvZG93bnJldi54bWxQSwUGAAAAAAQABADzAAAAMAUAAAAA&#10;" filled="f" stroked="f">
                <v:textbox>
                  <w:txbxContent>
                    <w:p w14:paraId="34AF0533" w14:textId="77777777" w:rsidR="00FD32EF" w:rsidRPr="00830B08" w:rsidRDefault="00FD32EF" w:rsidP="00094C98">
                      <w:pPr>
                        <w:pStyle w:val="NormalWeb"/>
                        <w:shd w:val="clear" w:color="auto" w:fill="FBE4D5" w:themeFill="accent2" w:themeFillTint="33"/>
                        <w:spacing w:before="0" w:beforeAutospacing="0" w:after="120" w:afterAutospacing="0"/>
                        <w:jc w:val="center"/>
                        <w:rPr>
                          <w:rFonts w:ascii="Trebuchet MS" w:eastAsia="+mj-ea" w:hAnsi="Trebuchet MS" w:cs="+mj-cs"/>
                          <w:color w:val="E84C22"/>
                          <w:kern w:val="24"/>
                          <w:sz w:val="32"/>
                          <w:szCs w:val="32"/>
                        </w:rPr>
                      </w:pPr>
                      <w:r w:rsidRPr="00830B08">
                        <w:rPr>
                          <w:rFonts w:ascii="Trebuchet MS" w:eastAsia="+mj-ea" w:hAnsi="Trebuchet MS" w:cs="+mj-cs"/>
                          <w:color w:val="E84C22"/>
                          <w:kern w:val="24"/>
                          <w:sz w:val="32"/>
                          <w:szCs w:val="32"/>
                        </w:rPr>
                        <w:t>Household Food Security</w:t>
                      </w:r>
                    </w:p>
                    <w:p w14:paraId="6AA9E9D8" w14:textId="345A84E7" w:rsidR="00FD32EF" w:rsidRPr="00D102EB" w:rsidRDefault="00FD32EF" w:rsidP="00E6300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tabs>
                          <w:tab w:val="clear" w:pos="720"/>
                          <w:tab w:val="num" w:pos="360"/>
                        </w:tabs>
                        <w:spacing w:after="80"/>
                        <w:ind w:left="360" w:right="15" w:hanging="274"/>
                        <w:contextualSpacing w:val="0"/>
                        <w:jc w:val="both"/>
                        <w:rPr>
                          <w:sz w:val="22"/>
                          <w:szCs w:val="22"/>
                        </w:rPr>
                      </w:pPr>
                      <w:r w:rsidRPr="00D102E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Household food security at baseline was </w:t>
                      </w:r>
                      <w:r w:rsidR="00094C98" w:rsidRPr="00D102E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significantly </w:t>
                      </w:r>
                      <w:r w:rsidRPr="00D102E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bet</w:t>
                      </w:r>
                      <w:r w:rsidR="00094C98" w:rsidRPr="00D102E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ter in the mixed transfer group (Household Hunger Score)</w:t>
                      </w:r>
                      <w:r w:rsidR="00D102EB" w:rsidRPr="00D102E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.  </w:t>
                      </w:r>
                      <w:r w:rsidRPr="00D102E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Household</w:t>
                      </w:r>
                      <w:r w:rsidRPr="00D102EB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food security decreas</w:t>
                      </w:r>
                      <w:r w:rsidR="00094C98" w:rsidRPr="00D102EB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ed—by study end, most households were experiencing moderate hunger.</w:t>
                      </w:r>
                    </w:p>
                    <w:p w14:paraId="1F3724F1" w14:textId="0E257F4E" w:rsidR="00822D1E" w:rsidRDefault="00822D1E" w:rsidP="006A0112">
                      <w:pPr>
                        <w:pStyle w:val="NormalWeb"/>
                        <w:shd w:val="clear" w:color="auto" w:fill="FBE4D5" w:themeFill="accent2" w:themeFillTint="33"/>
                        <w:spacing w:before="200" w:beforeAutospacing="0" w:after="120" w:afterAutospacing="0"/>
                        <w:jc w:val="center"/>
                        <w:rPr>
                          <w:rFonts w:ascii="Trebuchet MS" w:eastAsia="+mj-ea" w:hAnsi="Trebuchet MS" w:cs="+mj-cs"/>
                          <w:color w:val="E84C22"/>
                          <w:kern w:val="24"/>
                          <w:sz w:val="32"/>
                          <w:szCs w:val="32"/>
                        </w:rPr>
                      </w:pPr>
                      <w:r w:rsidRPr="005459EF">
                        <w:rPr>
                          <w:rFonts w:ascii="Trebuchet MS" w:eastAsia="+mj-ea" w:hAnsi="Trebuchet MS" w:cs="+mj-cs"/>
                          <w:color w:val="E84C22"/>
                          <w:kern w:val="24"/>
                          <w:sz w:val="32"/>
                          <w:szCs w:val="32"/>
                        </w:rPr>
                        <w:t>P</w:t>
                      </w:r>
                      <w:r>
                        <w:rPr>
                          <w:rFonts w:ascii="Trebuchet MS" w:eastAsia="+mj-ea" w:hAnsi="Trebuchet MS" w:cs="+mj-cs"/>
                          <w:color w:val="E84C22"/>
                          <w:kern w:val="24"/>
                          <w:sz w:val="32"/>
                          <w:szCs w:val="32"/>
                        </w:rPr>
                        <w:t>LW</w:t>
                      </w:r>
                      <w:r w:rsidRPr="005459EF">
                        <w:rPr>
                          <w:rFonts w:ascii="Trebuchet MS" w:eastAsia="+mj-ea" w:hAnsi="Trebuchet MS" w:cs="+mj-cs"/>
                          <w:color w:val="E84C22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rebuchet MS" w:eastAsia="+mj-ea" w:hAnsi="Trebuchet MS" w:cs="+mj-cs"/>
                          <w:color w:val="E84C22"/>
                          <w:kern w:val="24"/>
                          <w:sz w:val="32"/>
                          <w:szCs w:val="32"/>
                        </w:rPr>
                        <w:t xml:space="preserve">Food Security &amp; </w:t>
                      </w:r>
                      <w:r w:rsidRPr="005459EF">
                        <w:rPr>
                          <w:rFonts w:ascii="Trebuchet MS" w:eastAsia="+mj-ea" w:hAnsi="Trebuchet MS" w:cs="+mj-cs"/>
                          <w:color w:val="E84C22"/>
                          <w:kern w:val="24"/>
                          <w:sz w:val="32"/>
                          <w:szCs w:val="32"/>
                        </w:rPr>
                        <w:t>Nutrition</w:t>
                      </w:r>
                    </w:p>
                    <w:p w14:paraId="5912D028" w14:textId="7E522B95" w:rsidR="006A0112" w:rsidRPr="006A0112" w:rsidRDefault="006A0112" w:rsidP="006A011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tabs>
                          <w:tab w:val="clear" w:pos="720"/>
                          <w:tab w:val="num" w:pos="360"/>
                        </w:tabs>
                        <w:spacing w:after="80"/>
                        <w:ind w:left="360" w:hanging="274"/>
                        <w:contextualSpacing w:val="0"/>
                        <w:jc w:val="both"/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</w:pPr>
                      <w:r w:rsidRPr="006A0112">
                        <w:rPr>
                          <w:rFonts w:asciiTheme="minorHAnsi" w:hAnsi="Calibri" w:cstheme="minorBid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Dietary Diversity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r w:rsidRPr="006A0112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was significantly better in the mixed transfer group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at both baseline and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endline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. Increase in dietary diversity was similar between mixed transfer and voucher groups at approximately 0.6 food groups daily.</w:t>
                      </w:r>
                    </w:p>
                    <w:p w14:paraId="7B53A8F6" w14:textId="3C545A01" w:rsidR="006A0112" w:rsidRDefault="006A0112" w:rsidP="006A011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tabs>
                          <w:tab w:val="clear" w:pos="720"/>
                          <w:tab w:val="num" w:pos="360"/>
                        </w:tabs>
                        <w:spacing w:after="80"/>
                        <w:ind w:left="360" w:hanging="274"/>
                        <w:contextualSpacing w:val="0"/>
                        <w:jc w:val="both"/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</w:pPr>
                      <w:r w:rsidRPr="006A0112">
                        <w:rPr>
                          <w:rFonts w:asciiTheme="minorHAnsi" w:hAnsi="Calibri" w:cstheme="minorBid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Mid-Upper Arm Circumference </w:t>
                      </w:r>
                      <w:r w:rsidRPr="006A0112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(MUAC)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r w:rsidRPr="006A0112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was significantly better in the mixed transfer group at both baseline and </w:t>
                      </w:r>
                      <w:proofErr w:type="spellStart"/>
                      <w:r w:rsidRPr="006A0112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endline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. </w:t>
                      </w:r>
                      <w:r w:rsidRPr="006A0112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Mean MUAC increased by 0.9cm and 1.3cm in the voucher and mixe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d transfer groups, respectively.</w:t>
                      </w:r>
                    </w:p>
                    <w:p w14:paraId="6930777B" w14:textId="308BB7C2" w:rsidR="00822D1E" w:rsidRPr="006A0112" w:rsidRDefault="006A0112" w:rsidP="006A011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tabs>
                          <w:tab w:val="clear" w:pos="720"/>
                          <w:tab w:val="num" w:pos="360"/>
                        </w:tabs>
                        <w:spacing w:after="80"/>
                        <w:ind w:left="360" w:hanging="274"/>
                        <w:contextualSpacing w:val="0"/>
                        <w:jc w:val="both"/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</w:pPr>
                      <w:r w:rsidRPr="006A0112">
                        <w:rPr>
                          <w:rFonts w:asciiTheme="minorHAnsi" w:hAnsi="Calibri" w:cstheme="minorBidi"/>
                          <w:b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>Acute malnutrition prevalence</w:t>
                      </w:r>
                      <w:r w:rsidRPr="006A0112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at baseline was 0% (due to eligibility criteria); at intervention end, 3.1% (CI: 1.0-7.1%) of voucher recipients and 0.0% (CI: 0.0-1.4%) of mixed recipients were acutely malnourished (MUAC&lt;21.0cm).  Despite lack of statistical significance in magnitude of change over time between groups, mixed transfers were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  <w:t xml:space="preserve"> fully successful in preventing acute malnutrition.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D5493B" w14:textId="515EF4BD" w:rsidR="00BF71B3" w:rsidRPr="00BF71B3" w:rsidRDefault="00BF71B3" w:rsidP="00BF71B3"/>
    <w:p w14:paraId="47CEAFD5" w14:textId="37652330" w:rsidR="00BF71B3" w:rsidRDefault="00BF71B3" w:rsidP="00BF71B3"/>
    <w:p w14:paraId="2B7E1215" w14:textId="02C1C4A5" w:rsidR="00BF71B3" w:rsidRPr="00BF71B3" w:rsidRDefault="00D41DDB" w:rsidP="00BF71B3">
      <w:pPr>
        <w:tabs>
          <w:tab w:val="left" w:pos="3210"/>
        </w:tabs>
      </w:pPr>
      <w:r w:rsidRPr="005E5E49">
        <w:rPr>
          <w:noProof/>
        </w:rPr>
        <w:drawing>
          <wp:anchor distT="0" distB="0" distL="114300" distR="114300" simplePos="0" relativeHeight="251701248" behindDoc="0" locked="0" layoutInCell="1" allowOverlap="1" wp14:anchorId="7FCB6D24" wp14:editId="67D52803">
            <wp:simplePos x="0" y="0"/>
            <wp:positionH relativeFrom="column">
              <wp:posOffset>2655737</wp:posOffset>
            </wp:positionH>
            <wp:positionV relativeFrom="paragraph">
              <wp:posOffset>3661217</wp:posOffset>
            </wp:positionV>
            <wp:extent cx="3372816" cy="1743075"/>
            <wp:effectExtent l="0" t="0" r="0" b="0"/>
            <wp:wrapNone/>
            <wp:docPr id="27" name="Chart 27">
              <a:extLst xmlns:a="http://schemas.openxmlformats.org/drawingml/2006/main">
                <a:ext uri="{FF2B5EF4-FFF2-40B4-BE49-F238E27FC236}">
                  <a16:creationId xmlns:a16="http://schemas.microsoft.com/office/drawing/2014/main" id="{17A8A4EF-985F-4068-9769-E5E363AC25F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</wp:anchor>
        </w:drawing>
      </w:r>
      <w:r w:rsidRPr="00D41DDB">
        <w:rPr>
          <w:rFonts w:hAnsi="Calibri"/>
          <w:noProof/>
          <w:color w:val="404040" w:themeColor="text1" w:themeTint="BF"/>
          <w:kern w:val="24"/>
        </w:rPr>
        <w:drawing>
          <wp:anchor distT="0" distB="0" distL="114300" distR="114300" simplePos="0" relativeHeight="251702272" behindDoc="0" locked="0" layoutInCell="1" allowOverlap="1" wp14:anchorId="0F13508B" wp14:editId="19F493C5">
            <wp:simplePos x="0" y="0"/>
            <wp:positionH relativeFrom="column">
              <wp:posOffset>3438525</wp:posOffset>
            </wp:positionH>
            <wp:positionV relativeFrom="paragraph">
              <wp:posOffset>3924935</wp:posOffset>
            </wp:positionV>
            <wp:extent cx="2457450" cy="209550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E5E49">
        <w:rPr>
          <w:noProof/>
        </w:rPr>
        <w:drawing>
          <wp:anchor distT="0" distB="0" distL="114300" distR="114300" simplePos="0" relativeHeight="251700224" behindDoc="0" locked="0" layoutInCell="1" allowOverlap="1" wp14:anchorId="287FDACC" wp14:editId="75E172B9">
            <wp:simplePos x="0" y="0"/>
            <wp:positionH relativeFrom="column">
              <wp:posOffset>-219075</wp:posOffset>
            </wp:positionH>
            <wp:positionV relativeFrom="paragraph">
              <wp:posOffset>3658235</wp:posOffset>
            </wp:positionV>
            <wp:extent cx="2381250" cy="1743075"/>
            <wp:effectExtent l="0" t="0" r="0" b="0"/>
            <wp:wrapNone/>
            <wp:docPr id="26" name="Chart 26">
              <a:extLst xmlns:a="http://schemas.openxmlformats.org/drawingml/2006/main">
                <a:ext uri="{FF2B5EF4-FFF2-40B4-BE49-F238E27FC236}">
                  <a16:creationId xmlns:a16="http://schemas.microsoft.com/office/drawing/2014/main" id="{17A8A4EF-985F-4068-9769-E5E363AC25F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</wp:anchor>
        </w:drawing>
      </w:r>
      <w:r w:rsidR="003D20D9" w:rsidRPr="00830B0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CD142BA" wp14:editId="42092F0F">
                <wp:simplePos x="0" y="0"/>
                <wp:positionH relativeFrom="margin">
                  <wp:posOffset>-714375</wp:posOffset>
                </wp:positionH>
                <wp:positionV relativeFrom="paragraph">
                  <wp:posOffset>5467985</wp:posOffset>
                </wp:positionV>
                <wp:extent cx="7346950" cy="2095500"/>
                <wp:effectExtent l="0" t="0" r="25400" b="19050"/>
                <wp:wrapNone/>
                <wp:docPr id="17" name="Content Placeholder 2">
                  <a:extLst xmlns:a="http://schemas.openxmlformats.org/drawingml/2006/main"/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7346950" cy="2095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59E375" w14:textId="49F74652" w:rsidR="00FD32EF" w:rsidRPr="00830B08" w:rsidRDefault="00FD32EF" w:rsidP="003D20D9">
                            <w:pPr>
                              <w:shd w:val="clear" w:color="auto" w:fill="FBE4D5" w:themeFill="accent2" w:themeFillTint="33"/>
                              <w:tabs>
                                <w:tab w:val="num" w:pos="540"/>
                              </w:tabs>
                              <w:spacing w:before="120" w:after="120" w:line="240" w:lineRule="auto"/>
                              <w:ind w:left="360" w:hanging="36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830B08">
                              <w:rPr>
                                <w:rFonts w:ascii="Trebuchet MS" w:eastAsia="+mj-ea" w:hAnsi="Trebuchet MS" w:cs="+mj-cs"/>
                                <w:color w:val="E84C22"/>
                                <w:kern w:val="24"/>
                                <w:sz w:val="32"/>
                                <w:szCs w:val="32"/>
                              </w:rPr>
                              <w:t>Conclusions</w:t>
                            </w:r>
                          </w:p>
                          <w:p w14:paraId="0ADDEA2E" w14:textId="7F3CA0EA" w:rsidR="00FD32EF" w:rsidRPr="005459EF" w:rsidRDefault="00FD32EF" w:rsidP="00E83B0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540"/>
                              </w:tabs>
                              <w:spacing w:after="80"/>
                              <w:ind w:left="360"/>
                              <w:contextualSpacing w:val="0"/>
                              <w:jc w:val="both"/>
                              <w:rPr>
                                <w:rFonts w:eastAsia="Times New Roman"/>
                                <w:color w:val="4472C4"/>
                              </w:rPr>
                            </w:pPr>
                            <w:r w:rsidRPr="005459EF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 xml:space="preserve">Despite decreases in household food security, PLW dietary </w:t>
                            </w:r>
                            <w:r w:rsidR="00E83B0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>diversity</w:t>
                            </w:r>
                            <w:r w:rsidRPr="005459EF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 xml:space="preserve"> and mean </w:t>
                            </w:r>
                            <w:r w:rsidR="00E83B0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>m</w:t>
                            </w:r>
                            <w:r w:rsidRPr="00BE6DD6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>id-upper arm circumference</w:t>
                            </w:r>
                            <w:r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 xml:space="preserve"> </w:t>
                            </w:r>
                            <w:r w:rsidRPr="005459EF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 xml:space="preserve">improved. No PLWs in the mixed transfer group </w:t>
                            </w:r>
                            <w:r w:rsidR="00E83B0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>became</w:t>
                            </w:r>
                            <w:r w:rsidRPr="005459EF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 xml:space="preserve"> malnourished by the end of the study period.</w:t>
                            </w:r>
                          </w:p>
                          <w:p w14:paraId="7E6D8CFF" w14:textId="78767C63" w:rsidR="00FD32EF" w:rsidRPr="005459EF" w:rsidRDefault="00FD32EF" w:rsidP="00E83B0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540"/>
                              </w:tabs>
                              <w:spacing w:after="80"/>
                              <w:ind w:left="360"/>
                              <w:contextualSpacing w:val="0"/>
                              <w:jc w:val="both"/>
                              <w:rPr>
                                <w:rFonts w:eastAsia="Times New Roman"/>
                                <w:color w:val="4472C4"/>
                              </w:rPr>
                            </w:pPr>
                            <w:r w:rsidRPr="005459EF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 xml:space="preserve">Transfers were not protective for children’s diet </w:t>
                            </w:r>
                            <w:r w:rsidR="00E83B0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>diversity.</w:t>
                            </w:r>
                            <w:r w:rsidRPr="005459EF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 xml:space="preserve">  However, child nutrition</w:t>
                            </w:r>
                            <w:r w:rsidR="00E83B0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 xml:space="preserve"> status</w:t>
                            </w:r>
                            <w:r w:rsidRPr="005459EF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 xml:space="preserve"> improved in both intervention groups in terms of mean MUAC (</w:t>
                            </w:r>
                            <w:r w:rsidR="00E83B0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 xml:space="preserve">statistically </w:t>
                            </w:r>
                            <w:r w:rsidRPr="005459EF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 xml:space="preserve">significant) and acute malnutrition prevalence (not </w:t>
                            </w:r>
                            <w:r w:rsidR="00E83B0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 xml:space="preserve">statistically </w:t>
                            </w:r>
                            <w:r w:rsidRPr="005459EF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>significant).  This compares to a large decline in nutrition status in the non-assistance group.</w:t>
                            </w:r>
                          </w:p>
                          <w:p w14:paraId="2E1F3FF5" w14:textId="41E08FC5" w:rsidR="00FD32EF" w:rsidRPr="00E83B0B" w:rsidRDefault="00FD32EF" w:rsidP="00E83B0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540"/>
                              </w:tabs>
                              <w:spacing w:after="80"/>
                              <w:ind w:left="360"/>
                              <w:contextualSpacing w:val="0"/>
                              <w:jc w:val="both"/>
                              <w:rPr>
                                <w:rFonts w:eastAsia="Times New Roman"/>
                                <w:color w:val="4472C4"/>
                              </w:rPr>
                            </w:pPr>
                            <w:r w:rsidRPr="00E83B0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>Results show promise but do not indicate a clear benefit for mixed transfers as compared to food vouchers – likely a result of study limitations.</w:t>
                            </w:r>
                            <w:r w:rsidR="00E83B0B" w:rsidRPr="00E83B0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 xml:space="preserve">  </w:t>
                            </w:r>
                            <w:r w:rsidRPr="00E83B0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 xml:space="preserve">More research or program evaluations needed to deepen understanding – </w:t>
                            </w:r>
                            <w:proofErr w:type="gramStart"/>
                            <w:r w:rsidRPr="00E83B0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>in</w:t>
                            </w:r>
                            <w:r w:rsidR="00E83B0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 xml:space="preserve"> </w:t>
                            </w:r>
                            <w:r w:rsidRPr="00E83B0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>particular with</w:t>
                            </w:r>
                            <w:proofErr w:type="gramEnd"/>
                            <w:r w:rsidRPr="00E83B0B">
                              <w:rPr>
                                <w:rFonts w:asciiTheme="minorHAnsi" w:hAnsi="Calibri" w:cstheme="minorBidi"/>
                                <w:color w:val="404040" w:themeColor="text1" w:themeTint="BF"/>
                                <w:kern w:val="24"/>
                              </w:rPr>
                              <w:t xml:space="preserve"> larger sample sizes and longer intervention periods.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142BA" id="_x0000_s1033" style="position:absolute;margin-left:-56.25pt;margin-top:430.55pt;width:578.5pt;height:16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2mcIQIAAIUEAAAOAAAAZHJzL2Uyb0RvYy54bWysVNuO0zAQfUfiHyy/01xotzRqukJdsUJa&#10;QcXCB7iO3UTreIztNilfz9hJw3bZJ8RL5MucmXPOjLO+7VtFTsK6BnRJs1lKidAcqkYfSvrj+6d3&#10;HyhxnumKKdCipGfh6O3m7Zt1ZwqRQw2qEpZgEu2KzpS09t4USeJ4LVrmZmCExksJtmUet/aQVJZ1&#10;mL1VSZ6mN0kHtjIWuHAOT++GS7qJ+aUU3H+V0glPVEmRm49fG7/78E02a1YcLDN1w0ca7B9YtKzR&#10;WHRKdcc8I0fb/JWqbbgFB9LPOLQJSNlwETWgmix9oeaxZkZELWiOM5NN7v+l5V9OO0uaCnu3pESz&#10;Fnu0Be2F9mSnGBdjh/KoTvT+wXn0LOmMKyI2OB2Xj2ZngwPOPAB/ckTDvcWGZsHiS/gQEwBujO6l&#10;bQMKnSB9bMt5agtWIxwPl+/nN6sFdo/jXZ6uFos0Ni5hxQVurPP3AloSFiW12PdImJ1Gvqy4hIxs&#10;BgKRij8rETgo/U1I9AJLDnLjFIqtsuTEcH4Y52hLHgWN0QEmG6UmYBbLvgAqP7gwxQaYiNM5AdPX&#10;gNcVJ0Ssik2awG2jwb6WoHqaKg/xF/WD5iDf9/s+DsAyCAsne6jOOBT4qtHKGuwvSjp8ISV1P4/M&#10;CkrUZ40juMrm8/Ck4ma+WOa4sc9v9lc3Xm0hPsLAXsPHowfZTLM01BzZ4azj6uoxPd/HqD9/j81v&#10;AAAA//8DAFBLAwQUAAYACAAAACEAOOWNX+IAAAAOAQAADwAAAGRycy9kb3ducmV2LnhtbEyPMU/D&#10;MBCFdyT+g3VILKh1XEKVpnEqQGJhCFCysLnxkUTEdmQ7bfrvuU6w3b17eu+7YjebgR3Rh95ZCWKZ&#10;AEPbON3bVkL9+bLIgIWorFaDsyjhjAF25fVVoXLtTvYDj/vYMgqxIVcSuhjHnPPQdGhUWLoRLd2+&#10;nTcq0upbrr06UbgZ+CpJ1tyo3lJDp0Z87rD52U+Geu/f6+ns/FNV3aVZfK2rL/GGUt7ezI9bYBHn&#10;+GeGCz6hQ0lMBzdZHdggYSHE6oG8ErK1EMAuliRNSTrQJDak8bLg/98ofwEAAP//AwBQSwECLQAU&#10;AAYACAAAACEAtoM4kv4AAADhAQAAEwAAAAAAAAAAAAAAAAAAAAAAW0NvbnRlbnRfVHlwZXNdLnht&#10;bFBLAQItABQABgAIAAAAIQA4/SH/1gAAAJQBAAALAAAAAAAAAAAAAAAAAC8BAABfcmVscy8ucmVs&#10;c1BLAQItABQABgAIAAAAIQBsU2mcIQIAAIUEAAAOAAAAAAAAAAAAAAAAAC4CAABkcnMvZTJvRG9j&#10;LnhtbFBLAQItABQABgAIAAAAIQA45Y1f4gAAAA4BAAAPAAAAAAAAAAAAAAAAAHsEAABkcnMvZG93&#10;bnJldi54bWxQSwUGAAAAAAQABADzAAAAigUAAAAA&#10;" fillcolor="white [3201]" strokecolor="#ed7d31 [3205]" strokeweight="1pt">
                <v:path arrowok="t"/>
                <o:lock v:ext="edit" grouping="t"/>
                <v:textbox>
                  <w:txbxContent>
                    <w:p w14:paraId="4459E375" w14:textId="49F74652" w:rsidR="00FD32EF" w:rsidRPr="00830B08" w:rsidRDefault="00FD32EF" w:rsidP="003D20D9">
                      <w:pPr>
                        <w:shd w:val="clear" w:color="auto" w:fill="FBE4D5" w:themeFill="accent2" w:themeFillTint="33"/>
                        <w:tabs>
                          <w:tab w:val="num" w:pos="540"/>
                        </w:tabs>
                        <w:spacing w:before="120" w:after="120" w:line="240" w:lineRule="auto"/>
                        <w:ind w:left="360" w:hanging="36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830B08">
                        <w:rPr>
                          <w:rFonts w:ascii="Trebuchet MS" w:eastAsia="+mj-ea" w:hAnsi="Trebuchet MS" w:cs="+mj-cs"/>
                          <w:color w:val="E84C22"/>
                          <w:kern w:val="24"/>
                          <w:sz w:val="32"/>
                          <w:szCs w:val="32"/>
                        </w:rPr>
                        <w:t>Conclusions</w:t>
                      </w:r>
                    </w:p>
                    <w:p w14:paraId="0ADDEA2E" w14:textId="7F3CA0EA" w:rsidR="00FD32EF" w:rsidRPr="005459EF" w:rsidRDefault="00FD32EF" w:rsidP="00E83B0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540"/>
                        </w:tabs>
                        <w:spacing w:after="80"/>
                        <w:ind w:left="360"/>
                        <w:contextualSpacing w:val="0"/>
                        <w:jc w:val="both"/>
                        <w:rPr>
                          <w:rFonts w:eastAsia="Times New Roman"/>
                          <w:color w:val="4472C4"/>
                        </w:rPr>
                      </w:pPr>
                      <w:r w:rsidRPr="005459EF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 xml:space="preserve">Despite decreases in household food security, PLW dietary </w:t>
                      </w:r>
                      <w:r w:rsidR="00E83B0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>diversity</w:t>
                      </w:r>
                      <w:r w:rsidRPr="005459EF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 xml:space="preserve"> and mean </w:t>
                      </w:r>
                      <w:r w:rsidR="00E83B0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>m</w:t>
                      </w:r>
                      <w:r w:rsidRPr="00BE6DD6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>id-upper arm circumference</w:t>
                      </w:r>
                      <w:r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 xml:space="preserve"> </w:t>
                      </w:r>
                      <w:r w:rsidRPr="005459EF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 xml:space="preserve">improved. No PLWs in the mixed transfer group </w:t>
                      </w:r>
                      <w:r w:rsidR="00E83B0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>became</w:t>
                      </w:r>
                      <w:r w:rsidRPr="005459EF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 xml:space="preserve"> malnourished by the end of the study period.</w:t>
                      </w:r>
                    </w:p>
                    <w:p w14:paraId="7E6D8CFF" w14:textId="78767C63" w:rsidR="00FD32EF" w:rsidRPr="005459EF" w:rsidRDefault="00FD32EF" w:rsidP="00E83B0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540"/>
                        </w:tabs>
                        <w:spacing w:after="80"/>
                        <w:ind w:left="360"/>
                        <w:contextualSpacing w:val="0"/>
                        <w:jc w:val="both"/>
                        <w:rPr>
                          <w:rFonts w:eastAsia="Times New Roman"/>
                          <w:color w:val="4472C4"/>
                        </w:rPr>
                      </w:pPr>
                      <w:r w:rsidRPr="005459EF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 xml:space="preserve">Transfers were not protective for children’s diet </w:t>
                      </w:r>
                      <w:r w:rsidR="00E83B0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>diversity.</w:t>
                      </w:r>
                      <w:r w:rsidRPr="005459EF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 xml:space="preserve">  However, child nutrition</w:t>
                      </w:r>
                      <w:r w:rsidR="00E83B0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 xml:space="preserve"> status</w:t>
                      </w:r>
                      <w:r w:rsidRPr="005459EF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 xml:space="preserve"> improved in both intervention groups in terms of mean MUAC (</w:t>
                      </w:r>
                      <w:r w:rsidR="00E83B0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 xml:space="preserve">statistically </w:t>
                      </w:r>
                      <w:r w:rsidRPr="005459EF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 xml:space="preserve">significant) and acute malnutrition prevalence (not </w:t>
                      </w:r>
                      <w:r w:rsidR="00E83B0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 xml:space="preserve">statistically </w:t>
                      </w:r>
                      <w:r w:rsidRPr="005459EF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>significant).  This compares to a large decline in nutrition status in the non-assistance group.</w:t>
                      </w:r>
                    </w:p>
                    <w:p w14:paraId="2E1F3FF5" w14:textId="41E08FC5" w:rsidR="00FD32EF" w:rsidRPr="00E83B0B" w:rsidRDefault="00FD32EF" w:rsidP="00E83B0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540"/>
                        </w:tabs>
                        <w:spacing w:after="80"/>
                        <w:ind w:left="360"/>
                        <w:contextualSpacing w:val="0"/>
                        <w:jc w:val="both"/>
                        <w:rPr>
                          <w:rFonts w:eastAsia="Times New Roman"/>
                          <w:color w:val="4472C4"/>
                        </w:rPr>
                      </w:pPr>
                      <w:r w:rsidRPr="00E83B0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>Results show promise but do not indicate a clear benefit for mixed transfers as compared to food vouchers – likely a result of study limitations.</w:t>
                      </w:r>
                      <w:r w:rsidR="00E83B0B" w:rsidRPr="00E83B0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 xml:space="preserve">  </w:t>
                      </w:r>
                      <w:r w:rsidRPr="00E83B0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 xml:space="preserve">More research or program evaluations needed to deepen understanding – </w:t>
                      </w:r>
                      <w:proofErr w:type="gramStart"/>
                      <w:r w:rsidRPr="00E83B0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>in</w:t>
                      </w:r>
                      <w:r w:rsidR="00E83B0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 xml:space="preserve"> </w:t>
                      </w:r>
                      <w:r w:rsidRPr="00E83B0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>particular with</w:t>
                      </w:r>
                      <w:proofErr w:type="gramEnd"/>
                      <w:r w:rsidRPr="00E83B0B">
                        <w:rPr>
                          <w:rFonts w:asciiTheme="minorHAnsi" w:hAnsi="Calibri" w:cstheme="minorBidi"/>
                          <w:color w:val="404040" w:themeColor="text1" w:themeTint="BF"/>
                          <w:kern w:val="24"/>
                        </w:rPr>
                        <w:t xml:space="preserve"> larger sample sizes and longer intervention periods.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D4853">
        <w:rPr>
          <w:noProof/>
        </w:rPr>
        <w:drawing>
          <wp:anchor distT="0" distB="0" distL="114300" distR="114300" simplePos="0" relativeHeight="251667456" behindDoc="1" locked="0" layoutInCell="1" allowOverlap="1" wp14:anchorId="4C3C6F8A" wp14:editId="4F6BC3AD">
            <wp:simplePos x="0" y="0"/>
            <wp:positionH relativeFrom="page">
              <wp:align>left</wp:align>
            </wp:positionH>
            <wp:positionV relativeFrom="paragraph">
              <wp:posOffset>3391272</wp:posOffset>
            </wp:positionV>
            <wp:extent cx="2061679" cy="7800244"/>
            <wp:effectExtent l="7302" t="0" r="3493" b="3492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 flipV="1">
                      <a:off x="0" y="0"/>
                      <a:ext cx="2061679" cy="78002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71B3">
        <w:tab/>
      </w:r>
    </w:p>
    <w:sectPr w:rsidR="00BF71B3" w:rsidRPr="00BF71B3" w:rsidSect="00BF71B3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+mj-ea"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A587D"/>
    <w:multiLevelType w:val="hybridMultilevel"/>
    <w:tmpl w:val="81B47A16"/>
    <w:lvl w:ilvl="0" w:tplc="3224E0C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b/>
        <w:caps w:val="0"/>
        <w:smallCaps w:val="0"/>
        <w:color w:val="F7CAAC" w:themeColor="accent2" w:themeTint="66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11112" w14:cap="flat" w14:cmpd="sng" w14:algn="ctr">
          <w14:solidFill>
            <w14:schemeClr w14:val="accent2"/>
          </w14:solidFill>
          <w14:prstDash w14:val="solid"/>
          <w14:round/>
        </w14:textOutline>
        <w14:props3d w14:extrusionH="0" w14:contourW="0" w14:prstMaterial="none"/>
      </w:rPr>
    </w:lvl>
    <w:lvl w:ilvl="1" w:tplc="31BE90B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7810A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EE87B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352C23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D68C6B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41E16D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CE6211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816FC5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8AA1F53"/>
    <w:multiLevelType w:val="hybridMultilevel"/>
    <w:tmpl w:val="21CCD964"/>
    <w:lvl w:ilvl="0" w:tplc="4F1E839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88E04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caps w:val="0"/>
        <w:smallCaps w:val="0"/>
        <w:color w:val="F7CAAC" w:themeColor="accent2" w:themeTint="66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11112" w14:cap="flat" w14:cmpd="sng" w14:algn="ctr">
          <w14:solidFill>
            <w14:schemeClr w14:val="accent2"/>
          </w14:solidFill>
          <w14:prstDash w14:val="solid"/>
          <w14:round/>
        </w14:textOutline>
        <w14:props3d w14:extrusionH="0" w14:contourW="0" w14:prstMaterial="none"/>
      </w:rPr>
    </w:lvl>
    <w:lvl w:ilvl="2" w:tplc="53764F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C848F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E6741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52EFE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A21CB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E4F27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98DC1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B5637"/>
    <w:multiLevelType w:val="hybridMultilevel"/>
    <w:tmpl w:val="302448E6"/>
    <w:lvl w:ilvl="0" w:tplc="EFFC423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b/>
        <w:caps w:val="0"/>
        <w:smallCaps w:val="0"/>
        <w:color w:val="F7CAAC" w:themeColor="accent2" w:themeTint="66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11112" w14:cap="flat" w14:cmpd="sng" w14:algn="ctr">
          <w14:solidFill>
            <w14:schemeClr w14:val="accent2"/>
          </w14:solidFill>
          <w14:prstDash w14:val="solid"/>
          <w14:round/>
        </w14:textOutline>
        <w14:props3d w14:extrusionH="0" w14:contourW="0" w14:prstMaterial="none"/>
      </w:rPr>
    </w:lvl>
    <w:lvl w:ilvl="1" w:tplc="1BB8E85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8C8EB2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83A40B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CD09FB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F64212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AF8AEC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2A4079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2F299B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36923BB5"/>
    <w:multiLevelType w:val="hybridMultilevel"/>
    <w:tmpl w:val="15EC66C0"/>
    <w:lvl w:ilvl="0" w:tplc="3B0CC78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b/>
        <w:caps w:val="0"/>
        <w:smallCaps w:val="0"/>
        <w:color w:val="F7CAAC" w:themeColor="accent2" w:themeTint="66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11112" w14:cap="flat" w14:cmpd="sng" w14:algn="ctr">
          <w14:solidFill>
            <w14:schemeClr w14:val="accent2"/>
          </w14:solidFill>
          <w14:prstDash w14:val="solid"/>
          <w14:round/>
        </w14:textOutline>
        <w14:props3d w14:extrusionH="0" w14:contourW="0" w14:prstMaterial="none"/>
      </w:rPr>
    </w:lvl>
    <w:lvl w:ilvl="1" w:tplc="4578626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BEA663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81AE15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B010A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C45BF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3CE02A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22AEBA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7CC058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4CD131B4"/>
    <w:multiLevelType w:val="hybridMultilevel"/>
    <w:tmpl w:val="67A813BA"/>
    <w:lvl w:ilvl="0" w:tplc="18FAB63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b/>
        <w:caps w:val="0"/>
        <w:smallCaps w:val="0"/>
        <w:color w:val="F7CAAC" w:themeColor="accent2" w:themeTint="66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11112" w14:cap="flat" w14:cmpd="sng" w14:algn="ctr">
          <w14:solidFill>
            <w14:schemeClr w14:val="accent2"/>
          </w14:solidFill>
          <w14:prstDash w14:val="solid"/>
          <w14:round/>
        </w14:textOutline>
        <w14:props3d w14:extrusionH="0" w14:contourW="0" w14:prstMaterial="none"/>
      </w:rPr>
    </w:lvl>
    <w:lvl w:ilvl="1" w:tplc="C870F21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EFC028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A0A3E1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8AAF06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9E6E6D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AA6938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CF452C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F66F62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6A2614BF"/>
    <w:multiLevelType w:val="hybridMultilevel"/>
    <w:tmpl w:val="5C08F8BE"/>
    <w:lvl w:ilvl="0" w:tplc="3264829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b/>
        <w:caps w:val="0"/>
        <w:smallCaps w:val="0"/>
        <w:color w:val="F7CAAC" w:themeColor="accent2" w:themeTint="66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11112" w14:cap="flat" w14:cmpd="sng" w14:algn="ctr">
          <w14:solidFill>
            <w14:schemeClr w14:val="accent2"/>
          </w14:solidFill>
          <w14:prstDash w14:val="solid"/>
          <w14:round/>
        </w14:textOutline>
        <w14:props3d w14:extrusionH="0" w14:contourW="0" w14:prstMaterial="none"/>
      </w:rPr>
    </w:lvl>
    <w:lvl w:ilvl="1" w:tplc="93ACCE46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  <w:b/>
        <w:caps w:val="0"/>
        <w:smallCaps w:val="0"/>
        <w:color w:val="F7CAAC" w:themeColor="accent2" w:themeTint="66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11112" w14:cap="flat" w14:cmpd="sng" w14:algn="ctr">
          <w14:solidFill>
            <w14:schemeClr w14:val="accent2"/>
          </w14:solidFill>
          <w14:prstDash w14:val="solid"/>
          <w14:round/>
        </w14:textOutline>
        <w14:props3d w14:extrusionH="0" w14:contourW="0" w14:prstMaterial="none"/>
      </w:rPr>
    </w:lvl>
    <w:lvl w:ilvl="2" w:tplc="A24CDA9E">
      <w:start w:val="339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  <w:b/>
        <w:caps w:val="0"/>
        <w:smallCaps w:val="0"/>
        <w:color w:val="F7CAAC" w:themeColor="accent2" w:themeTint="66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11112" w14:cap="flat" w14:cmpd="sng" w14:algn="ctr">
          <w14:solidFill>
            <w14:schemeClr w14:val="accent2"/>
          </w14:solidFill>
          <w14:prstDash w14:val="solid"/>
          <w14:round/>
        </w14:textOutline>
        <w14:props3d w14:extrusionH="0" w14:contourW="0" w14:prstMaterial="none"/>
      </w:rPr>
    </w:lvl>
    <w:lvl w:ilvl="3" w:tplc="148E039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530CD8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4AEC7E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DCE13C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A86CF0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664E95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70E72996"/>
    <w:multiLevelType w:val="hybridMultilevel"/>
    <w:tmpl w:val="2998F244"/>
    <w:lvl w:ilvl="0" w:tplc="8FBA5390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b/>
        <w:caps w:val="0"/>
        <w:smallCaps w:val="0"/>
        <w:color w:val="F7CAAC" w:themeColor="accent2" w:themeTint="66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11112" w14:cap="flat" w14:cmpd="sng" w14:algn="ctr">
          <w14:solidFill>
            <w14:schemeClr w14:val="accent2"/>
          </w14:solidFill>
          <w14:prstDash w14:val="solid"/>
          <w14:round/>
        </w14:textOutline>
        <w14:props3d w14:extrusionH="0" w14:contourW="0" w14:prstMaterial="none"/>
      </w:rPr>
    </w:lvl>
    <w:lvl w:ilvl="1" w:tplc="C3A068EA">
      <w:start w:val="339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  <w:b/>
        <w:caps w:val="0"/>
        <w:smallCaps w:val="0"/>
        <w:color w:val="F7CAAC" w:themeColor="accent2" w:themeTint="66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11112" w14:cap="flat" w14:cmpd="sng" w14:algn="ctr">
          <w14:solidFill>
            <w14:schemeClr w14:val="accent2"/>
          </w14:solidFill>
          <w14:prstDash w14:val="solid"/>
          <w14:round/>
        </w14:textOutline>
        <w14:props3d w14:extrusionH="0" w14:contourW="0" w14:prstMaterial="none"/>
      </w:rPr>
    </w:lvl>
    <w:lvl w:ilvl="2" w:tplc="61D81B0A" w:tentative="1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808A576" w:tentative="1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537ABEE2" w:tentative="1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6130D446" w:tentative="1">
      <w:start w:val="1"/>
      <w:numFmt w:val="bullet"/>
      <w:lvlText w:val="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C3AEEC2" w:tentative="1">
      <w:start w:val="1"/>
      <w:numFmt w:val="bullet"/>
      <w:lvlText w:val="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3D9CDB74" w:tentative="1">
      <w:start w:val="1"/>
      <w:numFmt w:val="bullet"/>
      <w:lvlText w:val="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8B7A2FCA" w:tentative="1">
      <w:start w:val="1"/>
      <w:numFmt w:val="bullet"/>
      <w:lvlText w:val="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B3"/>
    <w:rsid w:val="00062B5B"/>
    <w:rsid w:val="00094C98"/>
    <w:rsid w:val="000B49FB"/>
    <w:rsid w:val="000D672B"/>
    <w:rsid w:val="001622CC"/>
    <w:rsid w:val="001B1770"/>
    <w:rsid w:val="001D71F9"/>
    <w:rsid w:val="001F67F1"/>
    <w:rsid w:val="0026336C"/>
    <w:rsid w:val="00297B72"/>
    <w:rsid w:val="0032575F"/>
    <w:rsid w:val="0034005E"/>
    <w:rsid w:val="00387569"/>
    <w:rsid w:val="003D20D9"/>
    <w:rsid w:val="00410FCC"/>
    <w:rsid w:val="0047175F"/>
    <w:rsid w:val="004D215E"/>
    <w:rsid w:val="004F2E81"/>
    <w:rsid w:val="0050449C"/>
    <w:rsid w:val="005459EF"/>
    <w:rsid w:val="0058650C"/>
    <w:rsid w:val="006A0112"/>
    <w:rsid w:val="00793EA4"/>
    <w:rsid w:val="007D4853"/>
    <w:rsid w:val="00815E83"/>
    <w:rsid w:val="00822D1E"/>
    <w:rsid w:val="00830B08"/>
    <w:rsid w:val="009D4064"/>
    <w:rsid w:val="00A14919"/>
    <w:rsid w:val="00A270AA"/>
    <w:rsid w:val="00A301E2"/>
    <w:rsid w:val="00A636B7"/>
    <w:rsid w:val="00B01D1A"/>
    <w:rsid w:val="00B1019D"/>
    <w:rsid w:val="00BE6DD6"/>
    <w:rsid w:val="00BF71B3"/>
    <w:rsid w:val="00C031AD"/>
    <w:rsid w:val="00CA2017"/>
    <w:rsid w:val="00D102EB"/>
    <w:rsid w:val="00D41DDB"/>
    <w:rsid w:val="00DD7887"/>
    <w:rsid w:val="00DF755C"/>
    <w:rsid w:val="00E27754"/>
    <w:rsid w:val="00E83B0B"/>
    <w:rsid w:val="00ED047D"/>
    <w:rsid w:val="00EF01C6"/>
    <w:rsid w:val="00FD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328F7"/>
  <w15:chartTrackingRefBased/>
  <w15:docId w15:val="{A8024717-7CE5-44B7-9987-0433F219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257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2575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5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0552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85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0934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515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597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9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76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100" b="1" dirty="0"/>
              <a:t>Acute Malnutrition Prevalence</a:t>
            </a:r>
          </a:p>
        </c:rich>
      </c:tx>
      <c:layout>
        <c:manualLayout>
          <c:xMode val="edge"/>
          <c:yMode val="edge"/>
          <c:x val="0.28685583479244531"/>
          <c:y val="3.642987249544626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1201686997267431"/>
          <c:y val="0.28825896762904635"/>
          <c:w val="0.84855138063855562"/>
          <c:h val="0.4921320080891527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Sheet1!$C$1</c:f>
              <c:strCache>
                <c:ptCount val="1"/>
                <c:pt idx="0">
                  <c:v>Baseline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1.9956096587507483E-2"/>
                  <c:y val="3.64298724954462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4E7-488A-937B-E037843F1D80}"/>
                </c:ext>
              </c:extLst>
            </c:dLbl>
            <c:dLbl>
              <c:idx val="1"/>
              <c:layout>
                <c:manualLayout>
                  <c:x val="-2.7938535222510476E-2"/>
                  <c:y val="2.91438979963570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4E7-488A-937B-E037843F1D80}"/>
                </c:ext>
              </c:extLst>
            </c:dLbl>
            <c:dLbl>
              <c:idx val="3"/>
              <c:layout>
                <c:manualLayout>
                  <c:x val="-7.3171508870679659E-17"/>
                  <c:y val="2.04778156996587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4E7-488A-937B-E037843F1D80}"/>
                </c:ext>
              </c:extLst>
            </c:dLbl>
            <c:dLbl>
              <c:idx val="4"/>
              <c:layout>
                <c:manualLayout>
                  <c:x val="3.9912193175014963E-3"/>
                  <c:y val="2.04778156996587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4E7-488A-937B-E037843F1D8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Sheet1!$B$4:$B$8</c:f>
              <c:strCache>
                <c:ptCount val="5"/>
                <c:pt idx="0">
                  <c:v>Food Vouchers</c:v>
                </c:pt>
                <c:pt idx="1">
                  <c:v>Mixed Transfers</c:v>
                </c:pt>
                <c:pt idx="3">
                  <c:v>Food Vouchers</c:v>
                </c:pt>
                <c:pt idx="4">
                  <c:v>Mixed Transfers</c:v>
                </c:pt>
              </c:strCache>
            </c:strRef>
          </c:cat>
          <c:val>
            <c:numRef>
              <c:f>Sheet1!$C$4:$C$8</c:f>
              <c:numCache>
                <c:formatCode>0.0%</c:formatCode>
                <c:ptCount val="5"/>
                <c:pt idx="0">
                  <c:v>0</c:v>
                </c:pt>
                <c:pt idx="1">
                  <c:v>0</c:v>
                </c:pt>
                <c:pt idx="3">
                  <c:v>0.114</c:v>
                </c:pt>
                <c:pt idx="4">
                  <c:v>6.0999999999999999E-2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4E7-488A-937B-E037843F1D80}"/>
            </c:ext>
          </c:extLst>
        </c:ser>
        <c:ser>
          <c:idx val="1"/>
          <c:order val="1"/>
          <c:tx>
            <c:strRef>
              <c:f>Sheet1!$D$1</c:f>
              <c:strCache>
                <c:ptCount val="1"/>
                <c:pt idx="0">
                  <c:v>Endline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1.1045620893875957E-2"/>
                  <c:y val="2.09377106550205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4E7-488A-937B-E037843F1D80}"/>
                </c:ext>
              </c:extLst>
            </c:dLbl>
            <c:dLbl>
              <c:idx val="1"/>
              <c:layout>
                <c:manualLayout>
                  <c:x val="2.7938535222510403E-2"/>
                  <c:y val="2.91438979963570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4E7-488A-937B-E037843F1D80}"/>
                </c:ext>
              </c:extLst>
            </c:dLbl>
            <c:dLbl>
              <c:idx val="3"/>
              <c:layout>
                <c:manualLayout>
                  <c:x val="1.5964877270005985E-2"/>
                  <c:y val="2.0477815699658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4E7-488A-937B-E037843F1D80}"/>
                </c:ext>
              </c:extLst>
            </c:dLbl>
            <c:dLbl>
              <c:idx val="4"/>
              <c:layout>
                <c:manualLayout>
                  <c:x val="1.9956096587507483E-2"/>
                  <c:y val="1.365187713310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4E7-488A-937B-E037843F1D8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Sheet1!$B$4:$B$8</c:f>
              <c:strCache>
                <c:ptCount val="5"/>
                <c:pt idx="0">
                  <c:v>Food Vouchers</c:v>
                </c:pt>
                <c:pt idx="1">
                  <c:v>Mixed Transfers</c:v>
                </c:pt>
                <c:pt idx="3">
                  <c:v>Food Vouchers</c:v>
                </c:pt>
                <c:pt idx="4">
                  <c:v>Mixed Transfers</c:v>
                </c:pt>
              </c:strCache>
            </c:strRef>
          </c:cat>
          <c:val>
            <c:numRef>
              <c:f>Sheet1!$D$4:$D$8</c:f>
              <c:numCache>
                <c:formatCode>0.0%</c:formatCode>
                <c:ptCount val="5"/>
                <c:pt idx="0">
                  <c:v>3.1E-2</c:v>
                </c:pt>
                <c:pt idx="1">
                  <c:v>0</c:v>
                </c:pt>
                <c:pt idx="3">
                  <c:v>9.2999999999999999E-2</c:v>
                </c:pt>
                <c:pt idx="4">
                  <c:v>3.1E-2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34E7-488A-937B-E037843F1D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499202464"/>
        <c:axId val="1467686368"/>
      </c:barChart>
      <c:catAx>
        <c:axId val="1499202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67686368"/>
        <c:crosses val="autoZero"/>
        <c:auto val="1"/>
        <c:lblAlgn val="ctr"/>
        <c:lblOffset val="100"/>
        <c:noMultiLvlLbl val="0"/>
      </c:catAx>
      <c:valAx>
        <c:axId val="1467686368"/>
        <c:scaling>
          <c:orientation val="minMax"/>
          <c:max val="0.15000000000000002"/>
          <c:min val="0"/>
        </c:scaling>
        <c:delete val="0"/>
        <c:axPos val="l"/>
        <c:majorGridlines>
          <c:spPr>
            <a:ln w="9525" cap="flat" cmpd="sng" algn="ctr">
              <a:solidFill>
                <a:schemeClr val="accent2"/>
              </a:solidFill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99202464"/>
        <c:crosses val="autoZero"/>
        <c:crossBetween val="between"/>
        <c:majorUnit val="5.000000000000001E-2"/>
        <c:minorUnit val="1.0000000000000002E-2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100" b="1" dirty="0"/>
              <a:t>Households with little</a:t>
            </a:r>
            <a:r>
              <a:rPr lang="en-US" sz="1100" b="1" baseline="0" dirty="0"/>
              <a:t> </a:t>
            </a:r>
          </a:p>
          <a:p>
            <a:pPr>
              <a:defRPr sz="1100"/>
            </a:pPr>
            <a:r>
              <a:rPr lang="en-US" sz="1100" b="1" baseline="0" dirty="0"/>
              <a:t>or no Hunger</a:t>
            </a:r>
            <a:endParaRPr lang="en-US" sz="1100" b="1" dirty="0"/>
          </a:p>
        </c:rich>
      </c:tx>
      <c:layout>
        <c:manualLayout>
          <c:xMode val="edge"/>
          <c:yMode val="edge"/>
          <c:x val="0.25819632545931759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0396514435695537"/>
          <c:y val="0.33926078912267105"/>
          <c:w val="0.7141371965112705"/>
          <c:h val="0.4863400607347289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Sheet1!$C$1</c:f>
              <c:strCache>
                <c:ptCount val="1"/>
                <c:pt idx="0">
                  <c:v>Baseline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3.0843071244193794E-17"/>
                  <c:y val="2.185792349726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85D-45FB-8DC8-F71BB2239824}"/>
                </c:ext>
              </c:extLst>
            </c:dLbl>
            <c:dLbl>
              <c:idx val="1"/>
              <c:layout>
                <c:manualLayout>
                  <c:x val="6.7294751009421266E-3"/>
                  <c:y val="3.64298724954462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85D-45FB-8DC8-F71BB223982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Sheet1!$B$2:$B$3</c:f>
              <c:strCache>
                <c:ptCount val="2"/>
                <c:pt idx="0">
                  <c:v>Food Vouchers</c:v>
                </c:pt>
                <c:pt idx="1">
                  <c:v>Mixed Transfers</c:v>
                </c:pt>
              </c:strCache>
            </c:strRef>
          </c:cat>
          <c:val>
            <c:numRef>
              <c:f>Sheet1!$C$2:$C$3</c:f>
              <c:numCache>
                <c:formatCode>0%</c:formatCode>
                <c:ptCount val="2"/>
                <c:pt idx="0">
                  <c:v>0.56000000000000005</c:v>
                </c:pt>
                <c:pt idx="1">
                  <c:v>0.65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85D-45FB-8DC8-F71BB2239824}"/>
            </c:ext>
          </c:extLst>
        </c:ser>
        <c:ser>
          <c:idx val="1"/>
          <c:order val="1"/>
          <c:tx>
            <c:strRef>
              <c:f>Sheet1!$D$1</c:f>
              <c:strCache>
                <c:ptCount val="1"/>
                <c:pt idx="0">
                  <c:v>Endline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0"/>
                  <c:y val="2.185792349726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85D-45FB-8DC8-F71BB223982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Sheet1!$B$2:$B$3</c:f>
              <c:strCache>
                <c:ptCount val="2"/>
                <c:pt idx="0">
                  <c:v>Food Vouchers</c:v>
                </c:pt>
                <c:pt idx="1">
                  <c:v>Mixed Transfers</c:v>
                </c:pt>
              </c:strCache>
            </c:strRef>
          </c:cat>
          <c:val>
            <c:numRef>
              <c:f>Sheet1!$D$2:$D$3</c:f>
              <c:numCache>
                <c:formatCode>0%</c:formatCode>
                <c:ptCount val="2"/>
                <c:pt idx="0">
                  <c:v>0.2</c:v>
                </c:pt>
                <c:pt idx="1">
                  <c:v>0.19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85D-45FB-8DC8-F71BB223982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499202464"/>
        <c:axId val="1467686368"/>
      </c:barChart>
      <c:catAx>
        <c:axId val="1499202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67686368"/>
        <c:crosses val="autoZero"/>
        <c:auto val="1"/>
        <c:lblAlgn val="ctr"/>
        <c:lblOffset val="100"/>
        <c:noMultiLvlLbl val="0"/>
      </c:catAx>
      <c:valAx>
        <c:axId val="1467686368"/>
        <c:scaling>
          <c:orientation val="minMax"/>
          <c:max val="0.8"/>
          <c:min val="0"/>
        </c:scaling>
        <c:delete val="0"/>
        <c:axPos val="l"/>
        <c:majorGridlines>
          <c:spPr>
            <a:ln w="9525" cap="flat" cmpd="sng" algn="ctr">
              <a:solidFill>
                <a:schemeClr val="accent2"/>
              </a:solidFill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99202464"/>
        <c:crosses val="autoZero"/>
        <c:crossBetween val="between"/>
        <c:majorUnit val="0.2"/>
        <c:minorUnit val="1.0000000000000002E-2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13389354330708661"/>
          <c:y val="0.20857622305408546"/>
          <c:w val="0.84097595800524938"/>
          <c:h val="9.366665232419718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3C222-01C2-4197-B285-10E18E414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Buchanan-Gelb</dc:creator>
  <cp:keywords/>
  <dc:description/>
  <cp:lastModifiedBy>Shannon Doocy</cp:lastModifiedBy>
  <cp:revision>3</cp:revision>
  <dcterms:created xsi:type="dcterms:W3CDTF">2018-10-20T18:35:00Z</dcterms:created>
  <dcterms:modified xsi:type="dcterms:W3CDTF">2018-10-21T05:31:00Z</dcterms:modified>
</cp:coreProperties>
</file>